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прохождения-курс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прохождения курса</w:t>
      </w:r>
    </w:p>
    <w:p>
      <w:pPr>
        <w:pStyle w:val="FirstParagraph"/>
      </w:pPr>
      <w:r>
        <w:t xml:space="preserve">Познакомиться с текстовым редактором vim, языком bash. Научиться писать скрипты. Освоить продвинутый поиск, постройку графиков. Углубиться в управление разрешениями</w:t>
      </w:r>
    </w:p>
    <w:bookmarkEnd w:id="20"/>
    <w:bookmarkStart w:id="118" w:name="выполнение-заданий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курса</w:t>
      </w:r>
    </w:p>
    <w:bookmarkStart w:id="117" w:name="общая-информация-о-курс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Общая информация о курсе</w:t>
      </w:r>
    </w:p>
    <w:p>
      <w:pPr>
        <w:pStyle w:val="FirstParagraph"/>
      </w:pPr>
      <w:r>
        <w:t xml:space="preserve">Информация об этом дана в видеоролике(рис. 1).</w:t>
      </w:r>
    </w:p>
    <w:p>
      <w:pPr>
        <w:pStyle w:val="CaptionedFigure"/>
      </w:pPr>
      <w:r>
        <w:drawing>
          <wp:inline>
            <wp:extent cx="3733800" cy="2035239"/>
            <wp:effectExtent b="0" l="0" r="0" t="0"/>
            <wp:docPr descr="Вопрос №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№1</w:t>
      </w:r>
    </w:p>
    <w:p>
      <w:pPr>
        <w:pStyle w:val="BodyText"/>
      </w:pPr>
      <w:r>
        <w:t xml:space="preserve">Решено путем практического эксперимента(рис. 2).</w:t>
      </w:r>
    </w:p>
    <w:p>
      <w:pPr>
        <w:pStyle w:val="CaptionedFigure"/>
      </w:pPr>
      <w:r>
        <w:drawing>
          <wp:inline>
            <wp:extent cx="3733800" cy="2016314"/>
            <wp:effectExtent b="0" l="0" r="0" t="0"/>
            <wp:docPr descr="Вопрос №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№2</w:t>
      </w:r>
    </w:p>
    <w:p>
      <w:pPr>
        <w:pStyle w:val="BodyText"/>
      </w:pPr>
      <w:r>
        <w:t xml:space="preserve">Решено путем практического эксперимента(рис. 3).</w:t>
      </w:r>
    </w:p>
    <w:p>
      <w:pPr>
        <w:pStyle w:val="CaptionedFigure"/>
      </w:pPr>
      <w:r>
        <w:drawing>
          <wp:inline>
            <wp:extent cx="3733800" cy="2639694"/>
            <wp:effectExtent b="0" l="0" r="0" t="0"/>
            <wp:docPr descr="Вопрос №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№3</w:t>
      </w:r>
    </w:p>
    <w:p>
      <w:pPr>
        <w:pStyle w:val="BodyText"/>
      </w:pPr>
      <w:r>
        <w:t xml:space="preserve">Используем %s для замены всех слов Windows на Linux(рис. 4).</w:t>
      </w:r>
    </w:p>
    <w:p>
      <w:pPr>
        <w:pStyle w:val="CaptionedFigure"/>
      </w:pPr>
      <w:r>
        <w:drawing>
          <wp:inline>
            <wp:extent cx="3733800" cy="1959780"/>
            <wp:effectExtent b="0" l="0" r="0" t="0"/>
            <wp:docPr descr="Вопрос №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№4</w:t>
      </w:r>
    </w:p>
    <w:p>
      <w:pPr>
        <w:pStyle w:val="BodyText"/>
      </w:pPr>
      <w:r>
        <w:t xml:space="preserve">Ответил на вопрос, потому что попробовал данный режим(рис. 5).</w:t>
      </w:r>
    </w:p>
    <w:p>
      <w:pPr>
        <w:pStyle w:val="CaptionedFigure"/>
      </w:pPr>
      <w:r>
        <w:drawing>
          <wp:inline>
            <wp:extent cx="3733800" cy="2416350"/>
            <wp:effectExtent b="0" l="0" r="0" t="0"/>
            <wp:docPr descr="Вопрос №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№5</w:t>
      </w:r>
    </w:p>
    <w:p>
      <w:pPr>
        <w:pStyle w:val="BodyText"/>
      </w:pPr>
      <w:r>
        <w:t xml:space="preserve">Передвижение будет внутри последней оболочки(рис. 6).</w:t>
      </w:r>
    </w:p>
    <w:p>
      <w:pPr>
        <w:pStyle w:val="CaptionedFigure"/>
      </w:pPr>
      <w:r>
        <w:drawing>
          <wp:inline>
            <wp:extent cx="3733800" cy="1985165"/>
            <wp:effectExtent b="0" l="0" r="0" t="0"/>
            <wp:docPr descr="Вопрос №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№6</w:t>
      </w:r>
    </w:p>
    <w:p>
      <w:pPr>
        <w:pStyle w:val="BodyText"/>
      </w:pPr>
      <w:r>
        <w:t xml:space="preserve">Переход в директорию первой командой cd и создание там файла. Последующий переход роли не играет(рис. 7).</w:t>
      </w:r>
    </w:p>
    <w:p>
      <w:pPr>
        <w:pStyle w:val="CaptionedFigure"/>
      </w:pPr>
      <w:r>
        <w:drawing>
          <wp:inline>
            <wp:extent cx="3733800" cy="2316886"/>
            <wp:effectExtent b="0" l="0" r="0" t="0"/>
            <wp:docPr descr="Вопрос №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№7</w:t>
      </w:r>
    </w:p>
    <w:p>
      <w:pPr>
        <w:pStyle w:val="BodyText"/>
      </w:pPr>
      <w:r>
        <w:t xml:space="preserve">Переменная не должна начинаться с цифры, не должна иметь символов кроме нижнего подчеркивания(рис. 8).</w:t>
      </w:r>
    </w:p>
    <w:p>
      <w:pPr>
        <w:pStyle w:val="CaptionedFigure"/>
      </w:pPr>
      <w:r>
        <w:drawing>
          <wp:inline>
            <wp:extent cx="3733800" cy="2226089"/>
            <wp:effectExtent b="0" l="0" r="0" t="0"/>
            <wp:docPr descr="Вопрос №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№8</w:t>
      </w:r>
    </w:p>
    <w:p>
      <w:pPr>
        <w:pStyle w:val="BodyText"/>
      </w:pPr>
      <w:r>
        <w:t xml:space="preserve">Просто смотрим выражения и значения ключей. Можно проверить практической работой программы(рис. 9).</w:t>
      </w:r>
    </w:p>
    <w:p>
      <w:pPr>
        <w:pStyle w:val="CaptionedFigure"/>
      </w:pPr>
      <w:r>
        <w:drawing>
          <wp:inline>
            <wp:extent cx="3733800" cy="2488177"/>
            <wp:effectExtent b="0" l="0" r="0" t="0"/>
            <wp:docPr descr="Вопрос №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№9</w:t>
      </w:r>
    </w:p>
    <w:p>
      <w:pPr>
        <w:pStyle w:val="BodyText"/>
      </w:pPr>
      <w:r>
        <w:t xml:space="preserve">3 и 5 не подходят под условия</w:t>
      </w:r>
      <w:r>
        <w:t xml:space="preserve"> </w:t>
      </w:r>
      <w:r>
        <w:t xml:space="preserve">“</w:t>
      </w:r>
      <w:r>
        <w:t xml:space="preserve">больше 5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меньше 3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равно 4</w:t>
      </w:r>
      <w:r>
        <w:t xml:space="preserve">”</w:t>
      </w:r>
      <w:r>
        <w:t xml:space="preserve">, поэтому попадают на ветку else(рис. 10).</w:t>
      </w:r>
    </w:p>
    <w:p>
      <w:pPr>
        <w:pStyle w:val="CaptionedFigure"/>
      </w:pPr>
      <w:r>
        <w:drawing>
          <wp:inline>
            <wp:extent cx="3733800" cy="2692902"/>
            <wp:effectExtent b="0" l="0" r="0" t="0"/>
            <wp:docPr descr="Вопрос №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№10</w:t>
      </w:r>
    </w:p>
    <w:p>
      <w:pPr>
        <w:pStyle w:val="BodyText"/>
      </w:pPr>
      <w:r>
        <w:t xml:space="preserve">Простенькая программа с ветвлением. Для людей, умеющий программировать на других ЯП, проблем позникнуть не должно(рис. 11).</w:t>
      </w:r>
    </w:p>
    <w:p>
      <w:pPr>
        <w:pStyle w:val="CaptionedFigure"/>
      </w:pPr>
      <w:r>
        <w:drawing>
          <wp:inline>
            <wp:extent cx="3733800" cy="3015494"/>
            <wp:effectExtent b="0" l="0" r="0" t="0"/>
            <wp:docPr descr="Вопрос №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№11</w:t>
      </w:r>
    </w:p>
    <w:p>
      <w:pPr>
        <w:pStyle w:val="BodyText"/>
      </w:pPr>
      <w:r>
        <w:t xml:space="preserve">Важное примечание: запятые также являются символами. Разделителем является только пробел(рис. 12).</w:t>
      </w:r>
    </w:p>
    <w:p>
      <w:pPr>
        <w:pStyle w:val="CaptionedFigure"/>
      </w:pPr>
      <w:r>
        <w:drawing>
          <wp:inline>
            <wp:extent cx="3733800" cy="2511200"/>
            <wp:effectExtent b="0" l="0" r="0" t="0"/>
            <wp:docPr descr="Вопрос №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№12</w:t>
      </w:r>
    </w:p>
    <w:p>
      <w:pPr>
        <w:pStyle w:val="BodyText"/>
      </w:pPr>
      <w:r>
        <w:t xml:space="preserve">Простейшее ветвление, обернутое в цикл while (рис. 13).</w:t>
      </w:r>
    </w:p>
    <w:p>
      <w:pPr>
        <w:pStyle w:val="CaptionedFigure"/>
      </w:pPr>
      <w:r>
        <w:drawing>
          <wp:inline>
            <wp:extent cx="3733800" cy="4043775"/>
            <wp:effectExtent b="0" l="0" r="0" t="0"/>
            <wp:docPr descr="Вопрос №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№13</w:t>
      </w:r>
    </w:p>
    <w:p>
      <w:pPr>
        <w:pStyle w:val="BodyText"/>
      </w:pPr>
      <w:r>
        <w:t xml:space="preserve">Код целиком(рис. 14).</w:t>
      </w:r>
    </w:p>
    <w:p>
      <w:pPr>
        <w:pStyle w:val="CaptionedFigure"/>
      </w:pPr>
      <w:r>
        <w:drawing>
          <wp:inline>
            <wp:extent cx="3733800" cy="2302716"/>
            <wp:effectExtent b="0" l="0" r="0" t="0"/>
            <wp:docPr descr="Вопрос №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№14</w:t>
      </w:r>
    </w:p>
    <w:p>
      <w:pPr>
        <w:pStyle w:val="BodyText"/>
      </w:pPr>
      <w:r>
        <w:t xml:space="preserve">Для обозначения арифметической операции используется let. Выражение должно быть обёрнуто кавычками или написано без пробелов(рис. 15).</w:t>
      </w:r>
    </w:p>
    <w:p>
      <w:pPr>
        <w:pStyle w:val="CaptionedFigure"/>
      </w:pPr>
      <w:r>
        <w:drawing>
          <wp:inline>
            <wp:extent cx="3733800" cy="2274957"/>
            <wp:effectExtent b="0" l="0" r="0" t="0"/>
            <wp:docPr descr="Вопрос №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№15</w:t>
      </w:r>
    </w:p>
    <w:p>
      <w:pPr>
        <w:pStyle w:val="BodyText"/>
      </w:pPr>
      <w:r>
        <w:t xml:space="preserve">Просто перемещаемся в директорию с помощью cd и выводим путь в текущую директорию(рис. 16).</w:t>
      </w:r>
    </w:p>
    <w:p>
      <w:pPr>
        <w:pStyle w:val="CaptionedFigure"/>
      </w:pPr>
      <w:r>
        <w:drawing>
          <wp:inline>
            <wp:extent cx="3733800" cy="2056339"/>
            <wp:effectExtent b="0" l="0" r="0" t="0"/>
            <wp:docPr descr="Вопрос №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№16</w:t>
      </w:r>
    </w:p>
    <w:p>
      <w:pPr>
        <w:pStyle w:val="BodyText"/>
      </w:pPr>
      <w:r>
        <w:t xml:space="preserve">Выполнено наполовину методом</w:t>
      </w:r>
      <w:r>
        <w:t xml:space="preserve"> </w:t>
      </w:r>
      <w:r>
        <w:t xml:space="preserve">“</w:t>
      </w:r>
      <w:r>
        <w:t xml:space="preserve">научного тыка</w:t>
      </w:r>
      <w:r>
        <w:t xml:space="preserve">”</w:t>
      </w:r>
      <w:r>
        <w:t xml:space="preserve">(рис. 17).</w:t>
      </w:r>
    </w:p>
    <w:p>
      <w:pPr>
        <w:pStyle w:val="CaptionedFigure"/>
      </w:pPr>
      <w:r>
        <w:drawing>
          <wp:inline>
            <wp:extent cx="3733800" cy="2516810"/>
            <wp:effectExtent b="0" l="0" r="0" t="0"/>
            <wp:docPr descr="Вопрос №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№17</w:t>
      </w:r>
    </w:p>
    <w:p>
      <w:pPr>
        <w:pStyle w:val="BodyText"/>
      </w:pPr>
      <w:r>
        <w:t xml:space="preserve">Важно обратить на область определения переменных в функциях(рис. 18).</w:t>
      </w:r>
    </w:p>
    <w:p>
      <w:pPr>
        <w:pStyle w:val="CaptionedFigure"/>
      </w:pPr>
      <w:r>
        <w:drawing>
          <wp:inline>
            <wp:extent cx="3733800" cy="2180282"/>
            <wp:effectExtent b="0" l="0" r="0" t="0"/>
            <wp:docPr descr="Вопрос №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№18</w:t>
      </w:r>
    </w:p>
    <w:p>
      <w:pPr>
        <w:pStyle w:val="BodyText"/>
      </w:pPr>
      <w:r>
        <w:t xml:space="preserve">Алгоритм дан, но я использовал вместо вычитания остаток от деления. Тоже работает (даже эффективнее)(рис. 19).</w:t>
      </w:r>
    </w:p>
    <w:p>
      <w:pPr>
        <w:pStyle w:val="CaptionedFigure"/>
      </w:pPr>
      <w:r>
        <w:drawing>
          <wp:inline>
            <wp:extent cx="3733800" cy="3141808"/>
            <wp:effectExtent b="0" l="0" r="0" t="0"/>
            <wp:docPr descr="Вопрос №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№19</w:t>
      </w:r>
    </w:p>
    <w:p>
      <w:pPr>
        <w:pStyle w:val="BodyText"/>
      </w:pPr>
      <w:r>
        <w:t xml:space="preserve">Написать калькулятор…(рис. 20).</w:t>
      </w:r>
    </w:p>
    <w:p>
      <w:pPr>
        <w:pStyle w:val="CaptionedFigure"/>
      </w:pPr>
      <w:r>
        <w:drawing>
          <wp:inline>
            <wp:extent cx="3733800" cy="2758863"/>
            <wp:effectExtent b="0" l="0" r="0" t="0"/>
            <wp:docPr descr="Вопрос №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№20</w:t>
      </w:r>
    </w:p>
    <w:p>
      <w:pPr>
        <w:pStyle w:val="BodyText"/>
      </w:pPr>
      <w:r>
        <w:t xml:space="preserve">Разница команд в учете и НЕ учете регистра при поиске(рис. 21).</w:t>
      </w:r>
    </w:p>
    <w:p>
      <w:pPr>
        <w:pStyle w:val="CaptionedFigure"/>
      </w:pPr>
      <w:r>
        <w:drawing>
          <wp:inline>
            <wp:extent cx="3733800" cy="2138861"/>
            <wp:effectExtent b="0" l="0" r="0" t="0"/>
            <wp:docPr descr="Вопрос №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№21</w:t>
      </w:r>
    </w:p>
    <w:p>
      <w:pPr>
        <w:pStyle w:val="BodyText"/>
      </w:pPr>
      <w:r>
        <w:t xml:space="preserve">Проще воспользоваться методом исключения. Команды точно не работают одинаково и точно их результат не остается неизменным. Опции path и name используются не только для директорий и файлов соответственно(рис. 22).</w:t>
      </w:r>
    </w:p>
    <w:p>
      <w:pPr>
        <w:pStyle w:val="CaptionedFigure"/>
      </w:pPr>
      <w:r>
        <w:drawing>
          <wp:inline>
            <wp:extent cx="3733800" cy="1911770"/>
            <wp:effectExtent b="0" l="0" r="0" t="0"/>
            <wp:docPr descr="Вопрос №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№22</w:t>
      </w:r>
    </w:p>
    <w:p>
      <w:pPr>
        <w:pStyle w:val="BodyText"/>
      </w:pPr>
      <w:r>
        <w:t xml:space="preserve">Минимальная глубина 2, максимальная 3. Вывод напрашивается сам(рис. 23).</w:t>
      </w:r>
    </w:p>
    <w:p>
      <w:pPr>
        <w:pStyle w:val="CaptionedFigure"/>
      </w:pPr>
      <w:r>
        <w:drawing>
          <wp:inline>
            <wp:extent cx="3733800" cy="2097986"/>
            <wp:effectExtent b="0" l="0" r="0" t="0"/>
            <wp:docPr descr="Вопрос №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Вопрос №23</w:t>
      </w:r>
    </w:p>
    <w:p>
      <w:pPr>
        <w:pStyle w:val="BodyText"/>
      </w:pPr>
      <w:r>
        <w:t xml:space="preserve">В данной ситуации опции не изменят размер файла относительно друг друга(рис. 24).</w:t>
      </w:r>
    </w:p>
    <w:p>
      <w:pPr>
        <w:pStyle w:val="CaptionedFigure"/>
      </w:pPr>
      <w:r>
        <w:drawing>
          <wp:inline>
            <wp:extent cx="3733800" cy="2283547"/>
            <wp:effectExtent b="0" l="0" r="0" t="0"/>
            <wp:docPr descr="Вопрос №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Вопрос №24</w:t>
      </w:r>
    </w:p>
    <w:p>
      <w:pPr>
        <w:pStyle w:val="BodyText"/>
      </w:pPr>
      <w:r>
        <w:t xml:space="preserve">Проверил на практике. Результат удивил(рис. 25).</w:t>
      </w:r>
    </w:p>
    <w:p>
      <w:pPr>
        <w:pStyle w:val="CaptionedFigure"/>
      </w:pPr>
      <w:r>
        <w:drawing>
          <wp:inline>
            <wp:extent cx="3733800" cy="2015777"/>
            <wp:effectExtent b="0" l="0" r="0" t="0"/>
            <wp:docPr descr="Вопрос №25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Вопрос №25</w:t>
      </w:r>
    </w:p>
    <w:p>
      <w:pPr>
        <w:pStyle w:val="BodyText"/>
      </w:pPr>
      <w:r>
        <w:t xml:space="preserve">Изучение документации снимает эту проблему(рис. 26).</w:t>
      </w:r>
    </w:p>
    <w:p>
      <w:pPr>
        <w:pStyle w:val="CaptionedFigure"/>
      </w:pPr>
      <w:r>
        <w:drawing>
          <wp:inline>
            <wp:extent cx="3733800" cy="2038815"/>
            <wp:effectExtent b="0" l="0" r="0" t="0"/>
            <wp:docPr descr="Вопрос №26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Вопрос №26</w:t>
      </w:r>
    </w:p>
    <w:p>
      <w:pPr>
        <w:pStyle w:val="BodyText"/>
      </w:pPr>
      <w:r>
        <w:t xml:space="preserve">Крайне очевидно(рис. 27).</w:t>
      </w:r>
    </w:p>
    <w:p>
      <w:pPr>
        <w:pStyle w:val="CaptionedFigure"/>
      </w:pPr>
      <w:r>
        <w:drawing>
          <wp:inline>
            <wp:extent cx="3733800" cy="2103745"/>
            <wp:effectExtent b="0" l="0" r="0" t="0"/>
            <wp:docPr descr="Вопрос №27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Вопрос №27</w:t>
      </w:r>
    </w:p>
    <w:p>
      <w:pPr>
        <w:pStyle w:val="BodyText"/>
      </w:pPr>
      <w:r>
        <w:t xml:space="preserve">Необходимо установить права доступа 764. Перечислены все варианты. Сложность вызвал факт, что нельзя просто указать права доступа используя символы</w:t>
      </w:r>
      <w:r>
        <w:t xml:space="preserve"> </w:t>
      </w:r>
      <w:r>
        <w:rPr>
          <w:bCs/>
          <w:b/>
        </w:rPr>
        <w:t xml:space="preserve">rwx-</w:t>
      </w:r>
      <w:r>
        <w:t xml:space="preserve">(рис. 28).</w:t>
      </w:r>
    </w:p>
    <w:p>
      <w:pPr>
        <w:pStyle w:val="CaptionedFigure"/>
      </w:pPr>
      <w:r>
        <w:drawing>
          <wp:inline>
            <wp:extent cx="3733800" cy="1757740"/>
            <wp:effectExtent b="0" l="0" r="0" t="0"/>
            <wp:docPr descr="Вопрос №28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Вопрос №28</w:t>
      </w:r>
    </w:p>
    <w:p>
      <w:pPr>
        <w:pStyle w:val="BodyText"/>
      </w:pPr>
      <w:r>
        <w:t xml:space="preserve">Внимательно смотрим на примечание и права доступа(рис. 29).</w:t>
      </w:r>
    </w:p>
    <w:p>
      <w:pPr>
        <w:pStyle w:val="CaptionedFigure"/>
      </w:pPr>
      <w:r>
        <w:drawing>
          <wp:inline>
            <wp:extent cx="3733800" cy="2978149"/>
            <wp:effectExtent b="0" l="0" r="0" t="0"/>
            <wp:docPr descr="Вопрос №29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Вопрос №29</w:t>
      </w:r>
    </w:p>
    <w:p>
      <w:pPr>
        <w:pStyle w:val="BodyText"/>
      </w:pPr>
      <w:r>
        <w:t xml:space="preserve">Сложностью является размер слов в байтах. Ведь в документации написано, что даётся размер строки(рис. 30).</w:t>
      </w:r>
    </w:p>
    <w:p>
      <w:pPr>
        <w:pStyle w:val="CaptionedFigure"/>
      </w:pPr>
      <w:r>
        <w:drawing>
          <wp:inline>
            <wp:extent cx="3733800" cy="2221917"/>
            <wp:effectExtent b="0" l="0" r="0" t="0"/>
            <wp:docPr descr="Вопрос №30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Вопрос №30</w:t>
      </w:r>
    </w:p>
    <w:p>
      <w:pPr>
        <w:pStyle w:val="BodyText"/>
      </w:pPr>
      <w:r>
        <w:t xml:space="preserve">Посмотреть опции из видеоролика(рис. 31).</w:t>
      </w:r>
    </w:p>
    <w:p>
      <w:pPr>
        <w:pStyle w:val="CaptionedFigure"/>
      </w:pPr>
      <w:r>
        <w:drawing>
          <wp:inline>
            <wp:extent cx="3733800" cy="2293664"/>
            <wp:effectExtent b="0" l="0" r="0" t="0"/>
            <wp:docPr descr="Вопрос №31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Вопрос №31</w:t>
      </w:r>
    </w:p>
    <w:p>
      <w:pPr>
        <w:pStyle w:val="BodyText"/>
      </w:pPr>
      <w:r>
        <w:t xml:space="preserve">Использовать знание команд на максимум(рис. 32).</w:t>
      </w:r>
    </w:p>
    <w:p>
      <w:pPr>
        <w:pStyle w:val="CaptionedFigure"/>
      </w:pPr>
      <w:r>
        <w:drawing>
          <wp:inline>
            <wp:extent cx="3733800" cy="2114928"/>
            <wp:effectExtent b="0" l="0" r="0" t="0"/>
            <wp:docPr descr="Вопрос №32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Вопрос №32</w:t>
      </w:r>
    </w:p>
    <w:bookmarkEnd w:id="117"/>
    <w:bookmarkEnd w:id="118"/>
    <w:bookmarkStart w:id="11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рассмотрел продвинутые темы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</dc:title>
  <dc:creator>Комягин Андрей Николаевич</dc:creator>
  <dc:language>ru-RU</dc:language>
  <cp:keywords/>
  <dcterms:created xsi:type="dcterms:W3CDTF">2024-05-18T18:55:21Z</dcterms:created>
  <dcterms:modified xsi:type="dcterms:W3CDTF">2024-05-18T18:55:21Z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Продвинутые 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