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сервером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прохождения-курс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прохождения курса</w:t>
      </w:r>
    </w:p>
    <w:p>
      <w:pPr>
        <w:pStyle w:val="FirstParagraph"/>
      </w:pPr>
      <w:r>
        <w:t xml:space="preserve">Познакомиться с сервером, научиться обмениваться файлами, запускать и контролировать программы на сервере. Узнать про многопоточные приложения научиться использовать менеджер tmux.</w:t>
      </w:r>
    </w:p>
    <w:bookmarkEnd w:id="20"/>
    <w:bookmarkStart w:id="88" w:name="выполнение-заданий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курса</w:t>
      </w:r>
    </w:p>
    <w:bookmarkStart w:id="87" w:name="общая-информация-о-курс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Общая информация о курсе</w:t>
      </w:r>
    </w:p>
    <w:p>
      <w:pPr>
        <w:pStyle w:val="FirstParagraph"/>
      </w:pPr>
      <w:r>
        <w:t xml:space="preserve">Удаленный сервер имеет очень много применений(рис. 1).</w:t>
      </w:r>
    </w:p>
    <w:p>
      <w:pPr>
        <w:pStyle w:val="CaptionedFigure"/>
      </w:pPr>
      <w:r>
        <w:drawing>
          <wp:inline>
            <wp:extent cx="3733800" cy="1667491"/>
            <wp:effectExtent b="0" l="0" r="0" t="0"/>
            <wp:docPr descr="Вопрос №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№1</w:t>
      </w:r>
    </w:p>
    <w:p>
      <w:pPr>
        <w:pStyle w:val="BodyText"/>
      </w:pPr>
      <w:r>
        <w:t xml:space="preserve">Публичный ключ как раз и создан для передачи. Частный ключ необходимо держать в секрете(рис. 2).</w:t>
      </w:r>
    </w:p>
    <w:p>
      <w:pPr>
        <w:pStyle w:val="CaptionedFigure"/>
      </w:pPr>
      <w:r>
        <w:drawing>
          <wp:inline>
            <wp:extent cx="3733800" cy="2101768"/>
            <wp:effectExtent b="0" l="0" r="0" t="0"/>
            <wp:docPr descr="Вопрос №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№2</w:t>
      </w:r>
    </w:p>
    <w:p>
      <w:pPr>
        <w:pStyle w:val="BodyText"/>
      </w:pPr>
      <w:r>
        <w:t xml:space="preserve">Для копирования папки необходима опция рекурсивного копирования -р(рис. 3).</w:t>
      </w:r>
    </w:p>
    <w:p>
      <w:pPr>
        <w:pStyle w:val="CaptionedFigure"/>
      </w:pPr>
      <w:r>
        <w:drawing>
          <wp:inline>
            <wp:extent cx="3733800" cy="1963655"/>
            <wp:effectExtent b="0" l="0" r="0" t="0"/>
            <wp:docPr descr="Вопрос №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№3</w:t>
      </w:r>
    </w:p>
    <w:p>
      <w:pPr>
        <w:pStyle w:val="BodyText"/>
      </w:pPr>
      <w:r>
        <w:t xml:space="preserve">Иногда действительно может помочь обновление программы(рис. 4).</w:t>
      </w:r>
    </w:p>
    <w:p>
      <w:pPr>
        <w:pStyle w:val="CaptionedFigure"/>
      </w:pPr>
      <w:r>
        <w:drawing>
          <wp:inline>
            <wp:extent cx="3733800" cy="2212387"/>
            <wp:effectExtent b="0" l="0" r="0" t="0"/>
            <wp:docPr descr="Вопрос №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№4</w:t>
      </w:r>
    </w:p>
    <w:p>
      <w:pPr>
        <w:pStyle w:val="BodyText"/>
      </w:pPr>
      <w:r>
        <w:t xml:space="preserve">Filezilla предназначена для пересылки и просмотра файлов, открывать программы она не умеет(рис. 5).</w:t>
      </w:r>
    </w:p>
    <w:p>
      <w:pPr>
        <w:pStyle w:val="CaptionedFigure"/>
      </w:pPr>
      <w:r>
        <w:drawing>
          <wp:inline>
            <wp:extent cx="3733800" cy="1999573"/>
            <wp:effectExtent b="0" l="0" r="0" t="0"/>
            <wp:docPr descr="Вопрос №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№5</w:t>
      </w:r>
    </w:p>
    <w:p>
      <w:pPr>
        <w:pStyle w:val="BodyText"/>
      </w:pPr>
      <w:r>
        <w:t xml:space="preserve">Запустить команду на компьютере можно, но тогда она не запустится на сервере. Ответ на вопрос был дан в видео(рис. 6).</w:t>
      </w:r>
    </w:p>
    <w:p>
      <w:pPr>
        <w:pStyle w:val="CaptionedFigure"/>
      </w:pPr>
      <w:r>
        <w:drawing>
          <wp:inline>
            <wp:extent cx="3733800" cy="1839490"/>
            <wp:effectExtent b="0" l="0" r="0" t="0"/>
            <wp:docPr descr="Вопрос №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№6</w:t>
      </w:r>
    </w:p>
    <w:p>
      <w:pPr>
        <w:pStyle w:val="BodyText"/>
      </w:pPr>
      <w:r>
        <w:t xml:space="preserve">Удивило, что вариант help programm является корректным(рис. 7).</w:t>
      </w:r>
    </w:p>
    <w:p>
      <w:pPr>
        <w:pStyle w:val="CaptionedFigure"/>
      </w:pPr>
      <w:r>
        <w:drawing>
          <wp:inline>
            <wp:extent cx="3733800" cy="1877946"/>
            <wp:effectExtent b="0" l="0" r="0" t="0"/>
            <wp:docPr descr="Вопрос №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№7</w:t>
      </w:r>
    </w:p>
    <w:p>
      <w:pPr>
        <w:pStyle w:val="BodyText"/>
      </w:pPr>
      <w:r>
        <w:t xml:space="preserve">Просто смотрим документацию(рис. 8).</w:t>
      </w:r>
    </w:p>
    <w:p>
      <w:pPr>
        <w:pStyle w:val="CaptionedFigure"/>
      </w:pPr>
      <w:r>
        <w:drawing>
          <wp:inline>
            <wp:extent cx="3733800" cy="3599551"/>
            <wp:effectExtent b="0" l="0" r="0" t="0"/>
            <wp:docPr descr="Вопрос №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№8</w:t>
      </w:r>
    </w:p>
    <w:p>
      <w:pPr>
        <w:pStyle w:val="BodyText"/>
      </w:pPr>
      <w:r>
        <w:t xml:space="preserve">Pаботу рrogramm1 мы завершили комбинацией ctrl+c (рис. 9).</w:t>
      </w:r>
    </w:p>
    <w:p>
      <w:pPr>
        <w:pStyle w:val="CaptionedFigure"/>
      </w:pPr>
      <w:r>
        <w:drawing>
          <wp:inline>
            <wp:extent cx="3733800" cy="2242117"/>
            <wp:effectExtent b="0" l="0" r="0" t="0"/>
            <wp:docPr descr="Вопрос №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№9</w:t>
      </w:r>
    </w:p>
    <w:p>
      <w:pPr>
        <w:pStyle w:val="BodyText"/>
      </w:pPr>
      <w:r>
        <w:t xml:space="preserve">jobs имеет данный идентификатор только с использованием специального ключа. По умолчанию он использует упрощенные числа-идентификаторы(рис. 10).</w:t>
      </w:r>
    </w:p>
    <w:p>
      <w:pPr>
        <w:pStyle w:val="CaptionedFigure"/>
      </w:pPr>
      <w:r>
        <w:drawing>
          <wp:inline>
            <wp:extent cx="3733800" cy="1982410"/>
            <wp:effectExtent b="0" l="0" r="0" t="0"/>
            <wp:docPr descr="Вопрос №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№10</w:t>
      </w:r>
    </w:p>
    <w:p>
      <w:pPr>
        <w:pStyle w:val="BodyText"/>
      </w:pPr>
      <w:r>
        <w:t xml:space="preserve">Опция -9 грубо выключает программу(рис. 11).</w:t>
      </w:r>
    </w:p>
    <w:p>
      <w:pPr>
        <w:pStyle w:val="CaptionedFigure"/>
      </w:pPr>
      <w:r>
        <w:drawing>
          <wp:inline>
            <wp:extent cx="3733800" cy="1598416"/>
            <wp:effectExtent b="0" l="0" r="0" t="0"/>
            <wp:docPr descr="Вопрос №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№11</w:t>
      </w:r>
    </w:p>
    <w:p>
      <w:pPr>
        <w:pStyle w:val="BodyText"/>
      </w:pPr>
      <w:r>
        <w:t xml:space="preserve">Так как не использована опция -9, процесс завершится, после того, как будет продолжен(рис. 12).</w:t>
      </w:r>
    </w:p>
    <w:p>
      <w:pPr>
        <w:pStyle w:val="CaptionedFigure"/>
      </w:pPr>
      <w:r>
        <w:drawing>
          <wp:inline>
            <wp:extent cx="3733800" cy="1964197"/>
            <wp:effectExtent b="0" l="0" r="0" t="0"/>
            <wp:docPr descr="Вопрос №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№12</w:t>
      </w:r>
    </w:p>
    <w:p>
      <w:pPr>
        <w:pStyle w:val="BodyText"/>
      </w:pPr>
      <w:r>
        <w:t xml:space="preserve">Остановленное приложение не использует ресурсы процессора(рис. 13).</w:t>
      </w:r>
    </w:p>
    <w:p>
      <w:pPr>
        <w:pStyle w:val="CaptionedFigure"/>
      </w:pPr>
      <w:r>
        <w:drawing>
          <wp:inline>
            <wp:extent cx="3733800" cy="2395209"/>
            <wp:effectExtent b="0" l="0" r="0" t="0"/>
            <wp:docPr descr="Вопрос №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№13</w:t>
      </w:r>
    </w:p>
    <w:p>
      <w:pPr>
        <w:pStyle w:val="BodyText"/>
      </w:pPr>
      <w:r>
        <w:t xml:space="preserve">Остановленное приложение не пропадает из памяти(рис. 14).</w:t>
      </w:r>
    </w:p>
    <w:p>
      <w:pPr>
        <w:pStyle w:val="CaptionedFigure"/>
      </w:pPr>
      <w:r>
        <w:drawing>
          <wp:inline>
            <wp:extent cx="3733800" cy="2398996"/>
            <wp:effectExtent b="0" l="0" r="0" t="0"/>
            <wp:docPr descr="Вопрос №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№14</w:t>
      </w:r>
    </w:p>
    <w:p>
      <w:pPr>
        <w:pStyle w:val="BodyText"/>
      </w:pPr>
      <w:r>
        <w:t xml:space="preserve">На то оно и многопоточное. Можно отключить только всё приложение сразу(рис. 15).</w:t>
      </w:r>
    </w:p>
    <w:p>
      <w:pPr>
        <w:pStyle w:val="CaptionedFigure"/>
      </w:pPr>
      <w:r>
        <w:drawing>
          <wp:inline>
            <wp:extent cx="3733800" cy="2280898"/>
            <wp:effectExtent b="0" l="0" r="0" t="0"/>
            <wp:docPr descr="Вопрос №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№15</w:t>
      </w:r>
    </w:p>
    <w:p>
      <w:pPr>
        <w:pStyle w:val="BodyText"/>
      </w:pPr>
      <w:r>
        <w:t xml:space="preserve">Изучил информацию о подпрограммах(рис. 16).</w:t>
      </w:r>
    </w:p>
    <w:p>
      <w:pPr>
        <w:pStyle w:val="CaptionedFigure"/>
      </w:pPr>
      <w:r>
        <w:drawing>
          <wp:inline>
            <wp:extent cx="3733800" cy="2195078"/>
            <wp:effectExtent b="0" l="0" r="0" t="0"/>
            <wp:docPr descr="Вопрос №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№16</w:t>
      </w:r>
    </w:p>
    <w:p>
      <w:pPr>
        <w:pStyle w:val="BodyText"/>
      </w:pPr>
      <w:r>
        <w:t xml:space="preserve">Во вкладках терминала команды выполняются независимо(рис. 17).</w:t>
      </w:r>
    </w:p>
    <w:p>
      <w:pPr>
        <w:pStyle w:val="CaptionedFigure"/>
      </w:pPr>
      <w:r>
        <w:drawing>
          <wp:inline>
            <wp:extent cx="3733800" cy="1897157"/>
            <wp:effectExtent b="0" l="0" r="0" t="0"/>
            <wp:docPr descr="Вопрос №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№17</w:t>
      </w:r>
    </w:p>
    <w:p>
      <w:pPr>
        <w:pStyle w:val="BodyText"/>
      </w:pPr>
      <w:r>
        <w:t xml:space="preserve">Без вкладок tmux отключается(рис. 18).</w:t>
      </w:r>
    </w:p>
    <w:p>
      <w:pPr>
        <w:pStyle w:val="CaptionedFigure"/>
      </w:pPr>
      <w:r>
        <w:drawing>
          <wp:inline>
            <wp:extent cx="3733800" cy="1918026"/>
            <wp:effectExtent b="0" l="0" r="0" t="0"/>
            <wp:docPr descr="Вопрос №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№18</w:t>
      </w:r>
    </w:p>
    <w:p>
      <w:pPr>
        <w:pStyle w:val="BodyText"/>
      </w:pPr>
      <w:r>
        <w:t xml:space="preserve">Основная</w:t>
      </w:r>
      <w:r>
        <w:t xml:space="preserve"> </w:t>
      </w:r>
      <w:r>
        <w:t xml:space="preserve">“</w:t>
      </w:r>
      <w:r>
        <w:t xml:space="preserve">фишка</w:t>
      </w:r>
      <w:r>
        <w:t xml:space="preserve">”</w:t>
      </w:r>
      <w:r>
        <w:t xml:space="preserve"> </w:t>
      </w:r>
      <w:r>
        <w:t xml:space="preserve">tmux как раз и заключается в его способности сохранить работу на сервере, в случае отключения клиента(рис. 19).</w:t>
      </w:r>
    </w:p>
    <w:p>
      <w:pPr>
        <w:pStyle w:val="CaptionedFigure"/>
      </w:pPr>
      <w:r>
        <w:drawing>
          <wp:inline>
            <wp:extent cx="3733800" cy="1999408"/>
            <wp:effectExtent b="0" l="0" r="0" t="0"/>
            <wp:docPr descr="Вопрос №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№19</w:t>
      </w:r>
    </w:p>
    <w:p>
      <w:pPr>
        <w:pStyle w:val="BodyText"/>
      </w:pPr>
      <w:r>
        <w:t xml:space="preserve">При принудительном выключении всё закрывается(рис. 20).</w:t>
      </w:r>
    </w:p>
    <w:p>
      <w:pPr>
        <w:pStyle w:val="CaptionedFigure"/>
      </w:pPr>
      <w:r>
        <w:drawing>
          <wp:inline>
            <wp:extent cx="3733800" cy="1755003"/>
            <wp:effectExtent b="0" l="0" r="0" t="0"/>
            <wp:docPr descr="Вопрос №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№20</w:t>
      </w:r>
    </w:p>
    <w:p>
      <w:pPr>
        <w:pStyle w:val="BodyText"/>
      </w:pPr>
      <w:r>
        <w:t xml:space="preserve">Изучил справку (с помощью grep)(рис. 21).</w:t>
      </w:r>
    </w:p>
    <w:p>
      <w:pPr>
        <w:pStyle w:val="CaptionedFigure"/>
      </w:pPr>
      <w:r>
        <w:drawing>
          <wp:inline>
            <wp:extent cx="3733800" cy="2061400"/>
            <wp:effectExtent b="0" l="0" r="0" t="0"/>
            <wp:docPr descr="Вопрос №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№21</w:t>
      </w:r>
    </w:p>
    <w:p>
      <w:pPr>
        <w:pStyle w:val="BodyText"/>
      </w:pPr>
      <w:r>
        <w:t xml:space="preserve">Решил с помощью проверки в tmux(рис.</w:t>
      </w:r>
      <w:r>
        <w:t xml:space="preserve"> </w:t>
      </w:r>
      <w:r>
        <w:rPr>
          <w:bCs/>
          <w:b/>
        </w:rPr>
        <w:t xml:space="preserve">¿fig:023?</w:t>
      </w:r>
      <w:r>
        <w:t xml:space="preserve">).</w:t>
      </w:r>
    </w:p>
    <w:p>
      <w:pPr>
        <w:pStyle w:val="CaptionedFigure"/>
      </w:pPr>
      <w:r>
        <w:drawing>
          <wp:inline>
            <wp:extent cx="3733800" cy="2568854"/>
            <wp:effectExtent b="0" l="0" r="0" t="0"/>
            <wp:docPr descr="Вопрос №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№22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прохождения курса я освоил работу с файлами на сервере. Практиковал работу с tmux. Научился запускать приложения на сервере и контролировать их работу. Разобрался с многопоточными программами.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</dc:title>
  <dc:creator>Комягин Андрей Николаевич</dc:creator>
  <dc:language>ru-RU</dc:language>
  <cp:keywords/>
  <dcterms:created xsi:type="dcterms:W3CDTF">2024-05-18T18:57:45Z</dcterms:created>
  <dcterms:modified xsi:type="dcterms:W3CDTF">2024-05-18T18:57:45Z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сервером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