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4.png" ContentType="image/png"/>
  <Override PartName="/word/media/rId54.png" ContentType="image/png"/>
  <Override PartName="/word/media/rId27.png" ContentType="image/png"/>
  <Override PartName="/word/media/rId31.png" ContentType="image/png"/>
  <Override PartName="/word/media/rId38.png" ContentType="image/png"/>
  <Override PartName="/word/media/rId50.png" ContentType="image/png"/>
  <Override PartName="/word/media/rId41.png" ContentType="image/png"/>
  <Override PartName="/word/media/rId24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событий, настройка централизованного сбора логов.</w:t>
      </w:r>
    </w:p>
    <w:bookmarkEnd w:id="20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0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p>
      <w:pPr>
        <w:pStyle w:val="FirstParagraph"/>
      </w:pPr>
      <w:r>
        <w:t xml:space="preserve">На сервере создан конфигурационный файл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для настройки приема логов.</w:t>
      </w:r>
      <w:r>
        <w:t xml:space="preserve"> </w:t>
      </w:r>
      <w:r>
        <w:t xml:space="preserve">В файл добавлены директивы для загрузки модуля TCP и прослушивания порта 514 (рис. 1):</w:t>
      </w:r>
    </w:p>
    <w:p>
      <w:pPr>
        <w:pStyle w:val="SourceCode"/>
      </w:pPr>
      <w:r>
        <w:rPr>
          <w:rStyle w:val="VariableTok"/>
        </w:rPr>
        <w:t xml:space="preserve">$ModLoad</w:t>
      </w:r>
      <w:r>
        <w:rPr>
          <w:rStyle w:val="NormalTok"/>
        </w:rPr>
        <w:t xml:space="preserve"> imtcp</w:t>
      </w:r>
      <w:r>
        <w:br/>
      </w:r>
      <w:r>
        <w:rPr>
          <w:rStyle w:val="VariableTok"/>
        </w:rPr>
        <w:t xml:space="preserve">$InputTCPServerRun</w:t>
      </w:r>
      <w:r>
        <w:rPr>
          <w:rStyle w:val="NormalTok"/>
        </w:rPr>
        <w:t xml:space="preserve"> 514</w:t>
      </w:r>
    </w:p>
    <w:p>
      <w:pPr>
        <w:pStyle w:val="CaptionedFigure"/>
      </w:pPr>
      <w:r>
        <w:drawing>
          <wp:inline>
            <wp:extent cx="3733800" cy="989114"/>
            <wp:effectExtent b="0" l="0" r="0" t="0"/>
            <wp:docPr descr="Рис. 1: Создание конфигурации rsyslog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конфигурации rsyslog на сервере</w:t>
      </w:r>
    </w:p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была перезапущена. Выполнена проверка того, что порт 514 прослушивается (рис. 2):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514</w:t>
      </w:r>
    </w:p>
    <w:p>
      <w:pPr>
        <w:pStyle w:val="CaptionedFigure"/>
      </w:pPr>
      <w:r>
        <w:drawing>
          <wp:inline>
            <wp:extent cx="3733800" cy="1275248"/>
            <wp:effectExtent b="0" l="0" r="0" t="0"/>
            <wp:docPr descr="Рис. 2: Проверка статуса службы и прослушиваемых портов" title="" id="25" name="Picture"/>
            <a:graphic>
              <a:graphicData uri="http://schemas.openxmlformats.org/drawingml/2006/picture">
                <pic:pic>
                  <pic:nvPicPr>
                    <pic:cNvPr descr="image/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статуса службы и прослушиваемых портов</w:t>
      </w:r>
    </w:p>
    <w:p>
      <w:pPr>
        <w:pStyle w:val="BodyText"/>
      </w:pPr>
      <w:r>
        <w:t xml:space="preserve">В межсетевом экране открыт порт 514/tcp для приема входящих соединений (рис. 3):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 </w:t>
      </w:r>
      <w:r>
        <w:rPr>
          <w:rStyle w:val="AttributeTok"/>
        </w:rPr>
        <w:t xml:space="preserve">--permanent</w:t>
      </w:r>
    </w:p>
    <w:p>
      <w:pPr>
        <w:pStyle w:val="CaptionedFigure"/>
      </w:pPr>
      <w:r>
        <w:drawing>
          <wp:inline>
            <wp:extent cx="3733800" cy="831988"/>
            <wp:effectExtent b="0" l="0" r="0" t="0"/>
            <wp:docPr descr="Рис. 3: Настройка Firewall на сервере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Firewall на сервере</w:t>
      </w:r>
    </w:p>
    <w:bookmarkEnd w:id="30"/>
    <w:bookmarkStart w:id="37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pStyle w:val="FirstParagraph"/>
      </w:pPr>
      <w:r>
        <w:t xml:space="preserve">На клиенте создан файл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. В него добавлена строка перенаправления всех логов (</w:t>
      </w:r>
      <w:r>
        <w:rPr>
          <w:rStyle w:val="VerbatimChar"/>
        </w:rPr>
        <w:t xml:space="preserve">*.*</w:t>
      </w:r>
      <w:r>
        <w:t xml:space="preserve">) на сервер по протоколу TCP (рис. 4):</w:t>
      </w:r>
    </w:p>
    <w:p>
      <w:pPr>
        <w:pStyle w:val="SourceCode"/>
      </w:pPr>
      <w:r>
        <w:rPr>
          <w:rStyle w:val="ExtensionTok"/>
        </w:rPr>
        <w:t xml:space="preserve">*.*</w:t>
      </w:r>
      <w:r>
        <w:rPr>
          <w:rStyle w:val="NormalTok"/>
        </w:rPr>
        <w:t xml:space="preserve"> @@server.ankomyagin.net:514</w:t>
      </w:r>
    </w:p>
    <w:p>
      <w:pPr>
        <w:pStyle w:val="FirstParagraph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на клиенте перезапущена.</w:t>
      </w:r>
    </w:p>
    <w:p>
      <w:pPr>
        <w:pStyle w:val="CaptionedFigure"/>
      </w:pPr>
      <w:r>
        <w:drawing>
          <wp:inline>
            <wp:extent cx="3733800" cy="541631"/>
            <wp:effectExtent b="0" l="0" r="0" t="0"/>
            <wp:docPr descr="Рис. 4: Настройка конфигурации rsyslog на клиенте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конфигурации rsyslog на клиенте</w:t>
      </w:r>
    </w:p>
    <w:p>
      <w:pPr>
        <w:pStyle w:val="BodyText"/>
      </w:pPr>
      <w:r>
        <w:t xml:space="preserve">Выполнена проверка связности с сервером по порту 514 с помощью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и отправка тестового сообщения через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3733800" cy="334754"/>
            <wp:effectExtent b="0" l="0" r="0" t="0"/>
            <wp:docPr descr="Рис. 5: Проверка соединения и отправка тестового сообщения" title="" id="35" name="Picture"/>
            <a:graphic>
              <a:graphicData uri="http://schemas.openxmlformats.org/drawingml/2006/picture">
                <pic:pic>
                  <pic:nvPicPr>
                    <pic:cNvPr descr="image/1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соединения и отправка тестового сообщения</w:t>
      </w:r>
    </w:p>
    <w:bookmarkEnd w:id="37"/>
    <w:bookmarkStart w:id="53" w:name="просмотр-и-анализ-жур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и анализ журналов</w:t>
      </w:r>
    </w:p>
    <w:p>
      <w:pPr>
        <w:pStyle w:val="FirstParagraph"/>
      </w:pPr>
      <w:r>
        <w:t xml:space="preserve">На сервере запущен мониторинг файла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в реальном времени. В логах отображаются события как от локальной системы, так и от клиента (рис. 6, 7).</w:t>
      </w:r>
    </w:p>
    <w:p>
      <w:pPr>
        <w:pStyle w:val="CaptionedFigure"/>
      </w:pPr>
      <w:r>
        <w:drawing>
          <wp:inline>
            <wp:extent cx="3733800" cy="1812886"/>
            <wp:effectExtent b="0" l="0" r="0" t="0"/>
            <wp:docPr descr="Рис. 6: Просмотр логов на сервере (tail)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логов на сервере (tail)</w:t>
      </w:r>
    </w:p>
    <w:p>
      <w:pPr>
        <w:pStyle w:val="CaptionedFigure"/>
      </w:pPr>
      <w:r>
        <w:drawing>
          <wp:inline>
            <wp:extent cx="3733800" cy="1880787"/>
            <wp:effectExtent b="0" l="0" r="0" t="0"/>
            <wp:docPr descr="Рис. 7: Фильтрация логов по именам хостов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Фильтрация логов по именам хостов</w:t>
      </w:r>
    </w:p>
    <w:p>
      <w:pPr>
        <w:pStyle w:val="BodyText"/>
      </w:pPr>
      <w:r>
        <w:t xml:space="preserve">На клиенте также проверена отправка сообщений и их локальная регистрация (рис. 8).</w:t>
      </w:r>
    </w:p>
    <w:p>
      <w:pPr>
        <w:pStyle w:val="CaptionedFigure"/>
      </w:pPr>
      <w:r>
        <w:drawing>
          <wp:inline>
            <wp:extent cx="3733800" cy="702925"/>
            <wp:effectExtent b="0" l="0" r="0" t="0"/>
            <wp:docPr descr="Рис. 8: Проверка локальных логов на клиенте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локальных логов на клиенте</w:t>
      </w:r>
    </w:p>
    <w:p>
      <w:pPr>
        <w:pStyle w:val="BodyText"/>
      </w:pPr>
      <w:r>
        <w:t xml:space="preserve">Для анализа логов использованы команды фильтрации (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) для выборки интересующих событий (рис. 9).</w:t>
      </w:r>
    </w:p>
    <w:p>
      <w:pPr>
        <w:pStyle w:val="CaptionedFigure"/>
      </w:pPr>
      <w:r>
        <w:drawing>
          <wp:inline>
            <wp:extent cx="3733800" cy="1875766"/>
            <wp:effectExtent b="0" l="0" r="0" t="0"/>
            <wp:docPr descr="Рис. 9: Анализ логов с помощью grep и sort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Анализ логов с помощью grep и sort</w:t>
      </w:r>
    </w:p>
    <w:p>
      <w:pPr>
        <w:pStyle w:val="BodyText"/>
      </w:pPr>
      <w:r>
        <w:t xml:space="preserve">Также рассмотрен графический инструмент просмотра процессов и ресурсов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3733800" cy="3225122"/>
            <wp:effectExtent b="0" l="0" r="0" t="0"/>
            <wp:docPr descr="Рис. 10: Мониторинг системных ресурсов" title="" id="51" name="Picture"/>
            <a:graphic>
              <a:graphicData uri="http://schemas.openxmlformats.org/drawingml/2006/picture">
                <pic:pic>
                  <pic:nvPicPr>
                    <pic:cNvPr descr="image/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Мониторинг системных ресурсов</w:t>
      </w:r>
    </w:p>
    <w:bookmarkEnd w:id="53"/>
    <w:bookmarkStart w:id="57" w:name="автоматизация-настройк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Автоматизация настройки</w:t>
      </w:r>
    </w:p>
    <w:p>
      <w:pPr>
        <w:pStyle w:val="FirstParagraph"/>
      </w:pPr>
      <w:r>
        <w:t xml:space="preserve">Для автоматизации процесса настройки созданы скрипты provisioning. На сервере подготовлена структура каталогов и скопированы конфигурационные файлы (рис. 11).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/vagrant/provision/server/netlog/etc/rsyslog.d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/etc/rsyslog.d/netlog-server.conf /vagrant/provision/server/netlog/etc/rsyslog.d</w:t>
      </w:r>
    </w:p>
    <w:p>
      <w:pPr>
        <w:pStyle w:val="CaptionedFigure"/>
      </w:pPr>
      <w:r>
        <w:drawing>
          <wp:inline>
            <wp:extent cx="3733800" cy="500509"/>
            <wp:effectExtent b="0" l="0" r="0" t="0"/>
            <wp:docPr descr="Рис. 11: Подготовка файлов для автоматизации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Подготовка файлов для автоматизации</w:t>
      </w:r>
    </w:p>
    <w:p>
      <w:pPr>
        <w:pStyle w:val="BodyText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для автоматической настройки при развертывании Vagrant.</w:t>
      </w:r>
    </w:p>
    <w:p>
      <w:pPr>
        <w:pStyle w:val="BodyText"/>
      </w:pPr>
      <w:r>
        <w:rPr>
          <w:b/>
          <w:bCs/>
        </w:rPr>
        <w:t xml:space="preserve">Содержимое скрипта для сервера: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/vagrant/provision/server/netlog/etc/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 </w:t>
      </w:r>
      <w:r>
        <w:rPr>
          <w:rStyle w:val="AttributeTok"/>
        </w:rPr>
        <w:t xml:space="preserve">--permanent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rsyslog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rsyslog</w:t>
      </w:r>
    </w:p>
    <w:p>
      <w:pPr>
        <w:pStyle w:val="FirstParagraph"/>
      </w:pPr>
      <w:r>
        <w:t xml:space="preserve">Для клиента также создан соответствующий скрипт, копирующий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и перезапускающий службу.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модуль rsyslog вы должны использовать для приёма сообщений от journald?</w:t>
      </w:r>
      <w:r>
        <w:t xml:space="preserve"> </w:t>
      </w:r>
      <w:r>
        <w:t xml:space="preserve">Для приема сообщений от системного журнала journald используется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называется устаревший модуль, который можно использовать для включения приёма сообщений журнала в rsyslog?</w:t>
      </w:r>
      <w:r>
        <w:t xml:space="preserve"> </w:t>
      </w:r>
      <w:r>
        <w:t xml:space="preserve">Устаревший модуль, который читал сообщения из локального сокета системы (обычно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), называется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  <w:r>
        <w:t xml:space="preserve"> </w:t>
      </w:r>
      <w:r>
        <w:t xml:space="preserve">В конфигурационном файле следует установить параметр</w:t>
      </w:r>
      <w:r>
        <w:t xml:space="preserve"> </w:t>
      </w:r>
      <w:r>
        <w:rPr>
          <w:rStyle w:val="VerbatimChar"/>
        </w:rPr>
        <w:t xml:space="preserve">$OmitLocalLogging on</w:t>
      </w:r>
      <w:r>
        <w:t xml:space="preserve">. Это отключает прием логов через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, полагаясь на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каком конфигурационном файле содержатся настройки, которые позволяют вам настраивать работу журнала?</w:t>
      </w:r>
      <w:r>
        <w:t xml:space="preserve"> </w:t>
      </w:r>
      <w:r>
        <w:t xml:space="preserve">Основной файл конфигурации —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Дополнительные настройки часто размещаются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Каким параметром управляется пересылка сообщений из journald в rsyslog?</w:t>
      </w:r>
      <w:r>
        <w:t xml:space="preserve"> </w:t>
      </w:r>
      <w:r>
        <w:t xml:space="preserve">В конфигурации journald (</w:t>
      </w:r>
      <w:r>
        <w:rPr>
          <w:rStyle w:val="VerbatimChar"/>
        </w:rPr>
        <w:t xml:space="preserve">/etc/systemd/journald.conf</w:t>
      </w:r>
      <w:r>
        <w:t xml:space="preserve">) параметр</w:t>
      </w:r>
      <w:r>
        <w:t xml:space="preserve"> </w:t>
      </w:r>
      <w:r>
        <w:rPr>
          <w:rStyle w:val="VerbatimChar"/>
        </w:rPr>
        <w:t xml:space="preserve">ForwardToSyslog=yes</w:t>
      </w:r>
      <w:r>
        <w:t xml:space="preserve"> </w:t>
      </w:r>
      <w:r>
        <w:t xml:space="preserve">управляет пересылкой. Однако,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с модулем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 </w:t>
      </w:r>
      <w:r>
        <w:t xml:space="preserve">может самостоятельно забирать данные из журнала, независимо от настройки пересылки со стороны journald.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модуль rsyslog вы можете использовать для включения сообщений из файла журнала, не созданного rsyslog?</w:t>
      </w:r>
      <w:r>
        <w:t xml:space="preserve"> </w:t>
      </w:r>
      <w:r>
        <w:t xml:space="preserve">Для отслеживания текстовых файлов используется модуль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модуль rsyslog вам нужно использовать для пересылки сообщений в базу данных MariaDB?</w:t>
      </w:r>
      <w:r>
        <w:t xml:space="preserve"> </w:t>
      </w:r>
      <w:r>
        <w:t xml:space="preserve">Используется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VariableTok"/>
        </w:rPr>
        <w:t xml:space="preserve">$ModLoad</w:t>
      </w:r>
      <w:r>
        <w:rPr>
          <w:rStyle w:val="NormalTok"/>
        </w:rPr>
        <w:t xml:space="preserve"> imtcp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$InputTCPServerRun</w:t>
      </w:r>
      <w:r>
        <w:rPr>
          <w:rStyle w:val="NormalTok"/>
        </w:rPr>
        <w:t xml:space="preserve"> 514</w:t>
      </w:r>
    </w:p>
    <w:p>
      <w:pPr>
        <w:pStyle w:val="SourceCode"/>
      </w:pPr>
      <w:r>
        <w:rPr>
          <w:rStyle w:val="VerbatimChar"/>
        </w:rPr>
        <w:t xml:space="preserve">(Или в новом синтаксисе RainerScript: `module(load="imtcp")` и `input(type="imtcp" port="514")`).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Как настроить локальный брандмауэр, чтобы разрешить приём сообщений журнала через порт TCP 514?</w:t>
      </w:r>
      <w:r>
        <w:t xml:space="preserve"> </w:t>
      </w:r>
      <w:r>
        <w:t xml:space="preserve">Необходимо выполнить команду: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514/tcp </w:t>
      </w:r>
      <w:r>
        <w:rPr>
          <w:rStyle w:val="AttributeTok"/>
        </w:rPr>
        <w:t xml:space="preserve">--permanent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централизованного сервера логирования на базе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. Настроена передача системных сообщений с клиента на сервер по протоколу TCP. Изучены методы просмотра и фильтрации логов с использованием утилит командной строки (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 и графических средств. Реализована автоматизация настройки с помощью скриптов Vagrant.</w:t>
      </w:r>
    </w:p>
    <w:bookmarkEnd w:id="60"/>
    <w:bookmarkStart w:id="6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Официальная документация Red Hat Enterprise Linux 7. System Administrator’s Guide. Chapter 23. Viewing and Managing Log Files.</w:t>
      </w:r>
    </w:p>
    <w:p>
      <w:pPr>
        <w:pStyle w:val="Compact"/>
        <w:numPr>
          <w:ilvl w:val="0"/>
          <w:numId w:val="1003"/>
        </w:numPr>
      </w:pPr>
      <w:r>
        <w:t xml:space="preserve">Руководство</w:t>
      </w:r>
      <w:r>
        <w:t xml:space="preserve"> </w:t>
      </w:r>
      <w:r>
        <w:rPr>
          <w:rStyle w:val="VerbatimChar"/>
        </w:rPr>
        <w:t xml:space="preserve">man rsyslog.conf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Королькова А. В., Кулябов Д. С. Администрирование сетевых подсистем. Учебно-методическое пособие.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Комягин Андрей Андреевич</dc:creator>
  <dc:language>ru-RU</dc:language>
  <cp:keywords/>
  <dcterms:created xsi:type="dcterms:W3CDTF">2025-11-22T14:31:06Z</dcterms:created>
  <dcterms:modified xsi:type="dcterms:W3CDTF">2025-11-22T14:31:06Z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