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5.png" ContentType="image/png"/>
  <Override PartName="/word/media/rId82.png" ContentType="image/png"/>
  <Override PartName="/word/media/rId85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28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2.png" ContentType="image/png"/>
  <Override PartName="/word/media/rId31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156.png" ContentType="image/png"/>
  <Override PartName="/word/media/rId159.png" ContentType="image/png"/>
  <Override PartName="/word/media/rId162.png" ContentType="image/png"/>
  <Override PartName="/word/media/rId165.png" ContentType="image/png"/>
  <Override PartName="/word/media/rId168.png" ContentType="image/png"/>
  <Override PartName="/word/media/rId171.png" ContentType="image/png"/>
  <Override PartName="/word/media/rId174.png" ContentType="image/png"/>
  <Override PartName="/word/media/rId35.png" ContentType="image/png"/>
  <Override PartName="/word/media/rId177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маршрутизации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работы — изучение принципов маршрутизации в IPv4- и IPv6-сетях и принципов настройки сетевого оборудования.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задокументировать моделируемую сеть (схемы L1 и L3, таблицы адресации), настроить двойной стек IPv4/IPv6, а также настроить динамическую маршрутизацию по протоколам RIP/RIPng и OSPF (OSPFv2/OSPFv3), проверить связность, пути прохождения пакетов и проанализировать захваченный трафик.</w:t>
      </w:r>
    </w:p>
    <w:bookmarkEnd w:id="21"/>
    <w:bookmarkStart w:id="1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документирование-сет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Документирование сети</w:t>
      </w:r>
    </w:p>
    <w:p>
      <w:pPr>
        <w:pStyle w:val="FirstParagraph"/>
      </w:pPr>
      <w:r>
        <w:t xml:space="preserve">Ниже приведены таблицы адресации (сети и адреса интерфейсов), используемые в работе.</w:t>
      </w:r>
    </w:p>
    <w:p>
      <w:pPr>
        <w:pStyle w:val="BodyText"/>
      </w:pPr>
      <w:r>
        <w:t xml:space="preserve">Таблица: Адреса сегментов сети (по табл. 8.1).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 – 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2001:10::/64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 – 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2001:11::/64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 – 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 – 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2001:2::/64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 – 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2001:3::/64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 – 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2001:4::/64</w:t>
            </w:r>
          </w:p>
        </w:tc>
      </w:tr>
    </w:tbl>
    <w:p>
      <w:pPr>
        <w:pStyle w:val="BodyText"/>
      </w:pPr>
      <w:r>
        <w:t xml:space="preserve">Таблица: Адреса интерфейсов устройств (по табл. 8.2).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IP/префикс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Следующее устройство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10.0.10.1/24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2001:10::1/64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10.0.4.2/24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2001:4::2/64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10.0.1.2/24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2001:1::2/64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10.0.2.1/24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2001:2::1/64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10.0.11.1/24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2001:11::1/64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10.0.2.2/24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2001:2::2/64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10.0.3.1/24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2001:3::1/64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10.0.3.2/24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2001:3::2/64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10.0.4.1/24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2001:4::1/64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10.0.10.10/24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2001:10::a/64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10.0.11.10/24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2001:11::a/64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</w:tbl>
    <w:p>
      <w:pPr>
        <w:pStyle w:val="BodyText"/>
      </w:pPr>
      <w:r>
        <w:t xml:space="preserve">В отчёте также подготовлены схемы L1 и L3 для данной топологии.</w:t>
      </w:r>
    </w:p>
    <w:p>
      <w:pPr>
        <w:pStyle w:val="CaptionedFigure"/>
      </w:pPr>
      <w:r>
        <w:drawing>
          <wp:inline>
            <wp:extent cx="5132129" cy="2757562"/>
            <wp:effectExtent b="0" l="0" r="0" t="0"/>
            <wp:docPr descr="Рис. 1: Топология в GNS3 (общий вид стенда)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129" cy="2757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Топология в GNS3 (общий вид стенда)</w:t>
      </w:r>
    </w:p>
    <w:p>
      <w:pPr>
        <w:pStyle w:val="CaptionedFigure"/>
      </w:pPr>
      <w:r>
        <w:drawing>
          <wp:inline>
            <wp:extent cx="5334000" cy="6155879"/>
            <wp:effectExtent b="0" l="0" r="0" t="0"/>
            <wp:docPr descr="Рис. 2: Схема L1 (физические соединения и интерфейсы)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5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Схема L1 (физические соединения и интерфейсы)</w:t>
      </w:r>
    </w:p>
    <w:p>
      <w:pPr>
        <w:pStyle w:val="CaptionedFigure"/>
      </w:pPr>
      <w:r>
        <w:drawing>
          <wp:inline>
            <wp:extent cx="5334000" cy="6366387"/>
            <wp:effectExtent b="0" l="0" r="0" t="0"/>
            <wp:docPr descr="Рис. 3: Схема L3 (адресация и направление маршрутизации)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Схема L3 (адресация и направление маршрутизации)</w:t>
      </w:r>
    </w:p>
    <w:p>
      <w:pPr>
        <w:pStyle w:val="CaptionedFigure"/>
      </w:pPr>
      <w:r>
        <w:drawing>
          <wp:inline>
            <wp:extent cx="4461889" cy="4595937"/>
            <wp:effectExtent b="0" l="0" r="0" t="0"/>
            <wp:docPr descr="Рис. 4: Таблицы/схемы адресации, используемые в отчёт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889" cy="4595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Таблицы/схемы адресации, используемые в отчёте</w:t>
      </w:r>
    </w:p>
    <w:bookmarkEnd w:id="34"/>
    <w:bookmarkStart w:id="50" w:name="построение-стенда-в-gns3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стенда в GNS3</w:t>
      </w:r>
    </w:p>
    <w:p>
      <w:pPr>
        <w:pStyle w:val="FirstParagraph"/>
      </w:pPr>
      <w:r>
        <w:t xml:space="preserve">В GNS3 был создан новый проект и собрана топология, соответствующая заданию: четыре маршрутизатора (FRR) и два хоста (VPCS), соединённые через коммутаторы согласно топологии сети.</w:t>
      </w:r>
    </w:p>
    <w:p>
      <w:pPr>
        <w:pStyle w:val="CaptionedFigure"/>
      </w:pPr>
      <w:r>
        <w:drawing>
          <wp:inline>
            <wp:extent cx="5334000" cy="5661386"/>
            <wp:effectExtent b="0" l="0" r="0" t="0"/>
            <wp:docPr descr="Рис. 5: Создание проекта и размещение устройств в GNS3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проекта и размещение устройств в GNS3</w:t>
      </w:r>
    </w:p>
    <w:p>
      <w:pPr>
        <w:pStyle w:val="BodyText"/>
      </w:pPr>
      <w:r>
        <w:t xml:space="preserve">Имена устройств приведены к требуемому формату (msk-ankomyagin-sw-0x, msk-ankomyagin-gw-0x, PCx-ankomyagin), после чего включён захват трафика на соединениях sw-01—gw-01 и sw-02—gw-03.</w:t>
      </w:r>
    </w:p>
    <w:p>
      <w:pPr>
        <w:pStyle w:val="CaptionedFigure"/>
      </w:pPr>
      <w:r>
        <w:drawing>
          <wp:inline>
            <wp:extent cx="5334000" cy="4987007"/>
            <wp:effectExtent b="0" l="0" r="0" t="0"/>
            <wp:docPr descr="Рис. 6: Переименование узлов и настройка отображаемых имён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Переименование узлов и настройка отображаемых имён</w:t>
      </w:r>
    </w:p>
    <w:p>
      <w:pPr>
        <w:pStyle w:val="CaptionedFigure"/>
      </w:pPr>
      <w:r>
        <w:drawing>
          <wp:inline>
            <wp:extent cx="5334000" cy="6097159"/>
            <wp:effectExtent b="0" l="0" r="0" t="0"/>
            <wp:docPr descr="Рис. 7: Включение захвата трафика на заданных линках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Включение захвата трафика на заданных линках</w:t>
      </w:r>
    </w:p>
    <w:p>
      <w:pPr>
        <w:pStyle w:val="CaptionedFigure"/>
      </w:pPr>
      <w:r>
        <w:drawing>
          <wp:inline>
            <wp:extent cx="5334000" cy="3264149"/>
            <wp:effectExtent b="0" l="0" r="0" t="0"/>
            <wp:docPr descr="Рис. 8: Проверка интерфейсов/соединений в собранной топологии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интерфейсов/соединений в собранной топологии</w:t>
      </w:r>
    </w:p>
    <w:p>
      <w:pPr>
        <w:pStyle w:val="CaptionedFigure"/>
      </w:pPr>
      <w:r>
        <w:drawing>
          <wp:inline>
            <wp:extent cx="5334000" cy="2575749"/>
            <wp:effectExtent b="0" l="0" r="0" t="0"/>
            <wp:docPr descr="Рис. 9: Окна захвата трафика (подготовка к анализу протоколов)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5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Окна захвата трафика (подготовка к анализу протоколов)</w:t>
      </w:r>
    </w:p>
    <w:bookmarkEnd w:id="50"/>
    <w:bookmarkStart w:id="89" w:name="настройка-ipv4ipv6-адресаци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IPv4/IPv6 адресации</w:t>
      </w:r>
    </w:p>
    <w:bookmarkStart w:id="63" w:name="настройка-адресов-на-pc1-и-pc2-vpcs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Настройка адресов на PC1 и PC2 (VPCS)</w:t>
      </w:r>
    </w:p>
    <w:p>
      <w:pPr>
        <w:pStyle w:val="FirstParagraph"/>
      </w:pPr>
      <w:r>
        <w:t xml:space="preserve">Оконечным устройствам назначены IPv4-адреса командами VPCS в соответствии с табл. 8.2 (PC1: 10.0.10.10/24, шлюз 10.0.10.1; PC2: 10.0.11.10/24, шлюз 10.0.11.1).</w:t>
      </w:r>
    </w:p>
    <w:p>
      <w:pPr>
        <w:pStyle w:val="SourceCode"/>
      </w:pPr>
      <w:r>
        <w:rPr>
          <w:rStyle w:val="VerbatimChar"/>
        </w:rPr>
        <w:t xml:space="preserve">PC1&gt; ip 10.0.10.10/24 10.0.10.1</w:t>
      </w:r>
      <w:r>
        <w:br/>
      </w:r>
      <w:r>
        <w:rPr>
          <w:rStyle w:val="VerbatimChar"/>
        </w:rPr>
        <w:t xml:space="preserve">PC1&gt; save</w:t>
      </w:r>
      <w:r>
        <w:br/>
      </w:r>
      <w:r>
        <w:rPr>
          <w:rStyle w:val="VerbatimChar"/>
        </w:rPr>
        <w:t xml:space="preserve">PC1&gt; show ip</w:t>
      </w:r>
      <w:r>
        <w:br/>
      </w:r>
      <w:r>
        <w:br/>
      </w:r>
      <w:r>
        <w:rPr>
          <w:rStyle w:val="VerbatimChar"/>
        </w:rPr>
        <w:t xml:space="preserve">PC2&gt; ip 10.0.11.10/24 10.0.11.1</w:t>
      </w:r>
      <w:r>
        <w:br/>
      </w:r>
      <w:r>
        <w:rPr>
          <w:rStyle w:val="VerbatimChar"/>
        </w:rPr>
        <w:t xml:space="preserve">PC2&gt; save</w:t>
      </w:r>
      <w:r>
        <w:br/>
      </w:r>
      <w:r>
        <w:rPr>
          <w:rStyle w:val="VerbatimChar"/>
        </w:rPr>
        <w:t xml:space="preserve">PC2&gt; show ip</w:t>
      </w:r>
    </w:p>
    <w:p>
      <w:pPr>
        <w:pStyle w:val="CaptionedFigure"/>
      </w:pPr>
      <w:r>
        <w:drawing>
          <wp:inline>
            <wp:extent cx="5334000" cy="2562202"/>
            <wp:effectExtent b="0" l="0" r="0" t="0"/>
            <wp:docPr descr="Рис. 10: Настройка IPv4 на PC1 и проверка show ip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IPv4 на PC1 и проверка show ip</w:t>
      </w:r>
    </w:p>
    <w:p>
      <w:pPr>
        <w:pStyle w:val="CaptionedFigure"/>
      </w:pPr>
      <w:r>
        <w:drawing>
          <wp:inline>
            <wp:extent cx="5334000" cy="6584673"/>
            <wp:effectExtent b="0" l="0" r="0" t="0"/>
            <wp:docPr descr="Рис. 11: Настройка IPv4 на PC2 и проверка show ip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4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IPv4 на PC2 и проверка show ip</w:t>
      </w:r>
    </w:p>
    <w:p>
      <w:pPr>
        <w:pStyle w:val="BodyText"/>
      </w:pPr>
      <w:r>
        <w:t xml:space="preserve">Оконечным устройствам назначены IPv6-адреса командами VPCS в соответствии с табл. 8.2 (PC1: 2001:10::a/64; PC2: 2001:11::a/64).</w:t>
      </w:r>
    </w:p>
    <w:p>
      <w:pPr>
        <w:pStyle w:val="SourceCode"/>
      </w:pPr>
      <w:r>
        <w:rPr>
          <w:rStyle w:val="VerbatimChar"/>
        </w:rPr>
        <w:t xml:space="preserve">PC1&gt; ip 2001:10::a/64</w:t>
      </w:r>
      <w:r>
        <w:br/>
      </w:r>
      <w:r>
        <w:rPr>
          <w:rStyle w:val="VerbatimChar"/>
        </w:rPr>
        <w:t xml:space="preserve">PC1&gt; save</w:t>
      </w:r>
      <w:r>
        <w:br/>
      </w:r>
      <w:r>
        <w:rPr>
          <w:rStyle w:val="VerbatimChar"/>
        </w:rPr>
        <w:t xml:space="preserve">PC1&gt; show ipv6</w:t>
      </w:r>
      <w:r>
        <w:br/>
      </w:r>
      <w:r>
        <w:br/>
      </w:r>
      <w:r>
        <w:rPr>
          <w:rStyle w:val="VerbatimChar"/>
        </w:rPr>
        <w:t xml:space="preserve">PC2&gt; ip 2001:11::a/64</w:t>
      </w:r>
      <w:r>
        <w:br/>
      </w:r>
      <w:r>
        <w:rPr>
          <w:rStyle w:val="VerbatimChar"/>
        </w:rPr>
        <w:t xml:space="preserve">PC2&gt; save</w:t>
      </w:r>
      <w:r>
        <w:br/>
      </w:r>
      <w:r>
        <w:rPr>
          <w:rStyle w:val="VerbatimChar"/>
        </w:rPr>
        <w:t xml:space="preserve">PC2&gt; show ipv6</w:t>
      </w:r>
    </w:p>
    <w:p>
      <w:pPr>
        <w:pStyle w:val="CaptionedFigure"/>
      </w:pPr>
      <w:r>
        <w:drawing>
          <wp:inline>
            <wp:extent cx="5334000" cy="5557630"/>
            <wp:effectExtent b="0" l="0" r="0" t="0"/>
            <wp:docPr descr="Рис. 12: Настройка IPv6 на PC1 и проверка show ipv6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7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IPv6 на PC1 и проверка show ipv6</w:t>
      </w:r>
    </w:p>
    <w:p>
      <w:pPr>
        <w:pStyle w:val="CaptionedFigure"/>
      </w:pPr>
      <w:r>
        <w:drawing>
          <wp:inline>
            <wp:extent cx="5334000" cy="6604387"/>
            <wp:effectExtent b="0" l="0" r="0" t="0"/>
            <wp:docPr descr="Рис. 13: Настройка IPv6 на PC2 и проверка show ipv6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0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IPv6 на PC2 и проверка show ipv6</w:t>
      </w:r>
    </w:p>
    <w:bookmarkEnd w:id="63"/>
    <w:bookmarkStart w:id="88" w:name="настройка-адресов-на-маршрутизаторах-frr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Настройка адресов на маршрутизаторах (FRR)</w:t>
      </w:r>
    </w:p>
    <w:p>
      <w:pPr>
        <w:pStyle w:val="FirstParagraph"/>
      </w:pPr>
      <w:r>
        <w:t xml:space="preserve">На маршрутизаторах msk-ankomyagin-gw-01…msk-ankomyagin-gw-04 настроены IPv4-адреса интерфейсов согласно табл. 8.2 и сохранена конфигурация (write memory).</w:t>
      </w:r>
    </w:p>
    <w:p>
      <w:pPr>
        <w:pStyle w:val="CaptionedFigure"/>
      </w:pPr>
      <w:r>
        <w:drawing>
          <wp:inline>
            <wp:extent cx="5334000" cy="2002103"/>
            <wp:effectExtent b="0" l="0" r="0" t="0"/>
            <wp:docPr descr="Рис. 14: Настройка IPv4 на msk-ankomyagin-gw-01 (eth0/eth1/eth2)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IPv4 на msk-ankomyagin-gw-01 (eth0/eth1/eth2)</w:t>
      </w:r>
    </w:p>
    <w:p>
      <w:pPr>
        <w:pStyle w:val="CaptionedFigure"/>
      </w:pPr>
      <w:r>
        <w:drawing>
          <wp:inline>
            <wp:extent cx="5334000" cy="5057831"/>
            <wp:effectExtent b="0" l="0" r="0" t="0"/>
            <wp:docPr descr="Рис. 15: Настройка IPv4 на msk-ankomyagin-gw-02 (eth0/eth1)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IPv4 на msk-ankomyagin-gw-02 (eth0/eth1)</w:t>
      </w:r>
    </w:p>
    <w:p>
      <w:pPr>
        <w:pStyle w:val="CaptionedFigure"/>
      </w:pPr>
      <w:r>
        <w:drawing>
          <wp:inline>
            <wp:extent cx="5334000" cy="6402551"/>
            <wp:effectExtent b="0" l="0" r="0" t="0"/>
            <wp:docPr descr="Рис. 16: Настройка IPv4 на msk-ankomyagin-gw-03 (eth0/eth1/eth2)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2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IPv4 на msk-ankomyagin-gw-03 (eth0/eth1/eth2)</w:t>
      </w:r>
    </w:p>
    <w:p>
      <w:pPr>
        <w:pStyle w:val="CaptionedFigure"/>
      </w:pPr>
      <w:r>
        <w:drawing>
          <wp:inline>
            <wp:extent cx="5334000" cy="6247654"/>
            <wp:effectExtent b="0" l="0" r="0" t="0"/>
            <wp:docPr descr="Рис. 17: Настройка IPv4 на msk-ankomyagin-gw-04 (eth0/eth1)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7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IPv4 на msk-ankomyagin-gw-04 (eth0/eth1)</w:t>
      </w:r>
    </w:p>
    <w:p>
      <w:pPr>
        <w:pStyle w:val="BodyText"/>
      </w:pPr>
      <w:r>
        <w:t xml:space="preserve">На маршрутизаторах включена маршрутизация IPv6 (ipv6 forwarding), назначены IPv6-адреса интерфейсам согласно табл. 8.2, а на интерфейсах к хостам разрешена рассылка RA (no ipv6 nd suppress-ra) и задан префикс для ND.</w:t>
      </w:r>
    </w:p>
    <w:p>
      <w:pPr>
        <w:pStyle w:val="CaptionedFigure"/>
      </w:pPr>
      <w:r>
        <w:drawing>
          <wp:inline>
            <wp:extent cx="5334000" cy="3855662"/>
            <wp:effectExtent b="0" l="0" r="0" t="0"/>
            <wp:docPr descr="Рис. 18: Настройка IPv6 на msk-ankomyagin-gw-01 и параметры ND/RA на eth0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5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IPv6 на msk-ankomyagin-gw-01 и параметры ND/RA на eth0</w:t>
      </w:r>
    </w:p>
    <w:p>
      <w:pPr>
        <w:pStyle w:val="CaptionedFigure"/>
      </w:pPr>
      <w:r>
        <w:drawing>
          <wp:inline>
            <wp:extent cx="5334000" cy="2186200"/>
            <wp:effectExtent b="0" l="0" r="0" t="0"/>
            <wp:docPr descr="Рис. 19: Настройка IPv6 на msk-ankomyagin-gw-02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IPv6 на msk-ankomyagin-gw-02</w:t>
      </w:r>
    </w:p>
    <w:p>
      <w:pPr>
        <w:pStyle w:val="CaptionedFigure"/>
      </w:pPr>
      <w:r>
        <w:drawing>
          <wp:inline>
            <wp:extent cx="5334000" cy="6318490"/>
            <wp:effectExtent b="0" l="0" r="0" t="0"/>
            <wp:docPr descr="Рис. 20: Настройка IPv6 на msk-ankomyagin-gw-03 и параметры ND/RA на eth0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8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IPv6 на msk-ankomyagin-gw-03 и параметры ND/RA на eth0</w:t>
      </w:r>
    </w:p>
    <w:p>
      <w:pPr>
        <w:pStyle w:val="CaptionedFigure"/>
      </w:pPr>
      <w:r>
        <w:drawing>
          <wp:inline>
            <wp:extent cx="5334000" cy="5961529"/>
            <wp:effectExtent b="0" l="0" r="0" t="0"/>
            <wp:docPr descr="Рис. 21: Настройка IPv6 на msk-ankomyagin-gw-04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6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Настройка IPv6 на msk-ankomyagin-gw-04</w:t>
      </w:r>
    </w:p>
    <w:bookmarkEnd w:id="88"/>
    <w:bookmarkEnd w:id="89"/>
    <w:bookmarkStart w:id="155" w:name="динамическая-маршрутизация-ripripng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Динамическая маршрутизация RIP/RIPng</w:t>
      </w:r>
    </w:p>
    <w:bookmarkStart w:id="123" w:name="rip-для-ipv4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RIP для IPv4</w:t>
      </w:r>
    </w:p>
    <w:p>
      <w:pPr>
        <w:pStyle w:val="FirstParagraph"/>
      </w:pPr>
      <w:r>
        <w:t xml:space="preserve">RIP — дистанционно-векторный протокол; в RIPv2 обновления передаются на multicast-адрес 224.0.0.9, а метрика определяется числом транзитных переходов.</w:t>
      </w:r>
    </w:p>
    <w:p>
      <w:pPr>
        <w:pStyle w:val="BodyText"/>
      </w:pPr>
      <w:r>
        <w:t xml:space="preserve">На всех маршрутизаторах включён RIP версии 2 и добавлены сети через перечисление интерфейсов (network ethX) согласно методике задания.</w:t>
      </w:r>
    </w:p>
    <w:p>
      <w:pPr>
        <w:pStyle w:val="CaptionedFigure"/>
      </w:pPr>
      <w:r>
        <w:drawing>
          <wp:inline>
            <wp:extent cx="5334000" cy="3393565"/>
            <wp:effectExtent b="0" l="0" r="0" t="0"/>
            <wp:docPr descr="Рис. 22: Конфигурация RIP (RIPv2) на msk-ankomyagin-gw-01" title="" id="91" name="Picture"/>
            <a:graphic>
              <a:graphicData uri="http://schemas.openxmlformats.org/drawingml/2006/picture">
                <pic:pic>
                  <pic:nvPicPr>
                    <pic:cNvPr descr="image/2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Конфигурация RIP (RIPv2) на msk-ankomyagin-gw-01</w:t>
      </w:r>
    </w:p>
    <w:p>
      <w:pPr>
        <w:pStyle w:val="CaptionedFigure"/>
      </w:pPr>
      <w:r>
        <w:drawing>
          <wp:inline>
            <wp:extent cx="5334000" cy="5597001"/>
            <wp:effectExtent b="0" l="0" r="0" t="0"/>
            <wp:docPr descr="Рис. 23: Конфигурация RIP (RIPv2) на msk-ankomyagin-gw-02" title="" id="94" name="Picture"/>
            <a:graphic>
              <a:graphicData uri="http://schemas.openxmlformats.org/drawingml/2006/picture">
                <pic:pic>
                  <pic:nvPicPr>
                    <pic:cNvPr descr="image/2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7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Конфигурация RIP (RIPv2) на msk-ankomyagin-gw-02</w:t>
      </w:r>
    </w:p>
    <w:p>
      <w:pPr>
        <w:pStyle w:val="CaptionedFigure"/>
      </w:pPr>
      <w:r>
        <w:drawing>
          <wp:inline>
            <wp:extent cx="5334000" cy="5059394"/>
            <wp:effectExtent b="0" l="0" r="0" t="0"/>
            <wp:docPr descr="Рис. 24: Конфигурация RIP (RIPv2) на msk-ankomyagin-gw-03" title="" id="97" name="Picture"/>
            <a:graphic>
              <a:graphicData uri="http://schemas.openxmlformats.org/drawingml/2006/picture">
                <pic:pic>
                  <pic:nvPicPr>
                    <pic:cNvPr descr="image/2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Конфигурация RIP (RIPv2) на msk-ankomyagin-gw-03</w:t>
      </w:r>
    </w:p>
    <w:p>
      <w:pPr>
        <w:pStyle w:val="CaptionedFigure"/>
      </w:pPr>
      <w:r>
        <w:drawing>
          <wp:inline>
            <wp:extent cx="5334000" cy="4160358"/>
            <wp:effectExtent b="0" l="0" r="0" t="0"/>
            <wp:docPr descr="Рис. 25: Конфигурация RIP (RIPv2) на msk-ankomyagin-gw-04" title="" id="100" name="Picture"/>
            <a:graphic>
              <a:graphicData uri="http://schemas.openxmlformats.org/drawingml/2006/picture">
                <pic:pic>
                  <pic:nvPicPr>
                    <pic:cNvPr descr="image/2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Конфигурация RIP (RIPv2) на msk-ankomyagin-gw-04</w:t>
      </w:r>
    </w:p>
    <w:p>
      <w:pPr>
        <w:pStyle w:val="BodyText"/>
      </w:pPr>
      <w:r>
        <w:t xml:space="preserve">Корректность настройки проверена командами show ip route rip, show ip rip и show ip rip status на маршрутизаторах.</w:t>
      </w:r>
    </w:p>
    <w:p>
      <w:pPr>
        <w:pStyle w:val="CaptionedFigure"/>
      </w:pPr>
      <w:r>
        <w:drawing>
          <wp:inline>
            <wp:extent cx="5334000" cy="5002180"/>
            <wp:effectExtent b="0" l="0" r="0" t="0"/>
            <wp:docPr descr="Рис. 26: Проверка таблицы RIP-маршрутов (show ip route rip)" title="" id="103" name="Picture"/>
            <a:graphic>
              <a:graphicData uri="http://schemas.openxmlformats.org/drawingml/2006/picture">
                <pic:pic>
                  <pic:nvPicPr>
                    <pic:cNvPr descr="image/2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2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Проверка таблицы RIP-маршрутов (show ip route rip)</w:t>
      </w:r>
    </w:p>
    <w:p>
      <w:pPr>
        <w:pStyle w:val="BodyText"/>
      </w:pPr>
      <w:r>
        <w:t xml:space="preserve">Связность проверена с PC1 до PC2 командами ping и trace, при этом маршрут следования пакетов фиксируется в результате trace.</w:t>
      </w:r>
    </w:p>
    <w:p>
      <w:pPr>
        <w:pStyle w:val="CaptionedFigure"/>
      </w:pPr>
      <w:r>
        <w:drawing>
          <wp:inline>
            <wp:extent cx="5334000" cy="3756128"/>
            <wp:effectExtent b="0" l="0" r="0" t="0"/>
            <wp:docPr descr="Рис. 27: Ping PC1 → PC2 (IPv4) после включения RIP" title="" id="106" name="Picture"/>
            <a:graphic>
              <a:graphicData uri="http://schemas.openxmlformats.org/drawingml/2006/picture">
                <pic:pic>
                  <pic:nvPicPr>
                    <pic:cNvPr descr="image/2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6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Ping PC1 → PC2 (IPv4) после включения RIP</w:t>
      </w:r>
    </w:p>
    <w:p>
      <w:pPr>
        <w:pStyle w:val="CaptionedFigure"/>
      </w:pPr>
      <w:r>
        <w:drawing>
          <wp:inline>
            <wp:extent cx="5074680" cy="3399078"/>
            <wp:effectExtent b="0" l="0" r="0" t="0"/>
            <wp:docPr descr="Рис. 28: Trace PC1 → PC2 (IPv4) и определение пути" title="" id="109" name="Picture"/>
            <a:graphic>
              <a:graphicData uri="http://schemas.openxmlformats.org/drawingml/2006/picture">
                <pic:pic>
                  <pic:nvPicPr>
                    <pic:cNvPr descr="image/2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680" cy="3399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Trace PC1 → PC2 (IPv4) и определение пути</w:t>
      </w:r>
    </w:p>
    <w:p>
      <w:pPr>
        <w:pStyle w:val="BodyText"/>
      </w:pPr>
      <w:r>
        <w:t xml:space="preserve">Далее был отключён интерфейс на msk-ankomyagin-gw-02 (shutdown на eth0) для проверки сходимости и переключения на альтернативный путь, после чего интерфейс включён обратно (no shutdown).</w:t>
      </w:r>
    </w:p>
    <w:p>
      <w:pPr>
        <w:pStyle w:val="CaptionedFigure"/>
      </w:pPr>
      <w:r>
        <w:drawing>
          <wp:inline>
            <wp:extent cx="5334000" cy="6303818"/>
            <wp:effectExtent b="0" l="0" r="0" t="0"/>
            <wp:docPr descr="Рис. 29: Отключение eth0 на msk-ankomyagin-gw-02 для проверки перестроения маршрута" title="" id="112" name="Picture"/>
            <a:graphic>
              <a:graphicData uri="http://schemas.openxmlformats.org/drawingml/2006/picture">
                <pic:pic>
                  <pic:nvPicPr>
                    <pic:cNvPr descr="image/29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Отключение eth0 на msk-ankomyagin-gw-02 для проверки перестроения маршрута</w:t>
      </w:r>
    </w:p>
    <w:p>
      <w:pPr>
        <w:pStyle w:val="CaptionedFigure"/>
      </w:pPr>
      <w:r>
        <w:drawing>
          <wp:inline>
            <wp:extent cx="5334000" cy="3164237"/>
            <wp:effectExtent b="0" l="0" r="0" t="0"/>
            <wp:docPr descr="Рис. 30: Повторный ping/trace после отключения линка (IPv4, RIP)" title="" id="115" name="Picture"/>
            <a:graphic>
              <a:graphicData uri="http://schemas.openxmlformats.org/drawingml/2006/picture">
                <pic:pic>
                  <pic:nvPicPr>
                    <pic:cNvPr descr="image/3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Повторный ping/trace после отключения линка (IPv4, RIP)</w:t>
      </w:r>
    </w:p>
    <w:p>
      <w:pPr>
        <w:pStyle w:val="BodyText"/>
      </w:pPr>
      <w:r>
        <w:t xml:space="preserve">В захваченном трафике RIP можно выделить периодические обновления маршрутов (multicast 224.0.0.9), а также изменения объявлений при отказе/восстановлении интерфейса.</w:t>
      </w:r>
    </w:p>
    <w:p>
      <w:pPr>
        <w:pStyle w:val="CaptionedFigure"/>
      </w:pPr>
      <w:r>
        <w:drawing>
          <wp:inline>
            <wp:extent cx="5334000" cy="4706064"/>
            <wp:effectExtent b="0" l="0" r="0" t="0"/>
            <wp:docPr descr="Рис. 31: Захват трафика RIP на линке sw-01—gw-01" title="" id="118" name="Picture"/>
            <a:graphic>
              <a:graphicData uri="http://schemas.openxmlformats.org/drawingml/2006/picture">
                <pic:pic>
                  <pic:nvPicPr>
                    <pic:cNvPr descr="image/3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Захват трафика RIP на линке sw-01—gw-01</w:t>
      </w:r>
    </w:p>
    <w:p>
      <w:pPr>
        <w:pStyle w:val="CaptionedFigure"/>
      </w:pPr>
      <w:r>
        <w:drawing>
          <wp:inline>
            <wp:extent cx="5334000" cy="2834492"/>
            <wp:effectExtent b="0" l="0" r="0" t="0"/>
            <wp:docPr descr="Рис. 32: Захват трафика RIP на линке sw-02—gw-03" title="" id="121" name="Picture"/>
            <a:graphic>
              <a:graphicData uri="http://schemas.openxmlformats.org/drawingml/2006/picture">
                <pic:pic>
                  <pic:nvPicPr>
                    <pic:cNvPr descr="image/3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Захват трафика RIP на линке sw-02—gw-03</w:t>
      </w:r>
    </w:p>
    <w:bookmarkEnd w:id="123"/>
    <w:bookmarkStart w:id="154" w:name="ripng-для-ipv6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RIPng для IPv6</w:t>
      </w:r>
    </w:p>
    <w:p>
      <w:pPr>
        <w:pStyle w:val="FirstParagraph"/>
      </w:pPr>
      <w:r>
        <w:t xml:space="preserve">Для IPv6 используется RIPng, который отправляет обновления на multicast-адрес FF02::9, при этом маршрутизация включается на уровне интерфейса.</w:t>
      </w:r>
    </w:p>
    <w:p>
      <w:pPr>
        <w:pStyle w:val="BodyText"/>
      </w:pPr>
      <w:r>
        <w:t xml:space="preserve">На всех маршрутизаторах настроен RIPng, добавлены интерфейсы network ethX по заданию, затем выполнена проверка и тестирование путей.</w:t>
      </w:r>
    </w:p>
    <w:p>
      <w:pPr>
        <w:pStyle w:val="CaptionedFigure"/>
      </w:pPr>
      <w:r>
        <w:drawing>
          <wp:inline>
            <wp:extent cx="5334000" cy="4530686"/>
            <wp:effectExtent b="0" l="0" r="0" t="0"/>
            <wp:docPr descr="Рис. 33: Конфигурация RIPng на msk-ankomyagin-gw-01" title="" id="125" name="Picture"/>
            <a:graphic>
              <a:graphicData uri="http://schemas.openxmlformats.org/drawingml/2006/picture">
                <pic:pic>
                  <pic:nvPicPr>
                    <pic:cNvPr descr="image/3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Конфигурация RIPng на msk-ankomyagin-gw-01</w:t>
      </w:r>
    </w:p>
    <w:p>
      <w:pPr>
        <w:pStyle w:val="CaptionedFigure"/>
      </w:pPr>
      <w:r>
        <w:drawing>
          <wp:inline>
            <wp:extent cx="5334000" cy="3592127"/>
            <wp:effectExtent b="0" l="0" r="0" t="0"/>
            <wp:docPr descr="Рис. 34: Конфигурация RIPng на msk-ankomyagin-gw-02" title="" id="128" name="Picture"/>
            <a:graphic>
              <a:graphicData uri="http://schemas.openxmlformats.org/drawingml/2006/picture">
                <pic:pic>
                  <pic:nvPicPr>
                    <pic:cNvPr descr="image/3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Конфигурация RIPng на msk-ankomyagin-gw-02</w:t>
      </w:r>
    </w:p>
    <w:p>
      <w:pPr>
        <w:pStyle w:val="CaptionedFigure"/>
      </w:pPr>
      <w:r>
        <w:drawing>
          <wp:inline>
            <wp:extent cx="5334000" cy="4396236"/>
            <wp:effectExtent b="0" l="0" r="0" t="0"/>
            <wp:docPr descr="Рис. 35: Конфигурация RIPng на msk-ankomyagin-gw-03" title="" id="131" name="Picture"/>
            <a:graphic>
              <a:graphicData uri="http://schemas.openxmlformats.org/drawingml/2006/picture">
                <pic:pic>
                  <pic:nvPicPr>
                    <pic:cNvPr descr="image/35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Конфигурация RIPng на msk-ankomyagin-gw-03</w:t>
      </w:r>
    </w:p>
    <w:p>
      <w:pPr>
        <w:pStyle w:val="CaptionedFigure"/>
      </w:pPr>
      <w:r>
        <w:drawing>
          <wp:inline>
            <wp:extent cx="5334000" cy="3415145"/>
            <wp:effectExtent b="0" l="0" r="0" t="0"/>
            <wp:docPr descr="Рис. 36: Конфигурация RIPng на msk-ankomyagin-gw-04" title="" id="134" name="Picture"/>
            <a:graphic>
              <a:graphicData uri="http://schemas.openxmlformats.org/drawingml/2006/picture">
                <pic:pic>
                  <pic:nvPicPr>
                    <pic:cNvPr descr="image/36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Конфигурация RIPng на msk-ankomyagin-gw-04</w:t>
      </w:r>
    </w:p>
    <w:p>
      <w:pPr>
        <w:pStyle w:val="BodyText"/>
      </w:pPr>
      <w:r>
        <w:t xml:space="preserve">Проверка связности для IPv6 выполнена с PC1 до PC2 (ping 2001:11::a, trace 2001:11::a), а также проверены метрики/состояние RIPng на маршрутизаторе (show ipv6 ripng).</w:t>
      </w:r>
    </w:p>
    <w:p>
      <w:pPr>
        <w:pStyle w:val="CaptionedFigure"/>
      </w:pPr>
      <w:r>
        <w:drawing>
          <wp:inline>
            <wp:extent cx="5334000" cy="6365575"/>
            <wp:effectExtent b="0" l="0" r="0" t="0"/>
            <wp:docPr descr="Рис. 37: Ping PC1 → PC2 (IPv6) после включения RIPng" title="" id="137" name="Picture"/>
            <a:graphic>
              <a:graphicData uri="http://schemas.openxmlformats.org/drawingml/2006/picture">
                <pic:pic>
                  <pic:nvPicPr>
                    <pic:cNvPr descr="image/37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Ping PC1 → PC2 (IPv6) после включения RIPng</w:t>
      </w:r>
    </w:p>
    <w:p>
      <w:pPr>
        <w:pStyle w:val="CaptionedFigure"/>
      </w:pPr>
      <w:r>
        <w:drawing>
          <wp:inline>
            <wp:extent cx="5334000" cy="3771266"/>
            <wp:effectExtent b="0" l="0" r="0" t="0"/>
            <wp:docPr descr="Рис. 38: Trace PC1 → PC2 (IPv6) и определение пути" title="" id="140" name="Picture"/>
            <a:graphic>
              <a:graphicData uri="http://schemas.openxmlformats.org/drawingml/2006/picture">
                <pic:pic>
                  <pic:nvPicPr>
                    <pic:cNvPr descr="image/38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Trace PC1 → PC2 (IPv6) и определение пути</w:t>
      </w:r>
    </w:p>
    <w:p>
      <w:pPr>
        <w:pStyle w:val="BodyText"/>
      </w:pPr>
      <w:r>
        <w:t xml:space="preserve">Для проверки отказоустойчивости аналогично отключался интерфейс на msk-ankomyagin-gw-02 (shutdown eth0) и оценивалось перестроение маршрута, после чего интерфейс возвращался в рабочее состояние.</w:t>
      </w:r>
    </w:p>
    <w:p>
      <w:pPr>
        <w:pStyle w:val="CaptionedFigure"/>
      </w:pPr>
      <w:r>
        <w:drawing>
          <wp:inline>
            <wp:extent cx="4078894" cy="2460741"/>
            <wp:effectExtent b="0" l="0" r="0" t="0"/>
            <wp:docPr descr="Рис. 39: Отключение eth0 на msk-ankomyagin-gw-02 (IPv6, RIPng)" title="" id="143" name="Picture"/>
            <a:graphic>
              <a:graphicData uri="http://schemas.openxmlformats.org/drawingml/2006/picture">
                <pic:pic>
                  <pic:nvPicPr>
                    <pic:cNvPr descr="image/39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894" cy="2460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Отключение eth0 на msk-ankomyagin-gw-02 (IPv6, RIPng)</w:t>
      </w:r>
    </w:p>
    <w:p>
      <w:pPr>
        <w:pStyle w:val="CaptionedFigure"/>
      </w:pPr>
      <w:r>
        <w:drawing>
          <wp:inline>
            <wp:extent cx="5334000" cy="3479409"/>
            <wp:effectExtent b="0" l="0" r="0" t="0"/>
            <wp:docPr descr="Рис. 40: Повторный ping/trace после отказа линка (IPv6, RIPng)" title="" id="146" name="Picture"/>
            <a:graphic>
              <a:graphicData uri="http://schemas.openxmlformats.org/drawingml/2006/picture">
                <pic:pic>
                  <pic:nvPicPr>
                    <pic:cNvPr descr="image/40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9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Повторный ping/trace после отказа линка (IPv6, RIPng)</w:t>
      </w:r>
    </w:p>
    <w:p>
      <w:pPr>
        <w:pStyle w:val="BodyText"/>
      </w:pPr>
      <w:r>
        <w:t xml:space="preserve">В захваченном трафике RIPng можно выделить IPv6-многоадресные обновления маршрутизации (FF02::9), а также служебные пакеты, связанные с поддержанием связности при перестроении маршрутов.</w:t>
      </w:r>
    </w:p>
    <w:p>
      <w:pPr>
        <w:pStyle w:val="CaptionedFigure"/>
      </w:pPr>
      <w:r>
        <w:drawing>
          <wp:inline>
            <wp:extent cx="5334000" cy="3198776"/>
            <wp:effectExtent b="0" l="0" r="0" t="0"/>
            <wp:docPr descr="Рис. 41: Захват трафика RIPng на линке sw-01—gw-01" title="" id="149" name="Picture"/>
            <a:graphic>
              <a:graphicData uri="http://schemas.openxmlformats.org/drawingml/2006/picture">
                <pic:pic>
                  <pic:nvPicPr>
                    <pic:cNvPr descr="image/4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Захват трафика RIPng на линке sw-01—gw-01</w:t>
      </w:r>
    </w:p>
    <w:p>
      <w:pPr>
        <w:pStyle w:val="CaptionedFigure"/>
      </w:pPr>
      <w:r>
        <w:drawing>
          <wp:inline>
            <wp:extent cx="5334000" cy="3432395"/>
            <wp:effectExtent b="0" l="0" r="0" t="0"/>
            <wp:docPr descr="Рис. 42: Захват трафика RIPng на линке sw-02—gw-03" title="" id="152" name="Picture"/>
            <a:graphic>
              <a:graphicData uri="http://schemas.openxmlformats.org/drawingml/2006/picture">
                <pic:pic>
                  <pic:nvPicPr>
                    <pic:cNvPr descr="image/42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2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Захват трафика RIPng на линке sw-02—gw-03</w:t>
      </w:r>
    </w:p>
    <w:bookmarkEnd w:id="154"/>
    <w:bookmarkEnd w:id="155"/>
    <w:bookmarkStart w:id="181" w:name="X266b01f4eb36084fc06a0d527022f1b74cb136f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Динамическая маршрутизация OSPF (OSPFv2/OSPFv3)</w:t>
      </w:r>
    </w:p>
    <w:bookmarkStart w:id="180" w:name="ospfv2-для-ipv4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OSPFv2 для IPv4</w:t>
      </w:r>
    </w:p>
    <w:p>
      <w:pPr>
        <w:pStyle w:val="FirstParagraph"/>
      </w:pPr>
      <w:r>
        <w:t xml:space="preserve">OSPF — протокол маршрутизации по состоянию канала; в IPv4 используется OSPFv2 и multicast-адреса 224.0.0.5 и 224.0.0.6 для служебного обмена.</w:t>
      </w:r>
    </w:p>
    <w:p>
      <w:pPr>
        <w:pStyle w:val="BodyText"/>
      </w:pPr>
      <w:r>
        <w:t xml:space="preserve">На маршрутизаторах настроен OSPFv2 в area 0.0.0.0 с объявлением сетей командой network для соответствующих IPv4-подсетей.</w:t>
      </w:r>
    </w:p>
    <w:p>
      <w:pPr>
        <w:pStyle w:val="CaptionedFigure"/>
      </w:pPr>
      <w:r>
        <w:drawing>
          <wp:inline>
            <wp:extent cx="5334000" cy="2843678"/>
            <wp:effectExtent b="0" l="0" r="0" t="0"/>
            <wp:docPr descr="Рис. 43: Конфигурация OSPFv2 на msk-ankomyagin-gw-01 (area 0)" title="" id="157" name="Picture"/>
            <a:graphic>
              <a:graphicData uri="http://schemas.openxmlformats.org/drawingml/2006/picture">
                <pic:pic>
                  <pic:nvPicPr>
                    <pic:cNvPr descr="image/43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Конфигурация OSPFv2 на msk-ankomyagin-gw-01 (area 0)</w:t>
      </w:r>
    </w:p>
    <w:p>
      <w:pPr>
        <w:pStyle w:val="CaptionedFigure"/>
      </w:pPr>
      <w:r>
        <w:drawing>
          <wp:inline>
            <wp:extent cx="5334000" cy="6254799"/>
            <wp:effectExtent b="0" l="0" r="0" t="0"/>
            <wp:docPr descr="Рис. 44: Конфигурация OSPFv2 на msk-ankomyagin-gw-02 (area 0)" title="" id="160" name="Picture"/>
            <a:graphic>
              <a:graphicData uri="http://schemas.openxmlformats.org/drawingml/2006/picture">
                <pic:pic>
                  <pic:nvPicPr>
                    <pic:cNvPr descr="image/44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5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Конфигурация OSPFv2 на msk-ankomyagin-gw-02 (area 0)</w:t>
      </w:r>
    </w:p>
    <w:p>
      <w:pPr>
        <w:pStyle w:val="CaptionedFigure"/>
      </w:pPr>
      <w:r>
        <w:drawing>
          <wp:inline>
            <wp:extent cx="5334000" cy="3316744"/>
            <wp:effectExtent b="0" l="0" r="0" t="0"/>
            <wp:docPr descr="Рис. 45: Конфигурация OSPFv2 на msk-ankomyagin-gw-03 (area 0)" title="" id="163" name="Picture"/>
            <a:graphic>
              <a:graphicData uri="http://schemas.openxmlformats.org/drawingml/2006/picture">
                <pic:pic>
                  <pic:nvPicPr>
                    <pic:cNvPr descr="image/45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6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Конфигурация OSPFv2 на msk-ankomyagin-gw-03 (area 0)</w:t>
      </w:r>
    </w:p>
    <w:p>
      <w:pPr>
        <w:pStyle w:val="CaptionedFigure"/>
      </w:pPr>
      <w:r>
        <w:drawing>
          <wp:inline>
            <wp:extent cx="5334000" cy="3052141"/>
            <wp:effectExtent b="0" l="0" r="0" t="0"/>
            <wp:docPr descr="Рис. 46: Конфигурация OSPFv2 на msk-ankomyagin-gw-04 (area 0)" title="" id="166" name="Picture"/>
            <a:graphic>
              <a:graphicData uri="http://schemas.openxmlformats.org/drawingml/2006/picture">
                <pic:pic>
                  <pic:nvPicPr>
                    <pic:cNvPr descr="image/46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Конфигурация OSPFv2 на msk-ankomyagin-gw-04 (area 0)</w:t>
      </w:r>
    </w:p>
    <w:p>
      <w:pPr>
        <w:pStyle w:val="BodyText"/>
      </w:pPr>
      <w:r>
        <w:t xml:space="preserve">Корректность установления соседства и наличие маршрутов проверены командами show ip ospf neighbor и show ip ospf route.</w:t>
      </w:r>
    </w:p>
    <w:p>
      <w:pPr>
        <w:pStyle w:val="CaptionedFigure"/>
      </w:pPr>
      <w:r>
        <w:drawing>
          <wp:inline>
            <wp:extent cx="5334000" cy="3372970"/>
            <wp:effectExtent b="0" l="0" r="0" t="0"/>
            <wp:docPr descr="Рис. 47: Проверка соседей OSPFv2 (show ip ospf neighbor)" title="" id="169" name="Picture"/>
            <a:graphic>
              <a:graphicData uri="http://schemas.openxmlformats.org/drawingml/2006/picture">
                <pic:pic>
                  <pic:nvPicPr>
                    <pic:cNvPr descr="image/47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47: Проверка соседей OSPFv2 (show ip ospf neighbor)</w:t>
      </w:r>
    </w:p>
    <w:p>
      <w:pPr>
        <w:pStyle w:val="CaptionedFigure"/>
      </w:pPr>
      <w:r>
        <w:drawing>
          <wp:inline>
            <wp:extent cx="5334000" cy="3376202"/>
            <wp:effectExtent b="0" l="0" r="0" t="0"/>
            <wp:docPr descr="Рис. 48: Проверка маршрутов OSPFv2 (show ip ospf route)" title="" id="172" name="Picture"/>
            <a:graphic>
              <a:graphicData uri="http://schemas.openxmlformats.org/drawingml/2006/picture">
                <pic:pic>
                  <pic:nvPicPr>
                    <pic:cNvPr descr="image/48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48: Проверка маршрутов OSPFv2 (show ip ospf route)</w:t>
      </w:r>
    </w:p>
    <w:p>
      <w:pPr>
        <w:pStyle w:val="BodyText"/>
      </w:pPr>
      <w:r>
        <w:t xml:space="preserve">Далее выполнены ping/trace PC1 → PC2, затем для проверки сходимости отключался интерфейс на msk-ankomyagin-gw-02 (shutdown eth0) и анализировалось изменение маршрута.</w:t>
      </w:r>
    </w:p>
    <w:p>
      <w:pPr>
        <w:pStyle w:val="CaptionedFigure"/>
      </w:pPr>
      <w:r>
        <w:drawing>
          <wp:inline>
            <wp:extent cx="5074680" cy="2317118"/>
            <wp:effectExtent b="0" l="0" r="0" t="0"/>
            <wp:docPr descr="Рис. 49: Ping/trace (IPv4) при OSPFv2 до/после отказа линка" title="" id="175" name="Picture"/>
            <a:graphic>
              <a:graphicData uri="http://schemas.openxmlformats.org/drawingml/2006/picture">
                <pic:pic>
                  <pic:nvPicPr>
                    <pic:cNvPr descr="image/49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680" cy="2317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49: Ping/trace (IPv4) при OSPFv2 до/после отказа линка</w:t>
      </w:r>
    </w:p>
    <w:p>
      <w:pPr>
        <w:pStyle w:val="BodyText"/>
      </w:pPr>
      <w:r>
        <w:t xml:space="preserve">В захваченном трафике OSPF можно наблюдать служебные обмены (в т.ч. Hello) и изменения при потере соседства/перестроении маршрутов.</w:t>
      </w:r>
    </w:p>
    <w:p>
      <w:pPr>
        <w:pStyle w:val="CaptionedFigure"/>
      </w:pPr>
      <w:r>
        <w:drawing>
          <wp:inline>
            <wp:extent cx="5334000" cy="2590518"/>
            <wp:effectExtent b="0" l="0" r="0" t="0"/>
            <wp:docPr descr="Рис. 50: Захват трафика OSPF/служебных пакетов на контролируемых линках" title="" id="178" name="Picture"/>
            <a:graphic>
              <a:graphicData uri="http://schemas.openxmlformats.org/drawingml/2006/picture">
                <pic:pic>
                  <pic:nvPicPr>
                    <pic:cNvPr descr="image/50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50: Захват трафика OSPF/служебных пакетов на контролируемых линках</w:t>
      </w:r>
    </w:p>
    <w:bookmarkEnd w:id="180"/>
    <w:bookmarkEnd w:id="181"/>
    <w:bookmarkEnd w:id="182"/>
    <w:bookmarkStart w:id="18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задокументирована топология и адресация стенда, настроен двойной стек IPv4/IPv6 и проверена базовая связность согласно заданию.</w:t>
      </w:r>
    </w:p>
    <w:p>
      <w:pPr>
        <w:pStyle w:val="BodyText"/>
      </w:pPr>
      <w:r>
        <w:t xml:space="preserve">Для IPv4 и IPv6 настроены протоколы динамической маршрутизации RIP/RIPng и OSPFv2/OSPFv3, выполнены проверки ping/trace и показана реакция сети на отказ интерфейса (перестроение маршрута).</w:t>
      </w:r>
    </w:p>
    <w:p>
      <w:pPr>
        <w:pStyle w:val="BodyText"/>
      </w:pPr>
      <w:r>
        <w:t xml:space="preserve">Анализ захваченного трафика позволил выделить служебные рассылки протоколов маршрутизации (например, RIPv2 на 224.0.0.9, RIPng на FF02::9, а также OSPF на 224.0.0.5/224.0.0.6 и FF02::5/FF02::6) и связать их с этапами сходимости маршрутов.</w:t>
      </w:r>
    </w:p>
    <w:bookmarkEnd w:id="1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28" Target="media/rId28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31" Target="media/rId31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59" Target="media/rId159.png" /><Relationship Type="http://schemas.openxmlformats.org/officeDocument/2006/relationships/image" Id="rId162" Target="media/rId162.png" /><Relationship Type="http://schemas.openxmlformats.org/officeDocument/2006/relationships/image" Id="rId165" Target="media/rId165.png" /><Relationship Type="http://schemas.openxmlformats.org/officeDocument/2006/relationships/image" Id="rId168" Target="media/rId168.png" /><Relationship Type="http://schemas.openxmlformats.org/officeDocument/2006/relationships/image" Id="rId171" Target="media/rId171.png" /><Relationship Type="http://schemas.openxmlformats.org/officeDocument/2006/relationships/image" Id="rId174" Target="media/rId174.png" /><Relationship Type="http://schemas.openxmlformats.org/officeDocument/2006/relationships/image" Id="rId35" Target="media/rId35.png" /><Relationship Type="http://schemas.openxmlformats.org/officeDocument/2006/relationships/image" Id="rId177" Target="media/rId177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Комягин Андрей Николаевич</dc:creator>
  <dc:language>ru-RU</dc:language>
  <cp:keywords/>
  <dcterms:created xsi:type="dcterms:W3CDTF">2025-12-20T10:37:01Z</dcterms:created>
  <dcterms:modified xsi:type="dcterms:W3CDTF">2025-12-20T10:37:01Z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Рис.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Листинг</vt:lpwstr>
  </property>
  <property fmtid="{D5CDD505-2E9C-101B-9397-08002B2CF9AE}" pid="36" name="listings">
    <vt:lpwstr>False</vt:lpwstr>
  </property>
  <property fmtid="{D5CDD505-2E9C-101B-9397-08002B2CF9AE}" pid="37" name="lof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Список иллюстраций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Листинги</vt:lpwstr>
  </property>
  <property fmtid="{D5CDD505-2E9C-101B-9397-08002B2CF9AE}" pid="44" name="lot">
    <vt:lpwstr>True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IBM Plex Serif</vt:lpwstr>
  </property>
  <property fmtid="{D5CDD505-2E9C-101B-9397-08002B2CF9AE}" pid="65" name="romanfontoptions">
    <vt:lpwstr>Ligatures=Common,Ligatures=TeX,Scale=0.94</vt:lpwstr>
  </property>
  <property fmtid="{D5CDD505-2E9C-101B-9397-08002B2CF9AE}" pid="66" name="sansfont">
    <vt:lpwstr>IBM Plex Sans</vt:lpwstr>
  </property>
  <property fmtid="{D5CDD505-2E9C-101B-9397-08002B2CF9AE}" pid="67" name="sansfontoptions">
    <vt:lpwstr>Ligatures=Common,Ligatures=TeX,Scale=MatchLowercase,Scale=0.94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Адресация IPv4 и IPv6. Настройка маршрутизации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