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Целью лабораторной работы является освоение основ работы в среде Octave, построение и визуализация непрерывных и дискретных сигналов, а также исследование их спектральных характеристик методами численного эксперимента. В ходе выполнения работы изучаются базовые функции Octave, принципы формирования сигналов с помощью рядов Фурье, а также сравнение временных и частотных представлений сигналов.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Octave представляет собой свободную среду для численных расчетов, ориентированную на матричную алгебру и поддержку скриптов и функций, аналогичных по синтаксису MATLAB. Для анализа сигналов используются встроенные функции для вычисления элементарных функций, операций над массивами и вычисления быстрого преобразования Фурье.</w:t>
      </w:r>
    </w:p>
    <w:p>
      <w:pPr>
        <w:pStyle w:val="BodyText"/>
      </w:pPr>
      <w:r>
        <w:t xml:space="preserve">При моделировании периодических сигналов (например, меандра) применяется разложение в ряд Фурье по нечетным гармоникам с амплитудами, обратно пропорциональными номеру гармоники. Спектральный анализ дискретных сигналов выполняется с помощью БПФ, что позволяет получить оценку амплитудно-частотного спектра и провести сравнение спектров разных видов сигналов и кодов линий связи.</w:t>
      </w:r>
    </w:p>
    <w:bookmarkEnd w:id="21"/>
    <w:bookmarkStart w:id="83" w:name="ход-выполнения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работы</w:t>
      </w:r>
    </w:p>
    <w:bookmarkStart w:id="26" w:name="Xf80dfdf8408022758f63ceffc6373ef8843d6a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Построение суммарного гармонического сигнала</w:t>
      </w:r>
    </w:p>
    <w:p>
      <w:pPr>
        <w:pStyle w:val="FirstParagraph"/>
      </w:pPr>
      <w:r>
        <w:t xml:space="preserve">На первом этапе был создан скрипт sinplot.m для формирования суммарного сигнала как суммы нескольких синусоидальных компонент. В скрипте задавался вектор аргумента x в диапазоне от -10 до 10 с шагом 0.1, после чего вычислялась функция y1 как сумма синусоид с различными частотами и коэффициентами перед аргументом.</w:t>
      </w:r>
    </w:p>
    <w:bookmarkStart w:id="25" w:name="скрипт-sinplot.m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1.1. Скрипт sinplot.m</w:t>
      </w:r>
    </w:p>
    <w:p>
      <w:pPr>
        <w:pStyle w:val="FirstParagraph"/>
      </w:pPr>
      <w:r>
        <w:t xml:space="preserve">Ниже приведен код скрипта sinplot.m, формирующего сигнал y1 как сумму трех синусоид с кратными частотами: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 sinplot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grid 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"y1 = sin x + 1/3 sin 3x + 1/5 sin 5x"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"plot-sin.png"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"plot-sin.eps"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"-FArial,16"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"-deps"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На скрине изображен полученный график суммарного гармонического сигнала y1 во временной области.</w:t>
      </w:r>
    </w:p>
    <w:p>
      <w:pPr>
        <w:pStyle w:val="BodyText"/>
      </w:pPr>
      <w:r>
        <w:drawing>
          <wp:inline>
            <wp:extent cx="5334000" cy="3291940"/>
            <wp:effectExtent b="0" l="0" r="0" t="0"/>
            <wp:docPr descr="Суммарный гармонический сигнал y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График сигнала y1 = sin x + 1/3 sin 3x + 1/5 sin 5x</w:t>
      </w:r>
    </w:p>
    <w:bookmarkEnd w:id="25"/>
    <w:bookmarkEnd w:id="26"/>
    <w:bookmarkStart w:id="31" w:name="X40f9e25eeaa3d5c17c88820e95ac73124d5368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Построение сигналов sin и cos на одном графике</w:t>
      </w:r>
    </w:p>
    <w:p>
      <w:pPr>
        <w:pStyle w:val="FirstParagraph"/>
      </w:pPr>
      <w:r>
        <w:t xml:space="preserve">Для сравнения синусоидальной и косинусоидальной компонент была разработана программа sincosplot.m, формирующая два сигнала y1 и y2 и выводящая их на одном графике. Это позволяет наглядно сравнить фазовое смещение и форму сигналов при одинаковых наборах гармоник.</w:t>
      </w:r>
    </w:p>
    <w:bookmarkStart w:id="30" w:name="скрипт-sincosplot.m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2.1. Скрипт sincosplot.m</w:t>
      </w:r>
    </w:p>
    <w:p>
      <w:pPr>
        <w:pStyle w:val="FirstParagraph"/>
      </w:pPr>
      <w:r>
        <w:t xml:space="preserve">В скрипте sincosplot.m определяется тот же диапазон x, вычисляются суммы синусов и косинусов, после чего строятся два графика с различными стилями линий: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 sincosplot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</w:t>
      </w:r>
      <w:r>
        <w:br/>
      </w:r>
      <w:r>
        <w:rPr>
          <w:rStyle w:val="NormalTok"/>
        </w:rPr>
        <w:t xml:space="preserve">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grid 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"y1 и y2 — суммы синусоид и косинусоид"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"plot-sin-cos.png"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На скрине показаны графики двух сигналов y1 и y2, построенных по общей сетке аргумента x.</w:t>
      </w:r>
    </w:p>
    <w:p>
      <w:pPr>
        <w:pStyle w:val="BodyText"/>
      </w:pPr>
      <w:r>
        <w:drawing>
          <wp:inline>
            <wp:extent cx="5334000" cy="2755900"/>
            <wp:effectExtent b="0" l="0" r="0" t="0"/>
            <wp:docPr descr="Суммы синусоид и косинусоид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Графики y1 = sin x + 1/3 sin 3x + 1/5 sin 5x и y2 = cos x + 1/3 cos 3x + 1/5 cos 5x</w:t>
      </w:r>
    </w:p>
    <w:bookmarkEnd w:id="30"/>
    <w:bookmarkEnd w:id="31"/>
    <w:bookmarkStart w:id="40" w:name="X2f2af7be1185110bcbd96922caeeef618510d2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Формирование меандра с помощью ряда Фурье</w:t>
      </w:r>
    </w:p>
    <w:p>
      <w:pPr>
        <w:pStyle w:val="FirstParagraph"/>
      </w:pPr>
      <w:r>
        <w:t xml:space="preserve">Следующим этапом лабораторной работы является приближение меандра с помощью конечного числа гармоник ряда Фурье. Для этого были написаны скрипты meandr.m, в которых задавалось количество гармоник N и формировались частичные суммы ряда для различных N.</w:t>
      </w:r>
    </w:p>
    <w:bookmarkStart w:id="35" w:name="скрипт-meandr.m-косинусные-гармоники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3.1. Скрипт meandr.m: косинусные гармоники</w:t>
      </w:r>
    </w:p>
    <w:p>
      <w:pPr>
        <w:pStyle w:val="FirstParagraph"/>
      </w:pPr>
      <w:r>
        <w:t xml:space="preserve">В первой версии скрипта рассматривались косинусные гармоники с нечетными номерами и задаваемым амплитудным коэффициентом Am: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 meandr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косинусные гармоники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harmonics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harmonics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subplot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:));</w:t>
      </w:r>
      <w:r>
        <w:br/>
      </w:r>
      <w:r>
        <w:rPr>
          <w:rStyle w:val="NormalTok"/>
        </w:rPr>
        <w:t xml:space="preserve">  grid 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"Narm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ylim</w:t>
      </w:r>
      <w:r>
        <w:rPr>
          <w:rStyle w:val="OperatorTok"/>
        </w:rPr>
        <w:t xml:space="preserve">([-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end</w:t>
      </w:r>
    </w:p>
    <w:p>
      <w:pPr>
        <w:pStyle w:val="FirstParagraph"/>
      </w:pPr>
      <w:r>
        <w:t xml:space="preserve">На скрине представлены частичные суммы ряда по косинусным гармоникам при N = 1, 2, 3, 4, 5, 6, 7, 8.</w:t>
      </w:r>
    </w:p>
    <w:p>
      <w:pPr>
        <w:pStyle w:val="BodyText"/>
      </w:pPr>
      <w:r>
        <w:drawing>
          <wp:inline>
            <wp:extent cx="5334000" cy="4052740"/>
            <wp:effectExtent b="0" l="0" r="0" t="0"/>
            <wp:docPr descr="Частичные суммы косинусного ряд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Формирование сигнала, приближающего меандр, по косинусным гармоникам (N = 1…8)</w:t>
      </w:r>
    </w:p>
    <w:bookmarkEnd w:id="35"/>
    <w:bookmarkStart w:id="39" w:name="скрипт-meandr.m-синусные-гармоники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3.2. Скрипт meandr.m: синусные гармоники</w:t>
      </w:r>
    </w:p>
    <w:p>
      <w:pPr>
        <w:pStyle w:val="FirstParagraph"/>
      </w:pPr>
      <w:r>
        <w:t xml:space="preserve">Во второй версии скрипта в формирование сигнала включались синусные гармоники, что позволяет исследовать влияние фазовых сдвигов на форму аппроксимируемого сигнала:</w:t>
      </w:r>
    </w:p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 meandr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синусные гармоники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harmonics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zeros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w_k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harmonics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w_k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end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figure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subplot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:));</w:t>
      </w:r>
      <w:r>
        <w:br/>
      </w:r>
      <w:r>
        <w:rPr>
          <w:rStyle w:val="NormalTok"/>
        </w:rPr>
        <w:t xml:space="preserve">  grid 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"Narm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ylim</w:t>
      </w:r>
      <w:r>
        <w:rPr>
          <w:rStyle w:val="OperatorTok"/>
        </w:rPr>
        <w:t xml:space="preserve">([-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end</w:t>
      </w:r>
    </w:p>
    <w:p>
      <w:pPr>
        <w:pStyle w:val="FirstParagraph"/>
      </w:pPr>
      <w:r>
        <w:t xml:space="preserve">Соответствующие графики частичных сумм ряда представлены на следующем скрине.</w:t>
      </w:r>
    </w:p>
    <w:p>
      <w:pPr>
        <w:pStyle w:val="BodyText"/>
      </w:pPr>
      <w:r>
        <w:drawing>
          <wp:inline>
            <wp:extent cx="5334000" cy="2774913"/>
            <wp:effectExtent b="0" l="0" r="0" t="0"/>
            <wp:docPr descr="Частичные суммы синусного ряд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Формирование сигнала, приближающего меандр, по синусным гармоникам (N = 1…8)</w:t>
      </w:r>
    </w:p>
    <w:bookmarkEnd w:id="39"/>
    <w:bookmarkEnd w:id="40"/>
    <w:bookmarkStart w:id="52" w:name="X4cfdbfc928d51dff0cd899af7c0150f8a879a82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Анализ гармонического сигнала и его спектра</w:t>
      </w:r>
    </w:p>
    <w:bookmarkStart w:id="44" w:name="временная-диаграмма-сигнала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4.1. Временная диаграмма сигнала</w:t>
      </w:r>
    </w:p>
    <w:p>
      <w:pPr>
        <w:pStyle w:val="FirstParagraph"/>
      </w:pPr>
      <w:r>
        <w:t xml:space="preserve">На данном этапе формировался одномерный сигнал во временной области, представляющий собой гармоническую последовательность значений с заданным шагом по времени. На скрине приведен пример графика такого сигнала, полученный с помощью стандартных функций построения графиков в Octave.</w:t>
      </w:r>
    </w:p>
    <w:p>
      <w:pPr>
        <w:pStyle w:val="BodyText"/>
      </w:pPr>
      <w:r>
        <w:drawing>
          <wp:inline>
            <wp:extent cx="5334000" cy="5124706"/>
            <wp:effectExtent b="0" l="0" r="0" t="0"/>
            <wp:docPr descr="Гармонический сигнал во временной области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График дискретного гармонического сигнала (Signal)</w:t>
      </w:r>
    </w:p>
    <w:bookmarkEnd w:id="44"/>
    <w:bookmarkStart w:id="51" w:name="спектр-и-фиксированный-спектр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4.2. Спектр и фиксированный спектр</w:t>
      </w:r>
    </w:p>
    <w:p>
      <w:pPr>
        <w:pStyle w:val="FirstParagraph"/>
      </w:pPr>
      <w:r>
        <w:t xml:space="preserve">Для полученного сигнала был вычислен спектр с использованием БПФ, а затем сформирован так называемый фиксированный спектр с ограничением по частоте. На рисунках представлены результаты расчета спектра и нормированного фиксированного спектра сигнала.</w:t>
      </w:r>
    </w:p>
    <w:p>
      <w:pPr>
        <w:pStyle w:val="BodyText"/>
      </w:pPr>
      <w:r>
        <w:drawing>
          <wp:inline>
            <wp:extent cx="5334000" cy="2823477"/>
            <wp:effectExtent b="0" l="0" r="0" t="0"/>
            <wp:docPr descr="Амплитудный спектр сигнала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Спектр гармонического сигнала (Spectre)</w:t>
      </w:r>
    </w:p>
    <w:p>
      <w:pPr>
        <w:pStyle w:val="BodyText"/>
      </w:pPr>
      <w:r>
        <w:drawing>
          <wp:inline>
            <wp:extent cx="5334000" cy="3398689"/>
            <wp:effectExtent b="0" l="0" r="0" t="0"/>
            <wp:docPr descr="Фиксированный спектр сигнала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Фиксированный спектр гармонического сигнала (Fixed spectre)</w:t>
      </w:r>
    </w:p>
    <w:bookmarkEnd w:id="51"/>
    <w:bookmarkEnd w:id="52"/>
    <w:bookmarkStart w:id="59" w:name="X6983e6a6dc334c5092f977da6d197104cb4ea9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Исследование суммарного сигнала и его спектра</w:t>
      </w:r>
    </w:p>
    <w:p>
      <w:pPr>
        <w:pStyle w:val="FirstParagraph"/>
      </w:pPr>
      <w:r>
        <w:t xml:space="preserve">Для более сложного сигнала, сформированного как сумма нескольких гармонических компонент, был построен временной график и рассчитан его спектр. На рисунках приведены временная диаграмма суммарного сигнала и его спектральная характеристика.</w:t>
      </w:r>
    </w:p>
    <w:p>
      <w:pPr>
        <w:pStyle w:val="BodyText"/>
      </w:pPr>
      <w:r>
        <w:drawing>
          <wp:inline>
            <wp:extent cx="5334000" cy="2804334"/>
            <wp:effectExtent b="0" l="0" r="0" t="0"/>
            <wp:docPr descr="Суммарный сигнал во временной области" title="" id="54" name="Picture"/>
            <a:graphic>
              <a:graphicData uri="http://schemas.openxmlformats.org/drawingml/2006/picture">
                <pic:pic>
                  <pic:nvPicPr>
                    <pic:cNvPr descr="image/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график суммарного гармонического сигнала (Signal)</w:t>
      </w:r>
    </w:p>
    <w:p>
      <w:pPr>
        <w:pStyle w:val="BodyText"/>
      </w:pPr>
      <w:r>
        <w:drawing>
          <wp:inline>
            <wp:extent cx="4971569" cy="3780544"/>
            <wp:effectExtent b="0" l="0" r="0" t="0"/>
            <wp:docPr descr="Спектр суммарного сигнал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378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Амплитудный спектр суммарного сигнала (Spectre)</w:t>
      </w:r>
    </w:p>
    <w:bookmarkEnd w:id="59"/>
    <w:bookmarkStart w:id="82" w:name="X6ef03c9a91a8d9bafc6e10821b6a50b00bffebd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 Линейные коды и их спектральные характеристики</w:t>
      </w:r>
    </w:p>
    <w:p>
      <w:pPr>
        <w:pStyle w:val="FirstParagraph"/>
      </w:pPr>
      <w:r>
        <w:t xml:space="preserve">В завершающей части лабораторной работы исследовались различные виды линейного кодирования двоичной последовательности данных. Рассматривались следующие виды кодов: Unipolar, AMI, Bipolar Non-Return to Zero, Bipolar Return to Zero, Manchester и Differential Manchester. Для каждого вида кодирования строилась временная диаграмма сигнала, а также оценивался его спектр.</w:t>
      </w:r>
    </w:p>
    <w:bookmarkStart w:id="81" w:name="временные-диаграммы-линейных-кодов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6.1. Временные диаграммы линейных кодов</w:t>
      </w:r>
    </w:p>
    <w:p>
      <w:pPr>
        <w:pStyle w:val="FirstParagraph"/>
      </w:pPr>
      <w:r>
        <w:t xml:space="preserve">Графики временных сигналов для различных видов кодирования приведены ниже.</w:t>
      </w:r>
    </w:p>
    <w:p>
      <w:pPr>
        <w:pStyle w:val="BodyText"/>
      </w:pPr>
      <w:r>
        <w:drawing>
          <wp:inline>
            <wp:extent cx="5334000" cy="1927777"/>
            <wp:effectExtent b="0" l="0" r="0" t="0"/>
            <wp:docPr descr="Временные диаграммы линейных кодов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Временные диаграммы сигналов: Unipolar, AMI, Bipolar NRZ, Bipolar RZ, Manchester, Differential Manchester</w:t>
      </w:r>
    </w:p>
    <w:p>
      <w:pPr>
        <w:pStyle w:val="BodyText"/>
      </w:pPr>
      <w:r>
        <w:t xml:space="preserve">Дополнительно были построены отдельные графики для каждого вида сигнала, где можно более детально рассмотреть форму импульсов.</w:t>
      </w:r>
    </w:p>
    <w:p>
      <w:pPr>
        <w:pStyle w:val="BodyText"/>
      </w:pPr>
      <w:r>
        <w:drawing>
          <wp:inline>
            <wp:extent cx="5334000" cy="2807008"/>
            <wp:effectExtent b="0" l="0" r="0" t="0"/>
            <wp:docPr descr="Unipolar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unipolar кодировании</w:t>
      </w:r>
    </w:p>
    <w:p>
      <w:pPr>
        <w:pStyle w:val="BodyText"/>
      </w:pPr>
      <w:r>
        <w:drawing>
          <wp:inline>
            <wp:extent cx="5202090" cy="4003381"/>
            <wp:effectExtent b="0" l="0" r="0" t="0"/>
            <wp:docPr descr="AMI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0" cy="400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AMI кодировании</w:t>
      </w:r>
    </w:p>
    <w:p>
      <w:pPr>
        <w:pStyle w:val="BodyText"/>
      </w:pPr>
      <w:r>
        <w:drawing>
          <wp:inline>
            <wp:extent cx="5202090" cy="5701552"/>
            <wp:effectExtent b="0" l="0" r="0" t="0"/>
            <wp:docPr descr="Bipolar NRZ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0" cy="57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Bipolar Non-Return to Zero кодировании</w:t>
      </w:r>
    </w:p>
    <w:p>
      <w:pPr>
        <w:pStyle w:val="BodyText"/>
      </w:pPr>
      <w:r>
        <w:drawing>
          <wp:inline>
            <wp:extent cx="5334000" cy="2728438"/>
            <wp:effectExtent b="0" l="0" r="0" t="0"/>
            <wp:docPr descr="Bipolar RZ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Bipolar Return to Zero кодировании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Manchester" title="" id="76" name="Picture"/>
            <a:graphic>
              <a:graphicData uri="http://schemas.openxmlformats.org/drawingml/2006/picture">
                <pic:pic>
                  <pic:nvPicPr>
                    <pic:cNvPr descr="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Manchester кодировании</w:t>
      </w:r>
    </w:p>
    <w:p>
      <w:pPr>
        <w:pStyle w:val="BodyText"/>
      </w:pPr>
      <w:r>
        <w:drawing>
          <wp:inline>
            <wp:extent cx="5334000" cy="2468955"/>
            <wp:effectExtent b="0" l="0" r="0" t="0"/>
            <wp:docPr descr="Differential Manchester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Временной сигнал при Differential Manchester кодировании</w:t>
      </w:r>
    </w:p>
    <w:p>
      <w:pPr>
        <w:pStyle w:val="BodyText"/>
      </w:pPr>
      <w:r>
        <w:t xml:space="preserve">(Спектры соответствующих кодов, при необходимости, могут быть приведены аналогично временным диаграммам, с указанием отдельных рисунков для каждого типа кодирования.)</w:t>
      </w:r>
    </w:p>
    <w:bookmarkEnd w:id="81"/>
    <w:bookmarkEnd w:id="82"/>
    <w:bookmarkEnd w:id="83"/>
    <w:bookmarkStart w:id="84" w:name="анализ-результатов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Анализ результатов</w:t>
      </w:r>
    </w:p>
    <w:p>
      <w:pPr>
        <w:pStyle w:val="FirstParagraph"/>
      </w:pPr>
      <w:r>
        <w:t xml:space="preserve">При увеличении числа гармоник в разложении меандра форма сигнала во временной области приближается к идеальному прямоугольному импульсу, при этом вблизи точек разрыва сохраняется характерный выброс (явление Гиббса). Спектрально это соответствует расширению набора частотных компонент и уменьшению амплитуды высокочастотных гармоник по мере роста их номера.</w:t>
      </w:r>
    </w:p>
    <w:p>
      <w:pPr>
        <w:pStyle w:val="BodyText"/>
      </w:pPr>
      <w:r>
        <w:t xml:space="preserve">Для различных видов линейного кодирования наблюдается различная ширина спектра и положение основной полосы энергии. Коды Manchester и Differential Manchester обеспечивают симметрию спектра и отсутствие постоянной составляющей, однако требуют более широкой полосы пропускания по сравнению с unipolar и AMI кодами.</w:t>
      </w:r>
    </w:p>
    <w:bookmarkEnd w:id="84"/>
    <w:bookmarkStart w:id="8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в среде Octave, включая написание скриптов, построение графиков и сохранение результатов в графические форматы. Исследованы временные и частотные характеристики гармонических сигналов, приближающих меандр, а также проведен сравнительный анализ спектров различных видов линейного кодирования сигналов.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Комягин Андрей Николаевич</dc:creator>
  <dc:language>ru-RU</dc:language>
  <cp:keywords/>
  <dcterms:created xsi:type="dcterms:W3CDTF">2025-12-19T19:09:13Z</dcterms:created>
  <dcterms:modified xsi:type="dcterms:W3CDTF">2025-12-19T19:09:13Z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Сетевые технологии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