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4FD24">
      <w:pPr>
        <w:numPr>
          <w:ilvl w:val="0"/>
          <w:numId w:val="4"/>
        </w:numPr>
        <w:bidi w:val="0"/>
        <w:rPr>
          <w:rFonts w:hint="default" w:asciiTheme="minorAscii" w:hAnsiTheme="minorAscii"/>
          <w:b/>
          <w:bCs/>
          <w:sz w:val="24"/>
          <w:szCs w:val="28"/>
        </w:rPr>
      </w:pPr>
      <w:r>
        <w:rPr>
          <w:rFonts w:hint="default" w:asciiTheme="minorAscii" w:hAnsiTheme="minorAscii"/>
          <w:b/>
          <w:bCs/>
          <w:sz w:val="24"/>
          <w:szCs w:val="28"/>
        </w:rPr>
        <w:t>信息甄别能力</w:t>
      </w:r>
      <w:bookmarkStart w:id="0" w:name="_GoBack"/>
      <w:bookmarkEnd w:id="0"/>
    </w:p>
    <w:p w14:paraId="021011DE">
      <w:pPr>
        <w:numPr>
          <w:numId w:val="0"/>
        </w:numPr>
        <w:bidi w:val="0"/>
        <w:ind w:left="420" w:leftChars="0"/>
        <w:rPr>
          <w:rFonts w:hint="default" w:asciiTheme="minorAscii" w:hAnsiTheme="minorAscii"/>
        </w:rPr>
      </w:pPr>
      <w:r>
        <w:rPr>
          <w:rFonts w:hint="default" w:asciiTheme="minorAscii" w:hAnsiTheme="minorAscii"/>
          <w:b/>
          <w:bCs/>
        </w:rPr>
        <w:t>定义</w:t>
      </w:r>
      <w:r>
        <w:rPr>
          <w:rFonts w:hint="default" w:asciiTheme="minorAscii" w:hAnsiTheme="minorAscii"/>
        </w:rPr>
        <w:t xml:space="preserve">：老年人对虚假信息的识别能力，涵盖对逻辑漏洞、信息来源可信度及诈骗话术的判断。  </w:t>
      </w:r>
    </w:p>
    <w:p w14:paraId="3EF67B26">
      <w:pPr>
        <w:bidi w:val="0"/>
        <w:rPr>
          <w:rFonts w:hint="default" w:asciiTheme="minorAscii" w:hAnsiTheme="minorAscii"/>
        </w:rPr>
      </w:pPr>
      <w:r>
        <w:rPr>
          <w:rFonts w:hint="default" w:asciiTheme="minorAscii" w:hAnsiTheme="minorAscii"/>
          <w:b/>
          <w:bCs/>
        </w:rPr>
        <w:t>评分标准</w:t>
      </w:r>
      <w:r>
        <w:rPr>
          <w:rFonts w:hint="default" w:asciiTheme="minorAscii" w:hAnsiTheme="minorAscii"/>
        </w:rPr>
        <w:t xml:space="preserve">（满分25分）：  </w:t>
      </w:r>
    </w:p>
    <w:p w14:paraId="52593997">
      <w:pPr>
        <w:bidi w:val="0"/>
        <w:rPr>
          <w:rFonts w:hint="default" w:asciiTheme="minorAscii" w:hAnsiTheme="minorAscii"/>
        </w:rPr>
      </w:pPr>
      <w:r>
        <w:rPr>
          <w:rFonts w:hint="default" w:asciiTheme="minorAscii" w:hAnsiTheme="minorAscii"/>
        </w:rPr>
        <w:t xml:space="preserve">• 20-25分：主动核查信息来源（如官网、权威机构），能识别“区块链理财”“免费旅游”等典型诈骗话术，对专业术语（如“虚拟货币”）有基础认知。  </w:t>
      </w:r>
    </w:p>
    <w:p w14:paraId="69E4A3F3">
      <w:pPr>
        <w:bidi w:val="0"/>
        <w:rPr>
          <w:rFonts w:hint="default" w:asciiTheme="minorAscii" w:hAnsiTheme="minorAscii"/>
        </w:rPr>
      </w:pPr>
      <w:r>
        <w:rPr>
          <w:rFonts w:hint="default" w:asciiTheme="minorAscii" w:hAnsiTheme="minorAscii"/>
        </w:rPr>
        <w:t xml:space="preserve">• 15-19分：需他人提示才会质疑信息真实性，对复杂逻辑链（如“多级分销返利”）理解模糊，易被情感化表述（如“孝心工程”）干扰。  </w:t>
      </w:r>
    </w:p>
    <w:p w14:paraId="55AE5E54">
      <w:pPr>
        <w:bidi w:val="0"/>
        <w:rPr>
          <w:rFonts w:hint="default" w:asciiTheme="minorAscii" w:hAnsiTheme="minorAscii"/>
        </w:rPr>
      </w:pPr>
      <w:r>
        <w:rPr>
          <w:rFonts w:hint="default" w:asciiTheme="minorAscii" w:hAnsiTheme="minorAscii"/>
        </w:rPr>
        <w:t xml:space="preserve">• 10-14分：轻信非官方渠道信息（如陌生短信链接），缺乏基础验证意识，频繁点击可疑广告。  </w:t>
      </w:r>
    </w:p>
    <w:p w14:paraId="4CD0B2B7">
      <w:pPr>
        <w:bidi w:val="0"/>
        <w:rPr>
          <w:rFonts w:hint="default" w:asciiTheme="minorAscii" w:hAnsiTheme="minorAscii"/>
        </w:rPr>
      </w:pPr>
      <w:r>
        <w:rPr>
          <w:rFonts w:hint="default" w:asciiTheme="minorAscii" w:hAnsiTheme="minorAscii"/>
          <w:b/>
          <w:bCs/>
        </w:rPr>
        <w:t>理论支撑：</w:t>
      </w:r>
      <w:r>
        <w:rPr>
          <w:rFonts w:hint="default" w:asciiTheme="minorAscii" w:hAnsiTheme="minorAscii"/>
        </w:rPr>
        <w:t xml:space="preserve">  </w:t>
      </w:r>
    </w:p>
    <w:p w14:paraId="785FC5F5">
      <w:pPr>
        <w:bidi w:val="0"/>
        <w:rPr>
          <w:rFonts w:hint="default" w:asciiTheme="minorAscii" w:hAnsiTheme="minorAscii"/>
        </w:rPr>
      </w:pPr>
      <w:r>
        <w:rPr>
          <w:rFonts w:hint="default" w:asciiTheme="minorAscii" w:hAnsiTheme="minorAscii"/>
        </w:rPr>
        <w:t>信息甄别能力的核心在于双加工理论与认知负荷理论的协同作用。双加工理论指出，人类认知存在直觉性系统与分析性系统的双轨机制。老年人因前额叶皮层退化导致系统2激活能力显著下降，更倾向于依赖系统1的直觉判断。例如面对"免费体检"话术时，系统1会直接关联"健康需求"的感性经验，而忽略对"免费"背后商业逻辑的批判性分析。这种认知偏向在健康欺诈、金融诈骗等场景中尤为突出，研究显示老年人对嵌套逻辑信息的处理准确率较年轻人降低37%。</w:t>
      </w:r>
    </w:p>
    <w:p w14:paraId="1B631C9D">
      <w:pPr>
        <w:bidi w:val="0"/>
        <w:rPr>
          <w:rFonts w:hint="default" w:asciiTheme="minorAscii" w:hAnsiTheme="minorAscii"/>
        </w:rPr>
      </w:pPr>
      <w:r>
        <w:rPr>
          <w:rFonts w:hint="default" w:asciiTheme="minorAscii" w:hAnsiTheme="minorAscii"/>
        </w:rPr>
        <w:t>认知负荷理论进一步揭示，当信息呈现超出工作记忆容量时，决策质量将急剧下降。老年人面对多重嵌套逻辑时，认知资源消耗速度比年轻人快2.3倍。例如医疗合同中的责任免除条款，若包含超过3层逻辑嵌套，老年用户的理解误差率可达68%。这种认知超载现象在数字产品交互中尤为显著，研究显示老年用户在使用复杂界面时，错误操作率是年轻人的4.2倍。</w:t>
      </w:r>
    </w:p>
    <w:p w14:paraId="6AC045DC">
      <w:pPr>
        <w:bidi w:val="0"/>
        <w:rPr>
          <w:rFonts w:hint="default" w:asciiTheme="minorAscii" w:hAnsiTheme="minorAscii"/>
        </w:rPr>
      </w:pPr>
      <w:r>
        <w:rPr>
          <w:rFonts w:hint="default" w:asciiTheme="minorAscii" w:hAnsiTheme="minorAscii"/>
        </w:rPr>
        <w:t>适老化设计通过双通道干预有效缓解上述问题：结合语音引</w:t>
      </w:r>
      <w:r>
        <w:rPr>
          <w:rFonts w:hint="default" w:asciiTheme="minorAscii" w:hAnsiTheme="minorAscii"/>
          <w:lang w:val="en-US" w:eastAsia="zh-CN"/>
        </w:rPr>
        <w:t>导</w:t>
      </w:r>
      <w:r>
        <w:rPr>
          <w:rFonts w:hint="default" w:asciiTheme="minorAscii" w:hAnsiTheme="minorAscii"/>
        </w:rPr>
        <w:t xml:space="preserve">与大字幕显示的多模态交互设计，可使老年用户信息处理效率提升58%。这种设计范式既尊重老年认知特征，又通过技术手段重构信息处理路径，为数字包容性提供了科学解决方案。  </w:t>
      </w:r>
    </w:p>
    <w:p w14:paraId="75FE9DAA">
      <w:pPr>
        <w:numPr>
          <w:ilvl w:val="0"/>
          <w:numId w:val="5"/>
        </w:numPr>
        <w:bidi w:val="0"/>
        <w:rPr>
          <w:rFonts w:hint="default" w:asciiTheme="minorAscii" w:hAnsiTheme="minorAscii"/>
          <w:b/>
          <w:bCs/>
          <w:sz w:val="24"/>
          <w:szCs w:val="28"/>
        </w:rPr>
      </w:pPr>
      <w:r>
        <w:rPr>
          <w:rFonts w:hint="default" w:asciiTheme="minorAscii" w:hAnsiTheme="minorAscii"/>
          <w:b/>
          <w:bCs/>
          <w:sz w:val="24"/>
          <w:szCs w:val="28"/>
        </w:rPr>
        <w:t>贪利防御值</w:t>
      </w:r>
    </w:p>
    <w:p w14:paraId="5070A7F3">
      <w:pPr>
        <w:numPr>
          <w:numId w:val="0"/>
        </w:numPr>
        <w:bidi w:val="0"/>
        <w:ind w:left="420" w:leftChars="0"/>
        <w:rPr>
          <w:rFonts w:hint="default" w:asciiTheme="minorAscii" w:hAnsiTheme="minorAscii"/>
        </w:rPr>
      </w:pPr>
      <w:r>
        <w:rPr>
          <w:rFonts w:hint="default" w:asciiTheme="minorAscii" w:hAnsiTheme="minorAscii"/>
        </w:rPr>
        <w:t xml:space="preserve">定义：对高收益诱惑的抵抗力，反映个体在利益驱动下的风险规避倾向。  </w:t>
      </w:r>
    </w:p>
    <w:p w14:paraId="2C623C56">
      <w:pPr>
        <w:bidi w:val="0"/>
        <w:rPr>
          <w:rFonts w:hint="default" w:asciiTheme="minorAscii" w:hAnsiTheme="minorAscii"/>
        </w:rPr>
      </w:pPr>
      <w:r>
        <w:rPr>
          <w:rFonts w:hint="default" w:asciiTheme="minorAscii" w:hAnsiTheme="minorAscii"/>
          <w:b/>
          <w:bCs/>
        </w:rPr>
        <w:t>评分标准</w:t>
      </w:r>
      <w:r>
        <w:rPr>
          <w:rFonts w:hint="default" w:asciiTheme="minorAscii" w:hAnsiTheme="minorAscii"/>
        </w:rPr>
        <w:t xml:space="preserve">（满分20分）：  </w:t>
      </w:r>
    </w:p>
    <w:p w14:paraId="4D888003">
      <w:pPr>
        <w:bidi w:val="0"/>
        <w:rPr>
          <w:rFonts w:hint="default" w:asciiTheme="minorAscii" w:hAnsiTheme="minorAscii"/>
        </w:rPr>
      </w:pPr>
      <w:r>
        <w:rPr>
          <w:rFonts w:hint="default" w:asciiTheme="minorAscii" w:hAnsiTheme="minorAscii"/>
        </w:rPr>
        <w:t xml:space="preserve">• 16-20分：明确拒绝“保本高息”“养老理财”等话术，能列举“e租宝”“养老公寓投资”等典型案例。  </w:t>
      </w:r>
    </w:p>
    <w:p w14:paraId="004C5744">
      <w:pPr>
        <w:bidi w:val="0"/>
        <w:rPr>
          <w:rFonts w:hint="default" w:asciiTheme="minorAscii" w:hAnsiTheme="minorAscii"/>
        </w:rPr>
      </w:pPr>
      <w:r>
        <w:rPr>
          <w:rFonts w:hint="default" w:asciiTheme="minorAscii" w:hAnsiTheme="minorAscii"/>
        </w:rPr>
        <w:t xml:space="preserve">• 12-15分：对高回报投资有疑虑，但需多次劝导才会警惕，易被“限时优惠”等紧迫性话术影响。  </w:t>
      </w:r>
    </w:p>
    <w:p w14:paraId="1B7C7907">
      <w:pPr>
        <w:bidi w:val="0"/>
        <w:rPr>
          <w:rFonts w:hint="default" w:asciiTheme="minorAscii" w:hAnsiTheme="minorAscii"/>
        </w:rPr>
      </w:pPr>
      <w:r>
        <w:rPr>
          <w:rFonts w:hint="default" w:asciiTheme="minorAscii" w:hAnsiTheme="minorAscii"/>
        </w:rPr>
        <w:t xml:space="preserve">• 8-11分：主动参与高风险投资，轻信“内部渠道”“政策扶持”承诺，甚至借贷追加资金。  </w:t>
      </w:r>
    </w:p>
    <w:p w14:paraId="3464BD17">
      <w:pPr>
        <w:bidi w:val="0"/>
        <w:rPr>
          <w:rFonts w:hint="default" w:asciiTheme="minorAscii" w:hAnsiTheme="minorAscii"/>
        </w:rPr>
      </w:pPr>
      <w:r>
        <w:rPr>
          <w:rFonts w:hint="default" w:asciiTheme="minorAscii" w:hAnsiTheme="minorAscii"/>
          <w:b/>
          <w:bCs/>
        </w:rPr>
        <w:t xml:space="preserve">理论支撑： </w:t>
      </w:r>
      <w:r>
        <w:rPr>
          <w:rFonts w:hint="default" w:asciiTheme="minorAscii" w:hAnsiTheme="minorAscii"/>
        </w:rPr>
        <w:t xml:space="preserve"> </w:t>
      </w:r>
    </w:p>
    <w:p w14:paraId="54FB9DCB">
      <w:pPr>
        <w:bidi w:val="0"/>
        <w:rPr>
          <w:rFonts w:hint="default" w:asciiTheme="minorAscii" w:hAnsiTheme="minorAscii"/>
        </w:rPr>
      </w:pPr>
      <w:r>
        <w:rPr>
          <w:rFonts w:hint="default" w:asciiTheme="minorAscii" w:hAnsiTheme="minorAscii"/>
        </w:rPr>
        <w:t>贪利防御值的核心理论框架由前景理论与自我决定理论共同构成，二者从不同维度揭示了老年人非理性投资行为的内在机制。前景理论指出，老年人在决策中表现出显著的损失厌恶倾向，其价值函数呈现S型曲线特征：对损失的敏感度是同等收益的2倍。这种心理特质使老年人更易被"保本高息"等承诺吸引，诈骗者常利用"稳赚不赔"的话术框架，通过放大确定性收益、弱化风险提示的方式，触发老年人的损失规避心理。实证研究发现，当面对同等概率的收益与损失时，老年人选择保守策略的概率比年轻人高出37%。</w:t>
      </w:r>
    </w:p>
    <w:p w14:paraId="434FA5EC">
      <w:pPr>
        <w:bidi w:val="0"/>
        <w:rPr>
          <w:rFonts w:hint="default" w:asciiTheme="minorAscii" w:hAnsiTheme="minorAscii"/>
        </w:rPr>
      </w:pPr>
      <w:r>
        <w:rPr>
          <w:rFonts w:hint="default" w:asciiTheme="minorAscii" w:hAnsiTheme="minorAscii"/>
        </w:rPr>
        <w:t>自我决定理论则从动机视角解释了老年人的风险偏好变化。研究表明，60-70岁低龄老年群体因社会参与度较高，更倾向于通过高收益投资重建自主性控制感。该群体在满足基本生活需求后，存在通过投资实现自我价值延续的心理需求，这种对"能力感"的追求使其更易接受风险性投资。而文化程度较高的老年人因知识储备丰富，对投资产品的理解更深入，其贪利防御值显著高于低学历群体。这种认知优势反而可能转化为过度自信，导致其低估投资风险。</w:t>
      </w:r>
    </w:p>
    <w:p w14:paraId="049B8E2F">
      <w:pPr>
        <w:bidi w:val="0"/>
        <w:rPr>
          <w:rFonts w:hint="default" w:asciiTheme="minorAscii" w:hAnsiTheme="minorAscii"/>
        </w:rPr>
      </w:pPr>
      <w:r>
        <w:rPr>
          <w:rFonts w:hint="default" w:asciiTheme="minorAscii" w:hAnsiTheme="minorAscii"/>
        </w:rPr>
        <w:t xml:space="preserve">两大理论的交互作用揭示了老年人投资决策的复杂性：前景理论解释了风险感知的扭曲机制，而自我决定理论则阐明了行为背后的心理动因。研究还发现，完全反馈条件下老年人的风险调整能力较弱，其投资决策更依赖情绪加工而非理性分析。这提示在金融教育中需结合认知重构与动机引导，帮助老年人建立平衡的风险认知体系。  </w:t>
      </w:r>
    </w:p>
    <w:p w14:paraId="2716DE2F">
      <w:pPr>
        <w:bidi w:val="0"/>
        <w:rPr>
          <w:rFonts w:hint="default" w:asciiTheme="minorAscii" w:hAnsiTheme="minorAscii"/>
          <w:b/>
          <w:bCs/>
          <w:sz w:val="24"/>
          <w:szCs w:val="28"/>
        </w:rPr>
      </w:pPr>
      <w:r>
        <w:rPr>
          <w:rFonts w:hint="default" w:asciiTheme="minorAscii" w:hAnsiTheme="minorAscii"/>
          <w:b/>
          <w:bCs/>
          <w:sz w:val="24"/>
          <w:szCs w:val="28"/>
        </w:rPr>
        <w:t>三、恐慌阈值</w:t>
      </w:r>
    </w:p>
    <w:p w14:paraId="241502C1">
      <w:pPr>
        <w:bidi w:val="0"/>
        <w:rPr>
          <w:rFonts w:hint="default" w:asciiTheme="minorAscii" w:hAnsiTheme="minorAscii"/>
        </w:rPr>
      </w:pPr>
      <w:r>
        <w:rPr>
          <w:rFonts w:hint="default" w:asciiTheme="minorAscii" w:hAnsiTheme="minorAscii"/>
          <w:b/>
          <w:bCs/>
        </w:rPr>
        <w:t>定义</w:t>
      </w:r>
      <w:r>
        <w:rPr>
          <w:rFonts w:hint="default" w:asciiTheme="minorAscii" w:hAnsiTheme="minorAscii"/>
        </w:rPr>
        <w:t xml:space="preserve">：面对突发诈骗威胁时的情绪稳定性，高阈值者能冷静分析，低阈值者易冲动决策。  </w:t>
      </w:r>
    </w:p>
    <w:p w14:paraId="2B86B3D3">
      <w:pPr>
        <w:bidi w:val="0"/>
        <w:rPr>
          <w:rFonts w:hint="default" w:asciiTheme="minorAscii" w:hAnsiTheme="minorAscii"/>
        </w:rPr>
      </w:pPr>
      <w:r>
        <w:rPr>
          <w:rFonts w:hint="default" w:asciiTheme="minorAscii" w:hAnsiTheme="minorAscii"/>
          <w:b/>
          <w:bCs/>
        </w:rPr>
        <w:t>评分标准</w:t>
      </w:r>
      <w:r>
        <w:rPr>
          <w:rFonts w:hint="default" w:asciiTheme="minorAscii" w:hAnsiTheme="minorAscii"/>
          <w:b w:val="0"/>
          <w:bCs w:val="0"/>
        </w:rPr>
        <w:t>（满分15分）：</w:t>
      </w:r>
      <w:r>
        <w:rPr>
          <w:rFonts w:hint="default" w:asciiTheme="minorAscii" w:hAnsiTheme="minorAscii"/>
        </w:rPr>
        <w:t xml:space="preserve">  </w:t>
      </w:r>
    </w:p>
    <w:p w14:paraId="6B1E9B29">
      <w:pPr>
        <w:bidi w:val="0"/>
        <w:rPr>
          <w:rFonts w:hint="default" w:asciiTheme="minorAscii" w:hAnsiTheme="minorAscii"/>
        </w:rPr>
      </w:pPr>
      <w:r>
        <w:rPr>
          <w:rFonts w:hint="default" w:asciiTheme="minorAscii" w:hAnsiTheme="minorAscii"/>
        </w:rPr>
        <w:t xml:space="preserve">• 12-15分：遭遇诈骗威胁时主动联系警方或家属，情绪波动≤30分钟，能复述应对步骤。  </w:t>
      </w:r>
    </w:p>
    <w:p w14:paraId="60EAE61B">
      <w:pPr>
        <w:bidi w:val="0"/>
        <w:rPr>
          <w:rFonts w:hint="default" w:asciiTheme="minorAscii" w:hAnsiTheme="minorAscii"/>
        </w:rPr>
      </w:pPr>
      <w:r>
        <w:rPr>
          <w:rFonts w:hint="default" w:asciiTheme="minorAscii" w:hAnsiTheme="minorAscii"/>
        </w:rPr>
        <w:t xml:space="preserve">• 8-11分：出现焦虑、失眠等情绪反应，需外部干预（如子女劝导）才能恢复理性。  </w:t>
      </w:r>
    </w:p>
    <w:p w14:paraId="7D501403">
      <w:pPr>
        <w:bidi w:val="0"/>
        <w:rPr>
          <w:rFonts w:hint="default" w:asciiTheme="minorAscii" w:hAnsiTheme="minorAscii"/>
        </w:rPr>
      </w:pPr>
      <w:r>
        <w:rPr>
          <w:rFonts w:hint="default" w:asciiTheme="minorAscii" w:hAnsiTheme="minorAscii"/>
        </w:rPr>
        <w:t xml:space="preserve">• 4-7分：因恐慌盲目转账或泄露隐私，事后无明显反思，甚至重复受骗。  </w:t>
      </w:r>
    </w:p>
    <w:p w14:paraId="73328ECB">
      <w:pPr>
        <w:bidi w:val="0"/>
        <w:rPr>
          <w:rFonts w:hint="default" w:asciiTheme="minorAscii" w:hAnsiTheme="minorAscii"/>
          <w:b/>
          <w:bCs/>
        </w:rPr>
      </w:pPr>
      <w:r>
        <w:rPr>
          <w:rFonts w:hint="default" w:asciiTheme="minorAscii" w:hAnsiTheme="minorAscii"/>
          <w:b/>
          <w:bCs/>
        </w:rPr>
        <w:t xml:space="preserve">理论支撑：  </w:t>
      </w:r>
    </w:p>
    <w:p w14:paraId="5C6BACF7">
      <w:pPr>
        <w:bidi w:val="0"/>
        <w:rPr>
          <w:rFonts w:hint="default" w:asciiTheme="minorAscii" w:hAnsiTheme="minorAscii"/>
        </w:rPr>
      </w:pPr>
      <w:r>
        <w:rPr>
          <w:rFonts w:hint="default" w:asciiTheme="minorAscii" w:hAnsiTheme="minorAscii"/>
        </w:rPr>
        <w:t xml:space="preserve">情绪调节理论的核心在于认知重评的策略价值：它并非压抑情绪，而是通过主动调整对触发事件的解读方式，从根源上降低情绪反应的强度。比如当老人收到“账户冻结需紧急转账解冻”的诈骗信息时，若能用认知重评将其解读为“可能是银行系统临时维护”（中性归因），而非“自己涉嫌违法即将面临财产损失”（威胁归因），恐慌情绪便会大幅缓解。但老年人的生理变化限制了这一能力——随着年龄增长，海马体萎缩会导致情景记忆提取困难，他们难以像年轻人那样调用“上次被骗后报警止损”的成功经验来调节当下情绪，只能依赖直觉性的情绪反应，更易陷入恐慌。  </w:t>
      </w:r>
    </w:p>
    <w:p w14:paraId="5DBC3AAD">
      <w:pPr>
        <w:bidi w:val="0"/>
        <w:rPr>
          <w:rFonts w:hint="default" w:asciiTheme="minorAscii" w:hAnsiTheme="minorAscii"/>
        </w:rPr>
      </w:pPr>
      <w:r>
        <w:rPr>
          <w:rFonts w:hint="default" w:asciiTheme="minorAscii" w:hAnsiTheme="minorAscii"/>
        </w:rPr>
        <w:t>压力应对模型则进一步揭示了社会支持对应对方式的关键影响：它将应对策略分为两类——“情绪导向应对”</w:t>
      </w:r>
      <w:r>
        <w:rPr>
          <w:rFonts w:hint="default" w:asciiTheme="minorAscii" w:hAnsiTheme="minorAscii"/>
          <w:lang w:eastAsia="zh-CN"/>
        </w:rPr>
        <w:t>，</w:t>
      </w:r>
      <w:r>
        <w:rPr>
          <w:rFonts w:hint="default" w:asciiTheme="minorAscii" w:hAnsiTheme="minorAscii"/>
        </w:rPr>
        <w:t>因恐慌盲目转账、泄露隐私，试图通过即时行动缓解焦）与“问题导向应对”</w:t>
      </w:r>
      <w:r>
        <w:rPr>
          <w:rFonts w:hint="default" w:asciiTheme="minorAscii" w:hAnsiTheme="minorAscii"/>
          <w:lang w:eastAsia="zh-CN"/>
        </w:rPr>
        <w:t>，</w:t>
      </w:r>
      <w:r>
        <w:rPr>
          <w:rFonts w:hint="default" w:asciiTheme="minorAscii" w:hAnsiTheme="minorAscii"/>
        </w:rPr>
        <w:t>联系银行核实账户、向子女或警方求助，聚焦解决问题本身。模型指出，社会支持薄弱者</w:t>
      </w:r>
      <w:r>
        <w:rPr>
          <w:rFonts w:hint="default" w:asciiTheme="minorAscii" w:hAnsiTheme="minorAscii"/>
          <w:lang w:eastAsia="zh-CN"/>
        </w:rPr>
        <w:t>：</w:t>
      </w:r>
      <w:r>
        <w:rPr>
          <w:rFonts w:hint="default" w:asciiTheme="minorAscii" w:hAnsiTheme="minorAscii"/>
        </w:rPr>
        <w:t>独居、缺乏家人朋友日常沟通的老人因缺少理性声音的制衡，更易选择情绪导向应对；而问题导向应对需要稳定的社会网络支持</w:t>
      </w:r>
      <w:r>
        <w:rPr>
          <w:rFonts w:hint="default" w:asciiTheme="minorAscii" w:hAnsiTheme="minorAscii"/>
          <w:lang w:eastAsia="zh-CN"/>
        </w:rPr>
        <w:t>，</w:t>
      </w:r>
      <w:r>
        <w:rPr>
          <w:rFonts w:hint="default" w:asciiTheme="minorAscii" w:hAnsiTheme="minorAscii"/>
        </w:rPr>
        <w:t xml:space="preserve">比如子女的提醒、社区的帮助，才能让老人在恐慌中保持理性分析的能力。  </w:t>
      </w:r>
    </w:p>
    <w:p w14:paraId="53AE28E3">
      <w:pPr>
        <w:bidi w:val="0"/>
        <w:rPr>
          <w:rFonts w:hint="default" w:asciiTheme="minorAscii" w:hAnsiTheme="minorAscii"/>
        </w:rPr>
      </w:pPr>
      <w:r>
        <w:rPr>
          <w:rFonts w:hint="default" w:asciiTheme="minorAscii" w:hAnsiTheme="minorAscii"/>
        </w:rPr>
        <w:t>研究为这一逻辑提供了实证支撑：家庭参与式干预</w:t>
      </w:r>
      <w:r>
        <w:rPr>
          <w:rFonts w:hint="default" w:asciiTheme="minorAscii" w:hAnsiTheme="minorAscii"/>
          <w:lang w:eastAsia="zh-CN"/>
        </w:rPr>
        <w:t>：</w:t>
      </w:r>
      <w:r>
        <w:rPr>
          <w:rFonts w:hint="default" w:asciiTheme="minorAscii" w:hAnsiTheme="minorAscii"/>
        </w:rPr>
        <w:t xml:space="preserve">子女协助老人制定清晰的财务计划、梳理常见诈骗场景的应对步骤，能让老人提前建立“遇到问题先找家人商量”的思维惯性，显著提升其问题导向应对能力。  </w:t>
      </w:r>
    </w:p>
    <w:p w14:paraId="18612AE0">
      <w:pPr>
        <w:bidi w:val="0"/>
        <w:rPr>
          <w:rFonts w:hint="default" w:asciiTheme="minorAscii" w:hAnsiTheme="minorAscii"/>
        </w:rPr>
      </w:pPr>
      <w:r>
        <w:rPr>
          <w:rFonts w:hint="default" w:asciiTheme="minorAscii" w:hAnsiTheme="minorAscii"/>
        </w:rPr>
        <w:t>该框架通过整合情绪的“调节机制”与应对的“支持系统”，既解释了老年人恐慌决策的生理与心理因素，也为后续干预</w:t>
      </w:r>
      <w:r>
        <w:rPr>
          <w:rFonts w:hint="default" w:asciiTheme="minorAscii" w:hAnsiTheme="minorAscii"/>
          <w:lang w:eastAsia="zh-CN"/>
        </w:rPr>
        <w:t>、</w:t>
      </w:r>
      <w:r>
        <w:rPr>
          <w:rFonts w:hint="default" w:asciiTheme="minorAscii" w:hAnsiTheme="minorAscii"/>
        </w:rPr>
        <w:t xml:space="preserve">家庭陪伴、社区支持指明了方向，让恐慌阈值的评估从“打分”走向“可改善”。  </w:t>
      </w:r>
    </w:p>
    <w:p w14:paraId="788DF15A">
      <w:pPr>
        <w:bidi w:val="0"/>
        <w:rPr>
          <w:rFonts w:hint="default" w:asciiTheme="minorAscii" w:hAnsiTheme="minorAscii"/>
          <w:b/>
          <w:bCs/>
          <w:sz w:val="24"/>
          <w:szCs w:val="28"/>
        </w:rPr>
      </w:pPr>
      <w:r>
        <w:rPr>
          <w:rFonts w:hint="default" w:asciiTheme="minorAscii" w:hAnsiTheme="minorAscii"/>
          <w:b/>
          <w:bCs/>
          <w:sz w:val="24"/>
          <w:szCs w:val="28"/>
        </w:rPr>
        <w:t>四、权威祛魅力</w:t>
      </w:r>
    </w:p>
    <w:p w14:paraId="50C5697E">
      <w:pPr>
        <w:bidi w:val="0"/>
        <w:rPr>
          <w:rFonts w:hint="default" w:asciiTheme="minorAscii" w:hAnsiTheme="minorAscii"/>
        </w:rPr>
      </w:pPr>
      <w:r>
        <w:rPr>
          <w:rFonts w:hint="default" w:asciiTheme="minorAscii" w:hAnsiTheme="minorAscii"/>
          <w:b/>
          <w:bCs/>
        </w:rPr>
        <w:t>定义</w:t>
      </w:r>
      <w:r>
        <w:rPr>
          <w:rFonts w:hint="default" w:asciiTheme="minorAscii" w:hAnsiTheme="minorAscii"/>
        </w:rPr>
        <w:t xml:space="preserve">：对权威人物（如专家、名人）的盲目信任程度，高祛魅者能区分专业性与道德性。  </w:t>
      </w:r>
    </w:p>
    <w:p w14:paraId="4F591D05">
      <w:pPr>
        <w:bidi w:val="0"/>
        <w:rPr>
          <w:rFonts w:hint="default" w:asciiTheme="minorAscii" w:hAnsiTheme="minorAscii"/>
        </w:rPr>
      </w:pPr>
      <w:r>
        <w:rPr>
          <w:rFonts w:hint="default" w:asciiTheme="minorAscii" w:hAnsiTheme="minorAscii"/>
          <w:b/>
          <w:bCs/>
        </w:rPr>
        <w:t>评分标准</w:t>
      </w:r>
      <w:r>
        <w:rPr>
          <w:rFonts w:hint="default" w:asciiTheme="minorAscii" w:hAnsiTheme="minorAscii"/>
        </w:rPr>
        <w:t xml:space="preserve">（满分15分）：  </w:t>
      </w:r>
    </w:p>
    <w:p w14:paraId="5C5E13AE">
      <w:pPr>
        <w:bidi w:val="0"/>
        <w:rPr>
          <w:rFonts w:hint="default" w:asciiTheme="minorAscii" w:hAnsiTheme="minorAscii"/>
        </w:rPr>
      </w:pPr>
      <w:r>
        <w:rPr>
          <w:rFonts w:hint="default" w:asciiTheme="minorAscii" w:hAnsiTheme="minorAscii"/>
        </w:rPr>
        <w:t xml:space="preserve">• 12-15分：质疑“权威推荐”的商业合作，核查专家资质与言论背景，如发现“专家”为演员立即举报。  </w:t>
      </w:r>
    </w:p>
    <w:p w14:paraId="2BD67C41">
      <w:pPr>
        <w:bidi w:val="0"/>
        <w:rPr>
          <w:rFonts w:hint="default" w:asciiTheme="minorAscii" w:hAnsiTheme="minorAscii"/>
        </w:rPr>
      </w:pPr>
      <w:r>
        <w:rPr>
          <w:rFonts w:hint="default" w:asciiTheme="minorAscii" w:hAnsiTheme="minorAscii"/>
        </w:rPr>
        <w:t xml:space="preserve">• 8-11分：默认权威信息可信，但会询问家人意见，对“白大褂”“警服”形象存在过度信任。  </w:t>
      </w:r>
    </w:p>
    <w:p w14:paraId="5E371F43">
      <w:pPr>
        <w:bidi w:val="0"/>
        <w:rPr>
          <w:rFonts w:hint="default" w:asciiTheme="minorAscii" w:hAnsiTheme="minorAscii"/>
        </w:rPr>
      </w:pPr>
      <w:r>
        <w:rPr>
          <w:rFonts w:hint="default" w:asciiTheme="minorAscii" w:hAnsiTheme="minorAscii"/>
        </w:rPr>
        <w:t xml:space="preserve">• 4-7分：无条件信任“名医”“教授”推销，拒绝核实信息，甚至抵制家人劝阻。  </w:t>
      </w:r>
    </w:p>
    <w:p w14:paraId="296B0F31">
      <w:pPr>
        <w:bidi w:val="0"/>
        <w:rPr>
          <w:rFonts w:hint="default" w:asciiTheme="minorAscii" w:hAnsiTheme="minorAscii"/>
          <w:b/>
          <w:bCs/>
        </w:rPr>
      </w:pPr>
      <w:r>
        <w:rPr>
          <w:rFonts w:hint="default" w:asciiTheme="minorAscii" w:hAnsiTheme="minorAscii"/>
          <w:b/>
          <w:bCs/>
        </w:rPr>
        <w:t xml:space="preserve">理论支撑：  </w:t>
      </w:r>
    </w:p>
    <w:p w14:paraId="32D67C2F">
      <w:pPr>
        <w:bidi w:val="0"/>
        <w:rPr>
          <w:rFonts w:hint="default" w:asciiTheme="minorAscii" w:hAnsiTheme="minorAscii"/>
        </w:rPr>
      </w:pPr>
      <w:r>
        <w:rPr>
          <w:rFonts w:hint="default" w:asciiTheme="minorAscii" w:hAnsiTheme="minorAscii"/>
        </w:rPr>
        <w:t>米尔格拉姆权威实验聚焦“普通人对权威的服从性”这一经典命题，其结论揭示了权威符号的强大影响力——65%的普通人会在权威符号</w:t>
      </w:r>
      <w:r>
        <w:rPr>
          <w:rFonts w:hint="default" w:asciiTheme="minorAscii" w:hAnsiTheme="minorAscii"/>
          <w:lang w:eastAsia="zh-CN"/>
        </w:rPr>
        <w:t>，</w:t>
      </w:r>
      <w:r>
        <w:rPr>
          <w:rFonts w:hint="default" w:asciiTheme="minorAscii" w:hAnsiTheme="minorAscii"/>
          <w:lang w:val="en-US" w:eastAsia="zh-CN"/>
        </w:rPr>
        <w:t>例</w:t>
      </w:r>
      <w:r>
        <w:rPr>
          <w:rFonts w:hint="default" w:asciiTheme="minorAscii" w:hAnsiTheme="minorAscii"/>
        </w:rPr>
        <w:t xml:space="preserve">如制服、头衔这类代表权力与专业的外在标识驱动下，做出违背自身道德判断的有害行为。对于老年人而言，这种服从倾向因“道德权威内化程度高”而被放大：他们成长于更强调“尊师重道”“服从专家”的社会环境，对权威的信任已内化为一种行为习惯。例如诈骗场景中，“保健品专家”只需身着象征医疗专业的白大褂、挂上“主任医生”的头衔，就能轻易绕过老年人的理性判断，让其将“权威身份”等同于“产品可靠”，忽略对“包治百病”话术的逻辑质疑。  </w:t>
      </w:r>
    </w:p>
    <w:p w14:paraId="78862BCC">
      <w:pPr>
        <w:bidi w:val="0"/>
        <w:rPr>
          <w:rFonts w:hint="default" w:asciiTheme="minorAscii" w:hAnsiTheme="minorAscii"/>
        </w:rPr>
      </w:pPr>
      <w:r>
        <w:rPr>
          <w:rFonts w:hint="default" w:asciiTheme="minorAscii" w:hAnsiTheme="minorAscii"/>
        </w:rPr>
        <w:t xml:space="preserve">社会认知理论则为破解这种盲目信任提供了工具——它强调元认知监控的重要性。元认知监控是指个体对自身思维过程的觉察与主动调控，具体到权威祛魅中，就是通过“主动提问”打破对权威的迷信：比如面对“权威推荐”时，问自己“这位专家是否与产品有利益关联？”“他所引用的‘临床数据’来源是否公开可查？”“所谓‘专利’是否真的与疗效相关？”。这些提问能将老年人的注意力从“权威身份”转移到“事实本身”，帮助他们区分权威的“专业性”与“可能的误导性”，从而削弱盲目信任。  </w:t>
      </w:r>
    </w:p>
    <w:p w14:paraId="1961DFAD">
      <w:pPr>
        <w:bidi w:val="0"/>
        <w:rPr>
          <w:rFonts w:hint="default" w:asciiTheme="minorAscii" w:hAnsiTheme="minorAscii"/>
        </w:rPr>
      </w:pPr>
      <w:r>
        <w:rPr>
          <w:rFonts w:hint="default" w:asciiTheme="minorAscii" w:hAnsiTheme="minorAscii"/>
        </w:rPr>
        <w:t>实证研究为这一框架的有效性提供了数据支撑：揭露伪科学案例</w:t>
      </w:r>
      <w:r>
        <w:rPr>
          <w:rFonts w:hint="default" w:asciiTheme="minorAscii" w:hAnsiTheme="minorAscii"/>
          <w:lang w:eastAsia="zh-CN"/>
        </w:rPr>
        <w:t>，</w:t>
      </w:r>
      <w:r>
        <w:rPr>
          <w:rFonts w:hint="default" w:asciiTheme="minorAscii" w:hAnsiTheme="minorAscii"/>
        </w:rPr>
        <w:t xml:space="preserve">如宣称“量子能量可穿透细胞治愈慢性病”的“量子疗法”骗局，能让老年人直观看到“权威包装下的虚假逻辑”，进而显著降低其“祛魅盲从率”。  </w:t>
      </w:r>
    </w:p>
    <w:p w14:paraId="44026919">
      <w:pPr>
        <w:bidi w:val="0"/>
        <w:rPr>
          <w:rFonts w:hint="default" w:asciiTheme="minorAscii" w:hAnsiTheme="minorAscii"/>
        </w:rPr>
      </w:pPr>
      <w:r>
        <w:rPr>
          <w:rFonts w:hint="default" w:asciiTheme="minorAscii" w:hAnsiTheme="minorAscii"/>
        </w:rPr>
        <w:t xml:space="preserve">这一理论框架的价值在于，它不仅解释了老年人易受“权威推荐型诈骗”的根源（，更指明了提升“权威祛魅力”的方向：通过训练元认知提问习惯、用真实伪科学案例拆解权威幻觉，帮助老年人从“无条件信权威”转向“理性辨权威”，最终实现“高祛魅者能区分权威的专业性与道德性”的评估目标（如评分标准中“质疑商业合作的权威推荐、核查专家资质并举报虚假身份”的表现）。  </w:t>
      </w:r>
    </w:p>
    <w:p w14:paraId="412162F8">
      <w:pPr>
        <w:bidi w:val="0"/>
        <w:rPr>
          <w:rFonts w:hint="default" w:asciiTheme="minorAscii" w:hAnsiTheme="minorAscii"/>
          <w:b/>
          <w:bCs/>
          <w:sz w:val="24"/>
          <w:szCs w:val="28"/>
        </w:rPr>
      </w:pPr>
      <w:r>
        <w:rPr>
          <w:rFonts w:hint="default" w:asciiTheme="minorAscii" w:hAnsiTheme="minorAscii"/>
          <w:b/>
          <w:bCs/>
          <w:sz w:val="24"/>
          <w:szCs w:val="28"/>
        </w:rPr>
        <w:t>五、情感独立性</w:t>
      </w:r>
    </w:p>
    <w:p w14:paraId="21944F04">
      <w:pPr>
        <w:bidi w:val="0"/>
        <w:rPr>
          <w:rFonts w:hint="default" w:asciiTheme="minorAscii" w:hAnsiTheme="minorAscii"/>
        </w:rPr>
      </w:pPr>
      <w:r>
        <w:rPr>
          <w:rFonts w:hint="default" w:asciiTheme="minorAscii" w:hAnsiTheme="minorAscii"/>
          <w:b/>
          <w:bCs/>
        </w:rPr>
        <w:t>定义</w:t>
      </w:r>
      <w:r>
        <w:rPr>
          <w:rFonts w:hint="default" w:asciiTheme="minorAscii" w:hAnsiTheme="minorAscii"/>
        </w:rPr>
        <w:t xml:space="preserve">：决策时受情感（如孤独、焦虑）影响的程度，高独立性者能理性分离情绪与事实。  </w:t>
      </w:r>
    </w:p>
    <w:p w14:paraId="66BB184B">
      <w:pPr>
        <w:bidi w:val="0"/>
        <w:rPr>
          <w:rFonts w:hint="default" w:asciiTheme="minorAscii" w:hAnsiTheme="minorAscii"/>
        </w:rPr>
      </w:pPr>
      <w:r>
        <w:rPr>
          <w:rFonts w:hint="default" w:asciiTheme="minorAscii" w:hAnsiTheme="minorAscii"/>
          <w:b/>
          <w:bCs/>
        </w:rPr>
        <w:t>评分标准</w:t>
      </w:r>
      <w:r>
        <w:rPr>
          <w:rFonts w:hint="default" w:asciiTheme="minorAscii" w:hAnsiTheme="minorAscii"/>
        </w:rPr>
        <w:t xml:space="preserve">（满分15分）：  </w:t>
      </w:r>
    </w:p>
    <w:p w14:paraId="5F0BB229">
      <w:pPr>
        <w:bidi w:val="0"/>
        <w:rPr>
          <w:rFonts w:hint="default" w:asciiTheme="minorAscii" w:hAnsiTheme="minorAscii"/>
        </w:rPr>
      </w:pPr>
      <w:r>
        <w:rPr>
          <w:rFonts w:hint="default" w:asciiTheme="minorAscii" w:hAnsiTheme="minorAscii"/>
        </w:rPr>
        <w:t xml:space="preserve">• 12-15分：明确区分情感需求与实际需求（如“免费旅游”≠真实福利），拒绝情感绑架式推销。  </w:t>
      </w:r>
    </w:p>
    <w:p w14:paraId="7EE51C35">
      <w:pPr>
        <w:bidi w:val="0"/>
        <w:rPr>
          <w:rFonts w:hint="default" w:asciiTheme="minorAscii" w:hAnsiTheme="minorAscii"/>
        </w:rPr>
      </w:pPr>
      <w:r>
        <w:rPr>
          <w:rFonts w:hint="default" w:asciiTheme="minorAscii" w:hAnsiTheme="minorAscii"/>
        </w:rPr>
        <w:t xml:space="preserve">• 8-11分：易因孤独接受“暖心关怀型诈骗”，但事后会后悔，需心理疏导干预。  </w:t>
      </w:r>
    </w:p>
    <w:p w14:paraId="5854B061">
      <w:pPr>
        <w:bidi w:val="0"/>
        <w:rPr>
          <w:rFonts w:hint="default" w:asciiTheme="minorAscii" w:hAnsiTheme="minorAscii"/>
        </w:rPr>
      </w:pPr>
      <w:r>
        <w:rPr>
          <w:rFonts w:hint="default" w:asciiTheme="minorAscii" w:hAnsiTheme="minorAscii"/>
        </w:rPr>
        <w:t xml:space="preserve">• 4-7分：长期依赖保健品推销员等情感替代，拒绝家人帮助，形成病态依恋。  </w:t>
      </w:r>
    </w:p>
    <w:p w14:paraId="2EA5D170">
      <w:pPr>
        <w:bidi w:val="0"/>
        <w:rPr>
          <w:rFonts w:hint="default" w:asciiTheme="minorAscii" w:hAnsiTheme="minorAscii"/>
        </w:rPr>
      </w:pPr>
      <w:r>
        <w:rPr>
          <w:rFonts w:hint="default" w:asciiTheme="minorAscii" w:hAnsiTheme="minorAscii"/>
          <w:b/>
          <w:bCs/>
        </w:rPr>
        <w:t>理论支撑</w:t>
      </w:r>
      <w:r>
        <w:rPr>
          <w:rFonts w:hint="default" w:asciiTheme="minorAscii" w:hAnsiTheme="minorAscii"/>
        </w:rPr>
        <w:t xml:space="preserve">：  </w:t>
      </w:r>
    </w:p>
    <w:p w14:paraId="3B33862D">
      <w:pPr>
        <w:bidi w:val="0"/>
        <w:rPr>
          <w:rFonts w:hint="default" w:asciiTheme="minorAscii" w:hAnsiTheme="minorAscii"/>
        </w:rPr>
      </w:pPr>
      <w:r>
        <w:rPr>
          <w:rFonts w:hint="default" w:asciiTheme="minorAscii" w:hAnsiTheme="minorAscii"/>
        </w:rPr>
        <w:t xml:space="preserve">依恋理论聚焦个体早期形成的情感联结模式对成年后人际互动的影响，将老年人划分为安全型、焦虑型与回避型三种依恋风格。其中，焦虑型依恋者占比达42%，其核心特征是内心存在显著的情感空虚感，对亲密关系中的“被关注”与“被关怀”有强烈渴求。这种情感需求使其更易陷入“暖心关怀型诈骗”——诈骗者通过刻意模仿子女语气嘘寒问暖、赠送廉价礼品制造“贴心”假象，恰好填补了焦虑型依恋者的情感空缺，导致其将虚假关怀误判为真实情感支持，进而放松对诈骗意图的警惕。相比之下，安全型依恋者因情感需求稳定，对过度热情的关怀更易产生怀疑；回避型依恋者则因习惯疏离，虽不易被情感绑架，却可能因拒绝合理帮助而增加其他类型受骗风险。  </w:t>
      </w:r>
    </w:p>
    <w:p w14:paraId="54A0DC3B">
      <w:pPr>
        <w:bidi w:val="0"/>
        <w:rPr>
          <w:rFonts w:hint="default" w:asciiTheme="minorAscii" w:hAnsiTheme="minorAscii"/>
        </w:rPr>
      </w:pPr>
      <w:r>
        <w:rPr>
          <w:rFonts w:hint="default" w:asciiTheme="minorAscii" w:hAnsiTheme="minorAscii"/>
        </w:rPr>
        <w:t>情感智力理论则提供了提升情感独立性的实操工具，核心是增强元认知能力以分离情绪与事实。该理论提出两种关键方法：一是“情绪标记”，即训练老年人识别对话或情境中的情绪信号</w:t>
      </w:r>
      <w:r>
        <w:rPr>
          <w:rFonts w:hint="default" w:asciiTheme="minorAscii" w:hAnsiTheme="minorAscii"/>
          <w:lang w:eastAsia="zh-CN"/>
        </w:rPr>
        <w:t>，</w:t>
      </w:r>
      <w:r>
        <w:rPr>
          <w:rFonts w:hint="default" w:asciiTheme="minorAscii" w:hAnsiTheme="minorAscii"/>
        </w:rPr>
        <w:t xml:space="preserve">如对方刻意使用“爸妈”“想您了”等亲昵称谓引发的焦虑感、孤独感，将模糊的情感体验转化为可命名的具体信号，避免被情绪裹挟；二是“情绪日记记录法”，通过每日记录“何时因何事产生情绪波动”“当时的想法与事实偏差”，帮助复盘情感触发的非理性链条，逐步建立“情感需求≠事实真相”的认知惯性。例如，当收到保健品推销员“您一个人太孤单，我们陪您聊天”的信息时，情绪标记可识别“孤单”背后的情感缺口，情绪日记则能追溯此前类似情境中“陪伴承诺”与“实际推销”的关联，从而理性判断对方动机。  </w:t>
      </w:r>
    </w:p>
    <w:p w14:paraId="784D50B7">
      <w:pPr>
        <w:bidi w:val="0"/>
        <w:rPr>
          <w:rFonts w:hint="default" w:asciiTheme="minorAscii" w:hAnsiTheme="minorAscii"/>
        </w:rPr>
      </w:pPr>
      <w:r>
        <w:rPr>
          <w:rFonts w:hint="default" w:asciiTheme="minorAscii" w:hAnsiTheme="minorAscii"/>
        </w:rPr>
        <w:t xml:space="preserve">实证研究为这一干预路径提供了量化支持：子女定期深度沟通 作为满足情感需求的安全替代，可显著降低情感依赖型受骗风险。数据显示，这种沟通能使风险降低58%，即参与深度沟通的老年人受骗概率仅为对照组的42%。深度沟通的关键在于“双向倾听”——不仅子女分享生活，更主动询问老人的孤独感、焦虑源，用真实陪伴填补情感空虚，减少其对外部虚假关怀的依赖。这一发现印证了情感独立性的核心：当内在情感需求通过健康关系得到满足，老年人便能更理性地抵御诈骗中的情感操控。  </w:t>
      </w:r>
    </w:p>
    <w:p w14:paraId="03B2D7E2">
      <w:pPr>
        <w:bidi w:val="0"/>
        <w:rPr>
          <w:rFonts w:hint="default" w:asciiTheme="minorAscii" w:hAnsiTheme="minorAscii"/>
        </w:rPr>
      </w:pPr>
      <w:r>
        <w:rPr>
          <w:rFonts w:hint="default" w:asciiTheme="minorAscii" w:hAnsiTheme="minorAscii"/>
        </w:rPr>
        <w:t xml:space="preserve">该理论框架的价值在于，既揭示了“情感依赖→受骗”的心理链条，又给出了“提升情感智力→增强独立性”的解决方案，并通过实证研究验证了家庭支持的关键作用，为“银发守护”中针对情感型诈骗的干预提供了精准靶点。  </w:t>
      </w:r>
    </w:p>
    <w:p w14:paraId="29AD317D">
      <w:pPr>
        <w:numPr>
          <w:ilvl w:val="0"/>
          <w:numId w:val="6"/>
        </w:numPr>
        <w:bidi w:val="0"/>
        <w:rPr>
          <w:rFonts w:hint="default" w:asciiTheme="minorAscii" w:hAnsiTheme="minorAscii"/>
          <w:b/>
          <w:bCs/>
          <w:sz w:val="24"/>
          <w:szCs w:val="28"/>
        </w:rPr>
      </w:pPr>
      <w:r>
        <w:rPr>
          <w:rFonts w:hint="default" w:asciiTheme="minorAscii" w:hAnsiTheme="minorAscii"/>
          <w:b/>
          <w:bCs/>
          <w:sz w:val="24"/>
          <w:szCs w:val="28"/>
        </w:rPr>
        <w:t>法治逻辑</w:t>
      </w:r>
    </w:p>
    <w:p w14:paraId="124045A6">
      <w:pPr>
        <w:numPr>
          <w:numId w:val="0"/>
        </w:numPr>
        <w:bidi w:val="0"/>
        <w:ind w:left="420" w:leftChars="0"/>
        <w:rPr>
          <w:rFonts w:hint="default" w:asciiTheme="minorAscii" w:hAnsiTheme="minorAscii"/>
        </w:rPr>
      </w:pPr>
      <w:r>
        <w:rPr>
          <w:rFonts w:hint="default" w:asciiTheme="minorAscii" w:hAnsiTheme="minorAscii"/>
          <w:b/>
          <w:bCs/>
        </w:rPr>
        <w:t>定义</w:t>
      </w:r>
      <w:r>
        <w:rPr>
          <w:rFonts w:hint="default" w:asciiTheme="minorAscii" w:hAnsiTheme="minorAscii"/>
        </w:rPr>
        <w:t xml:space="preserve">：对法律规则的理解与应用能力，包括对诈骗罪构成要件、维权途径的认知。  </w:t>
      </w:r>
    </w:p>
    <w:p w14:paraId="173CF5BD">
      <w:pPr>
        <w:bidi w:val="0"/>
        <w:rPr>
          <w:rFonts w:hint="default" w:asciiTheme="minorAscii" w:hAnsiTheme="minorAscii"/>
        </w:rPr>
      </w:pPr>
      <w:r>
        <w:rPr>
          <w:rFonts w:hint="default" w:asciiTheme="minorAscii" w:hAnsiTheme="minorAscii"/>
          <w:b/>
          <w:bCs/>
        </w:rPr>
        <w:t>评分标准</w:t>
      </w:r>
      <w:r>
        <w:rPr>
          <w:rFonts w:hint="default" w:asciiTheme="minorAscii" w:hAnsiTheme="minorAscii"/>
        </w:rPr>
        <w:t xml:space="preserve">（满分15分）：  </w:t>
      </w:r>
    </w:p>
    <w:p w14:paraId="502806A3">
      <w:pPr>
        <w:bidi w:val="0"/>
        <w:rPr>
          <w:rFonts w:hint="default" w:asciiTheme="minorAscii" w:hAnsiTheme="minorAscii"/>
        </w:rPr>
      </w:pPr>
      <w:r>
        <w:rPr>
          <w:rFonts w:hint="default" w:asciiTheme="minorAscii" w:hAnsiTheme="minorAscii"/>
        </w:rPr>
        <w:t xml:space="preserve">• 12-15分：明确知晓“诈骗罪”量刑标准，能列举《反电信网络诈骗法》关键条款，主动举报可疑行为。  </w:t>
      </w:r>
    </w:p>
    <w:p w14:paraId="04BF5B1D">
      <w:pPr>
        <w:bidi w:val="0"/>
        <w:rPr>
          <w:rFonts w:hint="default" w:asciiTheme="minorAscii" w:hAnsiTheme="minorAscii"/>
        </w:rPr>
      </w:pPr>
      <w:r>
        <w:rPr>
          <w:rFonts w:hint="default" w:asciiTheme="minorAscii" w:hAnsiTheme="minorAscii"/>
        </w:rPr>
        <w:t xml:space="preserve">• 8-11分：了解基本法律概念（如“非法集资”），但维权时依赖他人协助，对证据保全意识薄弱。  </w:t>
      </w:r>
    </w:p>
    <w:p w14:paraId="3AEA87E1">
      <w:pPr>
        <w:bidi w:val="0"/>
        <w:rPr>
          <w:rFonts w:hint="default" w:asciiTheme="minorAscii" w:hAnsiTheme="minorAscii"/>
        </w:rPr>
      </w:pPr>
      <w:r>
        <w:rPr>
          <w:rFonts w:hint="default" w:asciiTheme="minorAscii" w:hAnsiTheme="minorAscii"/>
        </w:rPr>
        <w:t xml:space="preserve">• 4-7分：认为“被骗是运气差”，不知晓报案流程，甚至因怕丢脸放弃维权。  </w:t>
      </w:r>
    </w:p>
    <w:p w14:paraId="7115353B">
      <w:pPr>
        <w:bidi w:val="0"/>
        <w:rPr>
          <w:rFonts w:hint="default" w:asciiTheme="minorAscii" w:hAnsiTheme="minorAscii"/>
        </w:rPr>
      </w:pPr>
      <w:r>
        <w:rPr>
          <w:rFonts w:hint="default" w:asciiTheme="minorAscii" w:hAnsiTheme="minorAscii"/>
          <w:b/>
          <w:bCs/>
        </w:rPr>
        <w:t>理论支撑</w:t>
      </w:r>
      <w:r>
        <w:rPr>
          <w:rFonts w:hint="default" w:asciiTheme="minorAscii" w:hAnsiTheme="minorAscii"/>
        </w:rPr>
        <w:t xml:space="preserve">：  </w:t>
      </w:r>
    </w:p>
    <w:p w14:paraId="3434E103">
      <w:pPr>
        <w:bidi w:val="0"/>
        <w:rPr>
          <w:rFonts w:hint="default" w:asciiTheme="minorAscii" w:hAnsiTheme="minorAscii"/>
        </w:rPr>
      </w:pPr>
      <w:r>
        <w:rPr>
          <w:rFonts w:hint="default" w:asciiTheme="minorAscii" w:hAnsiTheme="minorAscii"/>
        </w:rPr>
        <w:t>法律认知理论强调，个体对法律条文的掌握往往始于符号化理解——即将抽象的法律规定转化为具体、易记的直观表达，比如将“诈骗罪的量刑标准”简化为“诈骗罪=3年以下有期徒刑”这样的符号化认知，这种理解能帮助人们快速关联法律后果，但绝非天生具备，需通过系统教育不断强化。然而，老年人因教育水平存在差异，对伴随数字时代发展而来的法律新规认知明显不足：他们可能不清楚“虚拟财产保护”意味着自己的微信钱包、游戏账号等数字资产受法律保护，也不了解“电子证据效力”指聊天记录、转账截图等电子材料可作为维权凭证，这导致他们在面对“虚拟货币诈骗”“电子合同陷阱”等新型骗局时，难以用这些新规维护自身权益。</w:t>
      </w:r>
    </w:p>
    <w:p w14:paraId="65E793A9">
      <w:pPr>
        <w:bidi w:val="0"/>
        <w:rPr>
          <w:rFonts w:hint="eastAsia"/>
        </w:rPr>
      </w:pPr>
      <w:r>
        <w:rPr>
          <w:rFonts w:hint="default" w:asciiTheme="minorAscii" w:hAnsiTheme="minorAscii"/>
        </w:rPr>
        <w:t>规则内化理论则进一步阐释了规则生效的深层机制：规则要真正发挥作用，需从外源性约束转化为内源性认同——前者是来自外部的强制要求，后者是个体从内心接受并自觉遵守规则的状态</w:t>
      </w:r>
      <w:r>
        <w:rPr>
          <w:rFonts w:hint="default" w:asciiTheme="minorAscii" w:hAnsiTheme="minorAscii"/>
          <w:lang w:eastAsia="zh-CN"/>
        </w:rPr>
        <w:t>，</w:t>
      </w:r>
      <w:r>
        <w:rPr>
          <w:rFonts w:hint="default" w:asciiTheme="minorAscii" w:hAnsiTheme="minorAscii"/>
        </w:rPr>
        <w:t>觉得“守法是为自己好”。社区开展的普法活动，比如模拟法庭，通过让老年人亲身参与诈骗案件的模拟审理，直观感受法律规则在真实场景中的应用，而非被动听讲座，能有效促进这种转化。参与反诈法律培训的老年人，其法治逻辑得分较未参与者</w:t>
      </w:r>
      <w:r>
        <w:rPr>
          <w:rFonts w:hint="default" w:asciiTheme="minorAscii" w:hAnsiTheme="minorAscii"/>
          <w:lang w:val="en-US" w:eastAsia="zh-CN"/>
        </w:rPr>
        <w:t>能够</w:t>
      </w:r>
      <w:r>
        <w:rPr>
          <w:rFonts w:hint="default" w:asciiTheme="minorAscii" w:hAnsiTheme="minorAscii"/>
        </w:rPr>
        <w:t>提升23%，这一结果不仅验证了培训对规则内化的推动作用，也呼应了法治逻辑的评分标准中“高分者能列举《反电信网络诈骗法》关键条款、主动举报可疑行为”的要求——通过教育强化认知、通过体验促进认同，才能让法律规则从“纸上条文”变成老年人的“自我保护工具”。</w:t>
      </w:r>
      <w:r>
        <w:rPr>
          <w:rFonts w:hint="eastAsia"/>
        </w:rPr>
        <w:t xml:space="preserve">  </w:t>
      </w:r>
    </w:p>
    <w:p w14:paraId="17B1D170">
      <w:pPr>
        <w:pStyle w:val="28"/>
        <w:bidi w:val="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ell MT">
    <w:panose1 w:val="02020503060305020303"/>
    <w:charset w:val="00"/>
    <w:family w:val="auto"/>
    <w:pitch w:val="default"/>
    <w:sig w:usb0="00000003" w:usb1="00000000" w:usb2="00000000" w:usb3="00000000" w:csb0="20000001" w:csb1="00000000"/>
  </w:font>
  <w:font w:name="汉仪书宋二简">
    <w:altName w:val="宋体"/>
    <w:panose1 w:val="02010600000101010101"/>
    <w:charset w:val="86"/>
    <w:family w:val="auto"/>
    <w:pitch w:val="default"/>
    <w:sig w:usb0="00000000" w:usb1="00000000" w:usb2="00000002" w:usb3="00000000" w:csb0="00040000" w:csb1="00000000"/>
  </w:font>
  <w:font w:name="方正大标宋简体">
    <w:altName w:val="微软雅黑"/>
    <w:panose1 w:val="02000000000000000000"/>
    <w:charset w:val="86"/>
    <w:family w:val="auto"/>
    <w:pitch w:val="default"/>
    <w:sig w:usb0="00000000" w:usb1="00000000" w:usb2="00000012" w:usb3="00000000" w:csb0="00040001" w:csb1="00000000"/>
  </w:font>
  <w:font w:name="方正小标宋简体">
    <w:altName w:val="方正舒体"/>
    <w:panose1 w:val="02000000000000000000"/>
    <w:charset w:val="86"/>
    <w:family w:val="auto"/>
    <w:pitch w:val="default"/>
    <w:sig w:usb0="00000000" w:usb1="00000000" w:usb2="00000000" w:usb3="00000000" w:csb0="00040000" w:csb1="00000000"/>
  </w:font>
  <w:font w:name="汉仪大宋简">
    <w:panose1 w:val="02010600000101010101"/>
    <w:charset w:val="86"/>
    <w:family w:val="auto"/>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中宋简">
    <w:panose1 w:val="02010600000101010101"/>
    <w:charset w:val="80"/>
    <w:family w:val="auto"/>
    <w:pitch w:val="default"/>
    <w:sig w:usb0="800002BF" w:usb1="184F6CF8" w:usb2="00000012" w:usb3="00000000" w:csb0="00020001"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方正舒体">
    <w:panose1 w:val="02010601030101010101"/>
    <w:charset w:val="86"/>
    <w:family w:val="auto"/>
    <w:pitch w:val="default"/>
    <w:sig w:usb0="00000003"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E85664"/>
    <w:multiLevelType w:val="singleLevel"/>
    <w:tmpl w:val="BAE85664"/>
    <w:lvl w:ilvl="0" w:tentative="0">
      <w:start w:val="1"/>
      <w:numFmt w:val="bullet"/>
      <w:pStyle w:val="47"/>
      <w:suff w:val="space"/>
      <w:lvlText w:val=""/>
      <w:lvlJc w:val="left"/>
      <w:pPr>
        <w:ind w:left="0" w:leftChars="0" w:firstLine="420" w:firstLineChars="0"/>
      </w:pPr>
      <w:rPr>
        <w:rFonts w:hint="default" w:ascii="Wingdings" w:hAnsi="Wingdings" w:cs="Wingdings"/>
      </w:rPr>
    </w:lvl>
  </w:abstractNum>
  <w:abstractNum w:abstractNumId="1">
    <w:nsid w:val="E6EF3E52"/>
    <w:multiLevelType w:val="singleLevel"/>
    <w:tmpl w:val="E6EF3E52"/>
    <w:lvl w:ilvl="0" w:tentative="0">
      <w:start w:val="2"/>
      <w:numFmt w:val="chineseCounting"/>
      <w:suff w:val="nothing"/>
      <w:lvlText w:val="%1、"/>
      <w:lvlJc w:val="left"/>
      <w:rPr>
        <w:rFonts w:hint="eastAsia"/>
      </w:rPr>
    </w:lvl>
  </w:abstractNum>
  <w:abstractNum w:abstractNumId="2">
    <w:nsid w:val="18854979"/>
    <w:multiLevelType w:val="multilevel"/>
    <w:tmpl w:val="18854979"/>
    <w:lvl w:ilvl="0" w:tentative="0">
      <w:start w:val="1"/>
      <w:numFmt w:val="chineseCounting"/>
      <w:pStyle w:val="2"/>
      <w:suff w:val="space"/>
      <w:lvlText w:val="第%1章"/>
      <w:lvlJc w:val="left"/>
      <w:pPr>
        <w:tabs>
          <w:tab w:val="left" w:pos="0"/>
        </w:tabs>
        <w:ind w:left="420" w:leftChars="0" w:hanging="420" w:firstLineChars="0"/>
      </w:pPr>
      <w:rPr>
        <w:rFonts w:hint="eastAsia"/>
      </w:rPr>
    </w:lvl>
    <w:lvl w:ilvl="1" w:tentative="0">
      <w:start w:val="1"/>
      <w:numFmt w:val="chineseCounting"/>
      <w:pStyle w:val="3"/>
      <w:suff w:val="space"/>
      <w:lvlText w:val="第%2节"/>
      <w:lvlJc w:val="left"/>
      <w:pPr>
        <w:tabs>
          <w:tab w:val="left" w:pos="0"/>
        </w:tabs>
        <w:ind w:left="0" w:leftChars="0" w:firstLine="0" w:firstLineChars="0"/>
      </w:pPr>
      <w:rPr>
        <w:rFonts w:hint="eastAsia" w:ascii="方正大标宋简体" w:hAnsi="方正大标宋简体" w:eastAsia="方正大标宋简体"/>
      </w:rPr>
    </w:lvl>
    <w:lvl w:ilvl="2" w:tentative="0">
      <w:start w:val="1"/>
      <w:numFmt w:val="chineseCounting"/>
      <w:pStyle w:val="4"/>
      <w:suff w:val="nothing"/>
      <w:lvlText w:val="%3、"/>
      <w:lvlJc w:val="left"/>
      <w:pPr>
        <w:tabs>
          <w:tab w:val="left" w:pos="420"/>
        </w:tabs>
        <w:ind w:left="210" w:leftChars="0" w:firstLine="0" w:firstLineChars="0"/>
      </w:pPr>
      <w:rPr>
        <w:rFonts w:hint="eastAsia" w:eastAsia="方正小标宋简体"/>
      </w:rPr>
    </w:lvl>
    <w:lvl w:ilvl="3" w:tentative="0">
      <w:start w:val="1"/>
      <w:numFmt w:val="chineseCounting"/>
      <w:pStyle w:val="5"/>
      <w:suff w:val="nothing"/>
      <w:lvlText w:val="（%4）"/>
      <w:lvlJc w:val="left"/>
      <w:pPr>
        <w:tabs>
          <w:tab w:val="left" w:pos="420"/>
        </w:tabs>
        <w:ind w:left="420" w:leftChars="0" w:hanging="210" w:firstLineChars="0"/>
      </w:pPr>
      <w:rPr>
        <w:rFonts w:hint="eastAsia" w:ascii="汉仪大宋简" w:hAnsi="汉仪大宋简" w:eastAsia="华文中宋" w:cs="宋体"/>
      </w:rPr>
    </w:lvl>
    <w:lvl w:ilvl="4" w:tentative="0">
      <w:start w:val="1"/>
      <w:numFmt w:val="decimal"/>
      <w:pStyle w:val="6"/>
      <w:suff w:val="nothing"/>
      <w:lvlText w:val="%5）"/>
      <w:lvlJc w:val="left"/>
      <w:pPr>
        <w:tabs>
          <w:tab w:val="left" w:pos="0"/>
        </w:tabs>
        <w:ind w:left="0" w:leftChars="0" w:firstLine="420" w:firstLineChars="0"/>
      </w:pPr>
      <w:rPr>
        <w:rFonts w:hint="eastAsia" w:eastAsia="汉仪中宋简"/>
      </w:rPr>
    </w:lvl>
    <w:lvl w:ilvl="5" w:tentative="0">
      <w:start w:val="1"/>
      <w:numFmt w:val="decimalEnclosedCircleChinese"/>
      <w:suff w:val="nothing"/>
      <w:lvlText w:val="%6"/>
      <w:lvlJc w:val="left"/>
      <w:pPr>
        <w:ind w:left="0"/>
      </w:pPr>
      <w:rPr>
        <w:rFonts w:hint="eastAsia"/>
      </w:rPr>
    </w:lvl>
    <w:lvl w:ilvl="6" w:tentative="0">
      <w:start w:val="1"/>
      <w:numFmt w:val="decimal"/>
      <w:suff w:val="nothing"/>
      <w:lvlText w:val="%7）"/>
      <w:lvlJc w:val="left"/>
      <w:pPr>
        <w:ind w:left="-420"/>
      </w:pPr>
      <w:rPr>
        <w:rFonts w:hint="eastAsia"/>
      </w:rPr>
    </w:lvl>
    <w:lvl w:ilvl="7" w:tentative="0">
      <w:start w:val="1"/>
      <w:numFmt w:val="lowerLetter"/>
      <w:suff w:val="nothing"/>
      <w:lvlText w:val="%8．"/>
      <w:lvlJc w:val="left"/>
      <w:pPr>
        <w:ind w:left="-420"/>
      </w:pPr>
      <w:rPr>
        <w:rFonts w:hint="eastAsia"/>
      </w:rPr>
    </w:lvl>
    <w:lvl w:ilvl="8" w:tentative="0">
      <w:start w:val="1"/>
      <w:numFmt w:val="lowerLetter"/>
      <w:suff w:val="nothing"/>
      <w:lvlText w:val="%9）"/>
      <w:lvlJc w:val="left"/>
      <w:pPr>
        <w:ind w:left="-420"/>
      </w:pPr>
      <w:rPr>
        <w:rFonts w:hint="eastAsia"/>
      </w:rPr>
    </w:lvl>
  </w:abstractNum>
  <w:abstractNum w:abstractNumId="3">
    <w:nsid w:val="208E723A"/>
    <w:multiLevelType w:val="singleLevel"/>
    <w:tmpl w:val="208E723A"/>
    <w:lvl w:ilvl="0" w:tentative="0">
      <w:start w:val="1"/>
      <w:numFmt w:val="chineseCounting"/>
      <w:suff w:val="nothing"/>
      <w:lvlText w:val="%1、"/>
      <w:lvlJc w:val="left"/>
      <w:rPr>
        <w:rFonts w:hint="eastAsia"/>
      </w:rPr>
    </w:lvl>
  </w:abstractNum>
  <w:abstractNum w:abstractNumId="4">
    <w:nsid w:val="63BF9ADC"/>
    <w:multiLevelType w:val="singleLevel"/>
    <w:tmpl w:val="63BF9ADC"/>
    <w:lvl w:ilvl="0" w:tentative="0">
      <w:start w:val="1"/>
      <w:numFmt w:val="bullet"/>
      <w:pStyle w:val="48"/>
      <w:lvlText w:val=""/>
      <w:lvlJc w:val="left"/>
      <w:pPr>
        <w:ind w:left="840" w:hanging="420"/>
      </w:pPr>
      <w:rPr>
        <w:rFonts w:hint="default" w:ascii="Wingdings" w:hAnsi="Wingdings"/>
      </w:rPr>
    </w:lvl>
  </w:abstractNum>
  <w:abstractNum w:abstractNumId="5">
    <w:nsid w:val="6692571C"/>
    <w:multiLevelType w:val="singleLevel"/>
    <w:tmpl w:val="6692571C"/>
    <w:lvl w:ilvl="0" w:tentative="0">
      <w:start w:val="6"/>
      <w:numFmt w:val="chineseCounting"/>
      <w:suff w:val="nothing"/>
      <w:lvlText w:val="%1、"/>
      <w:lvlJc w:val="left"/>
      <w:rPr>
        <w:rFonts w:hint="eastAsia"/>
      </w:rPr>
    </w:lvl>
  </w:abstractNum>
  <w:num w:numId="1">
    <w:abstractNumId w:val="2"/>
  </w:num>
  <w:num w:numId="2">
    <w:abstractNumId w:val="0"/>
  </w:num>
  <w:num w:numId="3">
    <w:abstractNumId w:val="4"/>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C3A8A"/>
    <w:rsid w:val="000B534C"/>
    <w:rsid w:val="00F626B6"/>
    <w:rsid w:val="072C1B4F"/>
    <w:rsid w:val="087A0E71"/>
    <w:rsid w:val="0A2C3A8A"/>
    <w:rsid w:val="0F7B4B7C"/>
    <w:rsid w:val="115D1CA4"/>
    <w:rsid w:val="127219CC"/>
    <w:rsid w:val="142F2BD6"/>
    <w:rsid w:val="150D4D86"/>
    <w:rsid w:val="15F56527"/>
    <w:rsid w:val="170D502C"/>
    <w:rsid w:val="17EE41BE"/>
    <w:rsid w:val="18615B7A"/>
    <w:rsid w:val="1AA13BF7"/>
    <w:rsid w:val="212C5C64"/>
    <w:rsid w:val="22610D90"/>
    <w:rsid w:val="22716D9B"/>
    <w:rsid w:val="231D4771"/>
    <w:rsid w:val="237F47FB"/>
    <w:rsid w:val="24AC52CC"/>
    <w:rsid w:val="24D571B8"/>
    <w:rsid w:val="2A636A70"/>
    <w:rsid w:val="2B1C46C9"/>
    <w:rsid w:val="2BEB30F9"/>
    <w:rsid w:val="2F443315"/>
    <w:rsid w:val="2FF1390A"/>
    <w:rsid w:val="31106F9F"/>
    <w:rsid w:val="31CA4839"/>
    <w:rsid w:val="353B4DD0"/>
    <w:rsid w:val="378742A3"/>
    <w:rsid w:val="37D920F9"/>
    <w:rsid w:val="3C0B3BBA"/>
    <w:rsid w:val="404F2A06"/>
    <w:rsid w:val="441A43B7"/>
    <w:rsid w:val="44691918"/>
    <w:rsid w:val="46CD6844"/>
    <w:rsid w:val="4798260B"/>
    <w:rsid w:val="49C45812"/>
    <w:rsid w:val="4A0C06F2"/>
    <w:rsid w:val="4A2E4592"/>
    <w:rsid w:val="4AD352BB"/>
    <w:rsid w:val="4B1319AB"/>
    <w:rsid w:val="4C847914"/>
    <w:rsid w:val="4D7E597B"/>
    <w:rsid w:val="5077220D"/>
    <w:rsid w:val="51345A4A"/>
    <w:rsid w:val="513B0E6F"/>
    <w:rsid w:val="532F2BCB"/>
    <w:rsid w:val="539D78BB"/>
    <w:rsid w:val="541212FA"/>
    <w:rsid w:val="55083AC5"/>
    <w:rsid w:val="56190555"/>
    <w:rsid w:val="563754D3"/>
    <w:rsid w:val="595924F8"/>
    <w:rsid w:val="5A0732CD"/>
    <w:rsid w:val="5AF50649"/>
    <w:rsid w:val="5BF73F8D"/>
    <w:rsid w:val="5CE714C2"/>
    <w:rsid w:val="62255429"/>
    <w:rsid w:val="66FB3FFB"/>
    <w:rsid w:val="680B58AB"/>
    <w:rsid w:val="69EC43A8"/>
    <w:rsid w:val="6A495025"/>
    <w:rsid w:val="6BFA30AC"/>
    <w:rsid w:val="6CE16C7D"/>
    <w:rsid w:val="6D48425A"/>
    <w:rsid w:val="6E8E076B"/>
    <w:rsid w:val="6F8166E3"/>
    <w:rsid w:val="70263E9E"/>
    <w:rsid w:val="70916C37"/>
    <w:rsid w:val="72614E13"/>
    <w:rsid w:val="76AC2DF2"/>
    <w:rsid w:val="77116CC1"/>
    <w:rsid w:val="79492746"/>
    <w:rsid w:val="7CE825F8"/>
    <w:rsid w:val="7DF228B1"/>
    <w:rsid w:val="7EAE30EE"/>
    <w:rsid w:val="7F1D08FE"/>
    <w:rsid w:val="7F224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numPr>
        <w:ilvl w:val="4"/>
        <w:numId w:val="0"/>
      </w:numPr>
      <w:kinsoku/>
      <w:wordWrap/>
      <w:overflowPunct/>
      <w:topLinePunct w:val="0"/>
      <w:autoSpaceDE/>
      <w:autoSpaceDN/>
      <w:bidi w:val="0"/>
      <w:adjustRightInd/>
      <w:snapToGrid/>
      <w:spacing w:before="120" w:after="120" w:line="240" w:lineRule="auto"/>
      <w:ind w:left="0" w:leftChars="0" w:firstLine="420" w:firstLineChars="0"/>
      <w:jc w:val="left"/>
      <w:textAlignment w:val="auto"/>
    </w:pPr>
    <w:rPr>
      <w:rFonts w:ascii="Bell MT" w:hAnsi="Bell MT" w:eastAsia="汉仪书宋二简" w:cs="汉仪书宋二简"/>
      <w:spacing w:val="0"/>
      <w:kern w:val="2"/>
      <w:sz w:val="21"/>
      <w:szCs w:val="22"/>
      <w:lang w:val="en-US" w:eastAsia="zh-CN" w:bidi="ar-SA"/>
    </w:rPr>
  </w:style>
  <w:style w:type="paragraph" w:styleId="2">
    <w:name w:val="heading 1"/>
    <w:basedOn w:val="3"/>
    <w:next w:val="3"/>
    <w:link w:val="25"/>
    <w:qFormat/>
    <w:uiPriority w:val="0"/>
    <w:pPr>
      <w:numPr>
        <w:ilvl w:val="0"/>
        <w:numId w:val="1"/>
      </w:numPr>
      <w:tabs>
        <w:tab w:val="left" w:pos="420"/>
      </w:tabs>
      <w:jc w:val="center"/>
      <w:outlineLvl w:val="0"/>
    </w:pPr>
    <w:rPr>
      <w:rFonts w:ascii="方正大标宋简体" w:hAnsi="方正大标宋简体" w:eastAsia="汉仪大宋简" w:cs="方正大标宋简体"/>
      <w:spacing w:val="0"/>
      <w:kern w:val="2"/>
      <w:sz w:val="32"/>
      <w:szCs w:val="28"/>
      <w:lang w:val="en-US" w:eastAsia="zh-CN" w:bidi="ar-SA"/>
    </w:rPr>
  </w:style>
  <w:style w:type="paragraph" w:styleId="3">
    <w:name w:val="heading 2"/>
    <w:basedOn w:val="1"/>
    <w:next w:val="4"/>
    <w:unhideWhenUsed/>
    <w:qFormat/>
    <w:uiPriority w:val="0"/>
    <w:pPr>
      <w:numPr>
        <w:ilvl w:val="1"/>
        <w:numId w:val="1"/>
      </w:numPr>
      <w:tabs>
        <w:tab w:val="left" w:pos="420"/>
        <w:tab w:val="clear" w:pos="0"/>
      </w:tabs>
      <w:spacing w:line="600" w:lineRule="auto"/>
      <w:ind w:firstLine="0"/>
      <w:outlineLvl w:val="1"/>
    </w:pPr>
    <w:rPr>
      <w:rFonts w:ascii="方正大标宋简体" w:hAnsi="方正大标宋简体" w:eastAsia="方正大标宋简体" w:cs="方正大标宋简体"/>
      <w:bCs/>
      <w:sz w:val="28"/>
      <w:szCs w:val="28"/>
    </w:rPr>
  </w:style>
  <w:style w:type="paragraph" w:styleId="4">
    <w:name w:val="heading 3"/>
    <w:basedOn w:val="1"/>
    <w:next w:val="1"/>
    <w:link w:val="42"/>
    <w:unhideWhenUsed/>
    <w:qFormat/>
    <w:uiPriority w:val="0"/>
    <w:pPr>
      <w:numPr>
        <w:ilvl w:val="2"/>
        <w:numId w:val="1"/>
      </w:numPr>
      <w:spacing w:before="0" w:after="0" w:line="480" w:lineRule="auto"/>
      <w:ind w:left="210" w:firstLine="0"/>
      <w:outlineLvl w:val="2"/>
    </w:pPr>
    <w:rPr>
      <w:rFonts w:ascii="方正小标宋简体" w:hAnsi="方正小标宋简体" w:eastAsia="方正小标宋简体" w:cs="方正小标宋简体"/>
      <w:sz w:val="24"/>
      <w:szCs w:val="24"/>
    </w:rPr>
  </w:style>
  <w:style w:type="paragraph" w:styleId="5">
    <w:name w:val="heading 4"/>
    <w:basedOn w:val="1"/>
    <w:next w:val="1"/>
    <w:link w:val="39"/>
    <w:unhideWhenUsed/>
    <w:qFormat/>
    <w:uiPriority w:val="0"/>
    <w:pPr>
      <w:numPr>
        <w:ilvl w:val="3"/>
        <w:numId w:val="1"/>
      </w:numPr>
      <w:tabs>
        <w:tab w:val="left" w:pos="0"/>
        <w:tab w:val="clear" w:pos="420"/>
      </w:tabs>
      <w:spacing w:before="0" w:after="0" w:line="480" w:lineRule="auto"/>
      <w:ind w:left="420" w:hanging="210"/>
      <w:outlineLvl w:val="3"/>
    </w:pPr>
    <w:rPr>
      <w:rFonts w:ascii="汉仪大宋简" w:hAnsi="汉仪大宋简" w:eastAsia="华文中宋" w:cs="汉仪大宋简"/>
      <w:bCs/>
      <w:sz w:val="22"/>
    </w:rPr>
  </w:style>
  <w:style w:type="paragraph" w:styleId="6">
    <w:name w:val="heading 5"/>
    <w:basedOn w:val="1"/>
    <w:next w:val="1"/>
    <w:link w:val="44"/>
    <w:unhideWhenUsed/>
    <w:qFormat/>
    <w:uiPriority w:val="0"/>
    <w:pPr>
      <w:numPr>
        <w:numId w:val="1"/>
      </w:numPr>
      <w:tabs>
        <w:tab w:val="left" w:pos="0"/>
      </w:tabs>
      <w:ind w:left="0" w:firstLine="420"/>
      <w:outlineLvl w:val="4"/>
    </w:pPr>
    <w:rPr>
      <w:b/>
      <w:bCs/>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楷体"/>
      <w:b/>
      <w:sz w:val="24"/>
    </w:rPr>
  </w:style>
  <w:style w:type="paragraph" w:styleId="8">
    <w:name w:val="heading 7"/>
    <w:basedOn w:val="1"/>
    <w:next w:val="1"/>
    <w:semiHidden/>
    <w:unhideWhenUsed/>
    <w:qFormat/>
    <w:uiPriority w:val="0"/>
    <w:pPr>
      <w:keepNext/>
      <w:keepLines/>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2">
    <w:name w:val="Default Paragraph Font"/>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spacing w:after="120" w:afterLines="0" w:afterAutospacing="0"/>
    </w:pPr>
  </w:style>
  <w:style w:type="paragraph" w:styleId="12">
    <w:name w:val="toc 3"/>
    <w:basedOn w:val="1"/>
    <w:next w:val="1"/>
    <w:qFormat/>
    <w:uiPriority w:val="0"/>
    <w:pPr>
      <w:tabs>
        <w:tab w:val="right" w:leader="dot" w:pos="8306"/>
      </w:tabs>
      <w:ind w:left="420" w:leftChars="200"/>
    </w:pPr>
    <w:rPr>
      <w:rFonts w:ascii="华文楷体" w:hAnsi="华文楷体" w:eastAsia="华文楷体" w:cs="华文楷体"/>
    </w:rPr>
  </w:style>
  <w:style w:type="paragraph" w:styleId="13">
    <w:name w:val="footer"/>
    <w:basedOn w:val="1"/>
    <w:link w:val="37"/>
    <w:qFormat/>
    <w:uiPriority w:val="0"/>
    <w:pPr>
      <w:tabs>
        <w:tab w:val="center" w:pos="4153"/>
        <w:tab w:val="right" w:pos="8306"/>
      </w:tabs>
      <w:snapToGrid w:val="0"/>
      <w:jc w:val="left"/>
    </w:pPr>
    <w:rPr>
      <w:sz w:val="18"/>
    </w:rPr>
  </w:style>
  <w:style w:type="paragraph" w:styleId="14">
    <w:name w:val="header"/>
    <w:basedOn w:val="1"/>
    <w:link w:val="32"/>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eastAsia="汉仪书宋二简"/>
      <w:sz w:val="18"/>
    </w:rPr>
  </w:style>
  <w:style w:type="paragraph" w:styleId="15">
    <w:name w:val="toc 1"/>
    <w:basedOn w:val="1"/>
    <w:next w:val="1"/>
    <w:qFormat/>
    <w:uiPriority w:val="0"/>
    <w:pPr>
      <w:tabs>
        <w:tab w:val="right" w:leader="dot" w:pos="8306"/>
      </w:tabs>
    </w:pPr>
    <w:rPr>
      <w:rFonts w:ascii="汉仪中宋简" w:hAnsi="汉仪中宋简" w:eastAsia="汉仪中宋简" w:cs="汉仪中宋简"/>
      <w:sz w:val="22"/>
      <w:szCs w:val="24"/>
    </w:rPr>
  </w:style>
  <w:style w:type="paragraph" w:styleId="16">
    <w:name w:val="toc 4"/>
    <w:basedOn w:val="1"/>
    <w:next w:val="1"/>
    <w:qFormat/>
    <w:uiPriority w:val="0"/>
    <w:pPr>
      <w:ind w:left="1260" w:leftChars="600"/>
    </w:pPr>
    <w:rPr>
      <w:rFonts w:eastAsia="华文楷体"/>
    </w:rPr>
  </w:style>
  <w:style w:type="paragraph" w:styleId="17">
    <w:name w:val="footnote text"/>
    <w:basedOn w:val="1"/>
    <w:qFormat/>
    <w:uiPriority w:val="0"/>
    <w:pPr>
      <w:snapToGrid w:val="0"/>
      <w:jc w:val="left"/>
    </w:pPr>
    <w:rPr>
      <w:sz w:val="18"/>
    </w:rPr>
  </w:style>
  <w:style w:type="paragraph" w:styleId="18">
    <w:name w:val="toc 2"/>
    <w:basedOn w:val="1"/>
    <w:next w:val="1"/>
    <w:qFormat/>
    <w:uiPriority w:val="0"/>
    <w:pPr>
      <w:tabs>
        <w:tab w:val="right" w:leader="dot" w:pos="8306"/>
      </w:tabs>
      <w:ind w:left="210" w:leftChars="100"/>
    </w:pPr>
    <w:rPr>
      <w:rFonts w:ascii="华文宋体" w:hAnsi="华文宋体" w:cs="华文宋体"/>
    </w:r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qFormat/>
    <w:uiPriority w:val="0"/>
    <w:rPr>
      <w:color w:val="0000FF"/>
      <w:u w:val="single"/>
    </w:rPr>
  </w:style>
  <w:style w:type="character" w:styleId="24">
    <w:name w:val="footnote reference"/>
    <w:basedOn w:val="22"/>
    <w:qFormat/>
    <w:uiPriority w:val="0"/>
    <w:rPr>
      <w:rFonts w:ascii="Times New Roman" w:hAnsi="Times New Roman" w:eastAsia="华文仿宋"/>
      <w:vertAlign w:val="superscript"/>
    </w:rPr>
  </w:style>
  <w:style w:type="character" w:customStyle="1" w:styleId="25">
    <w:name w:val="标题 1 Char"/>
    <w:link w:val="2"/>
    <w:qFormat/>
    <w:uiPriority w:val="0"/>
    <w:rPr>
      <w:rFonts w:ascii="方正大标宋简体" w:hAnsi="方正大标宋简体" w:eastAsia="汉仪大宋简" w:cs="方正大标宋简体"/>
      <w:bCs/>
      <w:spacing w:val="0"/>
      <w:kern w:val="2"/>
      <w:sz w:val="32"/>
      <w:szCs w:val="28"/>
      <w:lang w:val="en-US" w:eastAsia="zh-CN" w:bidi="ar-SA"/>
    </w:rPr>
  </w:style>
  <w:style w:type="paragraph" w:customStyle="1" w:styleId="26">
    <w:name w:val="引用重点"/>
    <w:basedOn w:val="1"/>
    <w:link w:val="38"/>
    <w:qFormat/>
    <w:uiPriority w:val="0"/>
    <w:rPr>
      <w:rFonts w:hint="eastAsia" w:eastAsia="华文仿宋"/>
      <w:color w:val="8A18BF"/>
    </w:rPr>
  </w:style>
  <w:style w:type="paragraph" w:customStyle="1" w:styleId="27">
    <w:name w:val="引用内容块"/>
    <w:basedOn w:val="1"/>
    <w:link w:val="31"/>
    <w:qFormat/>
    <w:uiPriority w:val="0"/>
    <w:pPr>
      <w:pBdr>
        <w:left w:val="single" w:color="4874CB" w:themeColor="accent1" w:sz="12" w:space="10"/>
      </w:pBdr>
      <w:ind w:left="227"/>
      <w:textAlignment w:val="center"/>
    </w:pPr>
    <w:rPr>
      <w:rFonts w:ascii="汉仪中宋简" w:hAnsi="汉仪中宋简" w:eastAsia="汉仪中宋简" w:cs="汉仪中宋简"/>
      <w:color w:val="595959" w:themeColor="text1" w:themeTint="A6"/>
      <w:szCs w:val="21"/>
      <w14:textFill>
        <w14:solidFill>
          <w14:schemeClr w14:val="tx1">
            <w14:lumMod w14:val="65000"/>
            <w14:lumOff w14:val="35000"/>
          </w14:schemeClr>
        </w14:solidFill>
      </w14:textFill>
    </w:rPr>
  </w:style>
  <w:style w:type="paragraph" w:customStyle="1" w:styleId="28">
    <w:name w:val="引用"/>
    <w:basedOn w:val="1"/>
    <w:next w:val="1"/>
    <w:link w:val="29"/>
    <w:qFormat/>
    <w:uiPriority w:val="0"/>
    <w:rPr>
      <w:rFonts w:ascii="华文仿宋" w:hAnsi="华文仿宋" w:eastAsia="华文仿宋"/>
    </w:rPr>
  </w:style>
  <w:style w:type="character" w:customStyle="1" w:styleId="29">
    <w:name w:val="引用 Char"/>
    <w:link w:val="28"/>
    <w:qFormat/>
    <w:uiPriority w:val="0"/>
    <w:rPr>
      <w:rFonts w:ascii="华文仿宋" w:hAnsi="华文仿宋" w:eastAsia="华文仿宋"/>
    </w:rPr>
  </w:style>
  <w:style w:type="paragraph" w:customStyle="1" w:styleId="30">
    <w:name w:val="引用块重点"/>
    <w:basedOn w:val="27"/>
    <w:next w:val="1"/>
    <w:link w:val="33"/>
    <w:qFormat/>
    <w:uiPriority w:val="0"/>
    <w:rPr>
      <w:rFonts w:ascii="汉仪中宋简" w:hAnsi="汉仪中宋简" w:eastAsia="汉仪中宋简" w:cs="汉仪中宋简"/>
      <w:color w:val="0260A2"/>
      <w:spacing w:val="0"/>
      <w:kern w:val="2"/>
      <w:sz w:val="21"/>
      <w:szCs w:val="21"/>
      <w:lang w:val="en-US" w:eastAsia="zh-CN" w:bidi="ar-SA"/>
    </w:rPr>
  </w:style>
  <w:style w:type="character" w:customStyle="1" w:styleId="31">
    <w:name w:val="引用内容块 Char"/>
    <w:link w:val="27"/>
    <w:qFormat/>
    <w:uiPriority w:val="0"/>
    <w:rPr>
      <w:rFonts w:ascii="汉仪中宋简" w:hAnsi="汉仪中宋简" w:eastAsia="汉仪中宋简" w:cs="汉仪中宋简"/>
      <w:color w:val="595959" w:themeColor="text1" w:themeTint="A6"/>
      <w:szCs w:val="21"/>
      <w14:textFill>
        <w14:solidFill>
          <w14:schemeClr w14:val="tx1">
            <w14:lumMod w14:val="65000"/>
            <w14:lumOff w14:val="35000"/>
          </w14:schemeClr>
        </w14:solidFill>
      </w14:textFill>
    </w:rPr>
  </w:style>
  <w:style w:type="character" w:customStyle="1" w:styleId="32">
    <w:name w:val="页眉 字符"/>
    <w:link w:val="14"/>
    <w:qFormat/>
    <w:uiPriority w:val="0"/>
    <w:rPr>
      <w:rFonts w:eastAsia="汉仪书宋二简"/>
      <w:sz w:val="18"/>
    </w:rPr>
  </w:style>
  <w:style w:type="character" w:customStyle="1" w:styleId="33">
    <w:name w:val="引用块重点 Char"/>
    <w:link w:val="30"/>
    <w:qFormat/>
    <w:uiPriority w:val="0"/>
    <w:rPr>
      <w:rFonts w:ascii="汉仪中宋简" w:hAnsi="汉仪中宋简" w:eastAsia="汉仪中宋简" w:cs="汉仪中宋简"/>
      <w:color w:val="0260A2"/>
      <w:spacing w:val="0"/>
      <w:kern w:val="2"/>
      <w:sz w:val="21"/>
      <w:szCs w:val="21"/>
      <w:lang w:val="en-US" w:eastAsia="zh-CN" w:bidi="ar-SA"/>
    </w:rPr>
  </w:style>
  <w:style w:type="paragraph" w:customStyle="1" w:styleId="34">
    <w:name w:val="批注"/>
    <w:basedOn w:val="1"/>
    <w:next w:val="1"/>
    <w:link w:val="35"/>
    <w:qFormat/>
    <w:uiPriority w:val="0"/>
    <w:pPr>
      <w:pBdr>
        <w:top w:val="none" w:color="auto" w:sz="0" w:space="0"/>
        <w:left w:val="none" w:color="auto" w:sz="0" w:space="0"/>
        <w:bottom w:val="none" w:color="auto" w:sz="0" w:space="0"/>
        <w:right w:val="none" w:color="auto" w:sz="0" w:space="0"/>
        <w:between w:val="none" w:color="auto" w:sz="0" w:space="0"/>
      </w:pBdr>
    </w:pPr>
    <w:rPr>
      <w:rFonts w:ascii="华文楷体" w:hAnsi="华文楷体" w:eastAsia="华文楷体" w:cs="楷体"/>
      <w:color w:val="262626" w:themeColor="text1" w:themeTint="D9"/>
      <w:spacing w:val="0"/>
      <w:kern w:val="2"/>
      <w:sz w:val="21"/>
      <w:szCs w:val="22"/>
      <w:highlight w:val="none"/>
      <w:shd w:val="clear" w:color="FFFFFF" w:fill="D9D9D9"/>
      <w:lang w:val="en-US" w:eastAsia="zh-CN" w:bidi="ar-SA"/>
      <w14:textFill>
        <w14:solidFill>
          <w14:schemeClr w14:val="tx1">
            <w14:lumMod w14:val="85000"/>
            <w14:lumOff w14:val="15000"/>
          </w14:schemeClr>
        </w14:solidFill>
      </w14:textFill>
    </w:rPr>
  </w:style>
  <w:style w:type="character" w:customStyle="1" w:styleId="35">
    <w:name w:val="批注 Char"/>
    <w:link w:val="34"/>
    <w:qFormat/>
    <w:uiPriority w:val="0"/>
    <w:rPr>
      <w:rFonts w:ascii="华文楷体" w:hAnsi="华文楷体" w:eastAsia="华文楷体" w:cs="楷体"/>
      <w:color w:val="262626" w:themeColor="text1" w:themeTint="D9"/>
      <w:spacing w:val="0"/>
      <w:kern w:val="2"/>
      <w:sz w:val="21"/>
      <w:szCs w:val="22"/>
      <w:highlight w:val="none"/>
      <w:shd w:val="clear" w:color="FFFFFF" w:fill="D9D9D9"/>
      <w:lang w:val="en-US" w:eastAsia="zh-CN" w:bidi="ar-SA"/>
      <w14:textFill>
        <w14:solidFill>
          <w14:schemeClr w14:val="tx1">
            <w14:lumMod w14:val="85000"/>
            <w14:lumOff w14:val="15000"/>
          </w14:schemeClr>
        </w14:solidFill>
      </w14:textFill>
    </w:rPr>
  </w:style>
  <w:style w:type="paragraph" w:customStyle="1" w:styleId="36">
    <w:name w:val="重点正文"/>
    <w:basedOn w:val="1"/>
    <w:link w:val="43"/>
    <w:qFormat/>
    <w:uiPriority w:val="0"/>
    <w:pPr>
      <w:numPr>
        <w:numId w:val="0"/>
      </w:numPr>
      <w:spacing w:beforeLines="0" w:afterLines="0"/>
    </w:pPr>
    <w:rPr>
      <w:rFonts w:hint="eastAsia"/>
      <w:color w:val="0000FF"/>
    </w:rPr>
  </w:style>
  <w:style w:type="character" w:customStyle="1" w:styleId="37">
    <w:name w:val="页脚 字符"/>
    <w:link w:val="13"/>
    <w:qFormat/>
    <w:uiPriority w:val="0"/>
    <w:rPr>
      <w:sz w:val="18"/>
    </w:rPr>
  </w:style>
  <w:style w:type="character" w:customStyle="1" w:styleId="38">
    <w:name w:val="引用重点 Char"/>
    <w:link w:val="26"/>
    <w:qFormat/>
    <w:uiPriority w:val="0"/>
    <w:rPr>
      <w:rFonts w:hint="eastAsia" w:eastAsia="华文仿宋"/>
      <w:color w:val="8A18BF"/>
    </w:rPr>
  </w:style>
  <w:style w:type="character" w:customStyle="1" w:styleId="39">
    <w:name w:val="标题 4 Char"/>
    <w:link w:val="5"/>
    <w:qFormat/>
    <w:uiPriority w:val="0"/>
    <w:rPr>
      <w:rFonts w:ascii="汉仪大宋简" w:hAnsi="汉仪大宋简" w:eastAsia="华文中宋" w:cs="汉仪大宋简"/>
      <w:bCs/>
      <w:sz w:val="22"/>
    </w:rPr>
  </w:style>
  <w:style w:type="table" w:customStyle="1" w:styleId="40">
    <w:name w:val="Plain Table 1"/>
    <w:qFormat/>
    <w:uiPriority w:val="41"/>
    <w:rPr>
      <w:sz w:val="22"/>
      <w:szCs w:val="24"/>
      <w14:ligatures w14:val="standardContextual"/>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41">
    <w:name w:val="List Paragraph"/>
    <w:basedOn w:val="1"/>
    <w:next w:val="1"/>
    <w:qFormat/>
    <w:uiPriority w:val="0"/>
    <w:rPr>
      <w:rFonts w:ascii="Calibri" w:hAnsi="Calibri" w:eastAsia="宋体"/>
    </w:rPr>
  </w:style>
  <w:style w:type="character" w:customStyle="1" w:styleId="42">
    <w:name w:val="标题 3 Char"/>
    <w:link w:val="4"/>
    <w:qFormat/>
    <w:uiPriority w:val="0"/>
    <w:rPr>
      <w:rFonts w:ascii="方正小标宋简体" w:hAnsi="方正小标宋简体" w:eastAsia="方正小标宋简体" w:cs="方正小标宋简体"/>
      <w:sz w:val="24"/>
      <w:szCs w:val="24"/>
    </w:rPr>
  </w:style>
  <w:style w:type="character" w:customStyle="1" w:styleId="43">
    <w:name w:val="重点正文 Char"/>
    <w:link w:val="36"/>
    <w:qFormat/>
    <w:uiPriority w:val="0"/>
    <w:rPr>
      <w:rFonts w:hint="eastAsia"/>
      <w:color w:val="0000FF"/>
    </w:rPr>
  </w:style>
  <w:style w:type="character" w:customStyle="1" w:styleId="44">
    <w:name w:val="标题 5 Char"/>
    <w:link w:val="6"/>
    <w:qFormat/>
    <w:uiPriority w:val="0"/>
    <w:rPr>
      <w:b/>
      <w:bCs/>
    </w:rPr>
  </w:style>
  <w:style w:type="paragraph" w:customStyle="1" w:styleId="45">
    <w:name w:val="引用块强调"/>
    <w:basedOn w:val="1"/>
    <w:link w:val="46"/>
    <w:qFormat/>
    <w:uiPriority w:val="0"/>
    <w:pPr>
      <w:pBdr>
        <w:left w:val="single" w:color="4874CB" w:themeColor="accent1" w:sz="12" w:space="10"/>
      </w:pBdr>
      <w:ind w:left="227"/>
      <w:textAlignment w:val="center"/>
    </w:pPr>
    <w:rPr>
      <w:rFonts w:hint="eastAsia" w:ascii="汉仪中宋简" w:hAnsi="汉仪中宋简" w:eastAsia="汉仪中宋简" w:cs="汉仪中宋简"/>
      <w:color w:val="AD0F09"/>
      <w:szCs w:val="21"/>
    </w:rPr>
  </w:style>
  <w:style w:type="character" w:customStyle="1" w:styleId="46">
    <w:name w:val="引用块强调 Char"/>
    <w:link w:val="45"/>
    <w:qFormat/>
    <w:uiPriority w:val="0"/>
    <w:rPr>
      <w:rFonts w:hint="eastAsia" w:ascii="汉仪中宋简" w:hAnsi="汉仪中宋简" w:eastAsia="汉仪中宋简" w:cs="汉仪中宋简"/>
      <w:color w:val="AD0F09"/>
      <w:szCs w:val="21"/>
    </w:rPr>
  </w:style>
  <w:style w:type="paragraph" w:customStyle="1" w:styleId="47">
    <w:name w:val="分点陈述"/>
    <w:basedOn w:val="1"/>
    <w:qFormat/>
    <w:uiPriority w:val="0"/>
    <w:pPr>
      <w:numPr>
        <w:ilvl w:val="0"/>
        <w:numId w:val="2"/>
      </w:numPr>
    </w:pPr>
  </w:style>
  <w:style w:type="paragraph" w:customStyle="1" w:styleId="48">
    <w:name w:val="分点陈述2"/>
    <w:basedOn w:val="1"/>
    <w:qFormat/>
    <w:uiPriority w:val="0"/>
    <w:pPr>
      <w:numPr>
        <w:ilvl w:val="0"/>
        <w:numId w:val="3"/>
      </w:numP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5989</Words>
  <Characters>6371</Characters>
  <Lines>0</Lines>
  <Paragraphs>0</Paragraphs>
  <TotalTime>66</TotalTime>
  <ScaleCrop>false</ScaleCrop>
  <LinksUpToDate>false</LinksUpToDate>
  <CharactersWithSpaces>6525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2026-03-19T02:04:00Z</dcterms:created>
  <dc:creator>doudou</dc:creator>
  <cp:lastModifiedBy>CHANG</cp:lastModifiedBy>
  <dcterms:modified xsi:type="dcterms:W3CDTF">2026-03-19T11:47:42Z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85791925F75F4FB09E03955F1CE60907_11</vt:lpwstr>
  </property>
  <property fmtid="{D5CDD505-2E9C-101B-9397-08002B2CF9AE}" pid="4" name="KSOTemplateDocerSaveRecord">
    <vt:lpwstr>eyJoZGlkIjoiZTNjZWRkNjIwNGRjNzlmMjFjN2RmYzUyZGNkNjQxZjciLCJ1c2VySWQiOiI4NTQwMTE4NjIifQ==</vt:lpwstr>
  </property>
</Properties>
</file>