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Helvetica Light" w:hAnsi="Helvetica Light" w:cs="Helvetica Light"/>
          <w:sz w:val="24"/>
          <w:sz-cs w:val="24"/>
        </w:rPr>
        <w:t xml:space="preserve">TEST PAPER 24 — Expected score: Mid 5</w:t>
      </w:r>
    </w:p>
    <w:p>
      <w:pPr/>
      <w:r>
        <w:rPr>
          <w:rFonts w:ascii="Helvetica Light" w:hAnsi="Helvetica Light" w:cs="Helvetica Light"/>
          <w:sz w:val="24"/>
          <w:sz-cs w:val="24"/>
        </w:rPr>
        <w:t xml:space="preserve">Rigorous randomized controlled trial with stratified randomization, ANCOVA, and explicit causal inference framework. Sophisticated limitations on content specificity and single-school generalizability. Strong method defense using Shadish, Cook, and Campbell validity typology.</w:t>
      </w:r>
    </w:p>
    <w:p>
      <w:pPr/>
      <w:r>
        <w:rPr>
          <w:rFonts w:ascii="Helvetica Light" w:hAnsi="Helvetica Light" w:cs="Helvetica Light"/>
          <w:sz w:val="24"/>
          <w:sz-cs w:val="24"/>
        </w:rPr>
        <w:t xml:space="preserve">The Effect of Structured Retrieval Practice on Unit Assessment Performance in AP Biology: A Stratified Randomized Controlled Trial</w:t>
      </w:r>
    </w:p>
    <w:p>
      <w:pPr/>
      <w:r>
        <w:rPr>
          <w:rFonts w:ascii="Helvetica Light" w:hAnsi="Helvetica Light" w:cs="Helvetica Light"/>
          <w:sz w:val="24"/>
          <w:sz-cs w:val="24"/>
        </w:rPr>
        <w:t xml:space="preserve">AP Research</w:t>
      </w:r>
    </w:p>
    <w:p>
      <w:pPr/>
      <w:r>
        <w:rPr>
          <w:rFonts w:ascii="Helvetica Light" w:hAnsi="Helvetica Light" w:cs="Helvetica Light"/>
          <w:sz w:val="24"/>
          <w:sz-cs w:val="24"/>
        </w:rPr>
        <w:t xml:space="preserve">April 2025</w:t>
      </w:r>
    </w:p>
    <w:p>
      <w:pPr/>
      <w:r>
        <w:rPr>
          <w:rFonts w:ascii="Helvetica Light" w:hAnsi="Helvetica Light" w:cs="Helvetica Light"/>
          <w:sz w:val="24"/>
          <w:sz-cs w:val="24"/>
        </w:rPr>
        <w:t xml:space="preserve">Word Count: 4,876</w:t>
      </w:r>
    </w:p>
    <w:p>
      <w:pPr/>
      <w:r>
        <w:rPr>
          <w:rFonts w:ascii="Helvetica Light" w:hAnsi="Helvetica Light" w:cs="Helvetica Light"/>
          <w:sz w:val="24"/>
          <w:sz-cs w:val="24"/>
        </w:rPr>
        <w:t xml:space="preserve">Introduction</w:t>
      </w:r>
    </w:p>
    <w:p>
      <w:pPr/>
      <w:r>
        <w:rPr>
          <w:rFonts w:ascii="Helvetica Light" w:hAnsi="Helvetica Light" w:cs="Helvetica Light"/>
          <w:sz w:val="24"/>
          <w:sz-cs w:val="24"/>
        </w:rPr>
        <w:t xml:space="preserve">Retrieval practice — the act of actively recalling information from memory rather than passively re-reading or reviewing notes — is among the most robust findings in cognitive psychology applied to education. Decades of laboratory and classroom research demonstrate that testing oneself on material, even without feedback, produces stronger long-term retention than additional study of the same material, a phenomenon known as the testing effect (Roediger &amp; Karpicke, 2006). In science education specifically, retrieval practice has been shown to improve performance on both factual and conceptual assessments when implemented with quality tasks aligned to learning objectives (Agarwal et al., 2021).</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AP Biology presents a demanding curricular context in which students must integrate molecular mechanisms, evolutionary reasoning, and quantitative skills across eight major units assessed by both teacher-made and College Board–style items. Many AP Biology teachers assign reading from Campbell Biology and supplementary videos but devote limited class time to structured retrieval because of pressure to cover content before the May exam (Reich et al., 2020). Whether a brief, standardized retrieval protocol embedded within regular instruction improves unit assessment performance above business-as-usual review remains an important practical question for departments deciding how to allocate scarce instructional minutes.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This study investigates the following question: Among 11th- and 12th-grade AP Biology students at Westridge High School, does participation in a structured three-week retrieval practice protocol improve unit assessment scores on the Molecular Genetics unit compared to business-as-usual review, after controlling for prior biology achievement?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question is significant because AP courses function as gatekeepers to college science pathways, and small effect sizes at scale can shift grade distributions and exam readiness. If retrieval practice produces measurable gains under realistic school constraints, departments can adopt protocols with justified opportunity costs.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Literature Review</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Ebbinghaus and the Forgetting Curve</w:t>
      </w:r>
    </w:p>
    <w:p>
      <w:pPr/>
      <w:r>
        <w:rPr>
          <w:rFonts w:ascii="Helvetica Light" w:hAnsi="Helvetica Light" w:cs="Helvetica Light"/>
          <w:sz w:val="24"/>
          <w:sz-cs w:val="24"/>
        </w:rPr>
        <w:t xml:space="preserve">Ebbinghaus (1885/1913) established that memory decay follows a predictable curve and that repeated retrieval flattens that curve more effectively than restudy alone. His foundational work motivates modern spacing and testing research, though classroom applications require translation from nonsense syllables to meaningful biology concepts.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Spacing and Distributed Practice</w:t>
      </w:r>
    </w:p>
    <w:p>
      <w:pPr/>
      <w:r>
        <w:rPr>
          <w:rFonts w:ascii="Helvetica Light" w:hAnsi="Helvetica Light" w:cs="Helvetica Light"/>
          <w:sz w:val="24"/>
          <w:sz-cs w:val="24"/>
        </w:rPr>
        <w:t xml:space="preserve">Cepeda et al. (2006) meta-analyzed spacing effects across 254 studies and found robust advantages for distributed practice schedules, with optimal gaps depending on retention interval. Kornell and Bjork (2008) showed that learners often misjudge spacing benefits, undervaluing delayed tests. Together, spacing research suggests AP Biology review should be distributed across weeks rather than massed before exams.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Retrieval Practice and Testing Effect</w:t>
      </w:r>
    </w:p>
    <w:p>
      <w:pPr/>
      <w:r>
        <w:rPr>
          <w:rFonts w:ascii="Helvetica Light" w:hAnsi="Helvetica Light" w:cs="Helvetica Light"/>
          <w:sz w:val="24"/>
          <w:sz-cs w:val="24"/>
        </w:rPr>
        <w:t xml:space="preserve">Roediger and Karpicke (2006) demonstrated the testing effect in laboratory paradigms. Karpicke and Blunt (2011) found that retrieval practice produced greater learning than concept mapping among undergraduates. Roediger, Putnam, and Smith (2013) reviewed mechanisms including elaborative retrieval and effortful processing.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Metacognition and Study Strategies</w:t>
      </w:r>
    </w:p>
    <w:p>
      <w:pPr/>
      <w:r>
        <w:rPr>
          <w:rFonts w:ascii="Helvetica Light" w:hAnsi="Helvetica Light" w:cs="Helvetica Light"/>
          <w:sz w:val="24"/>
          <w:sz-cs w:val="24"/>
        </w:rPr>
        <w:t xml:space="preserve">Dunlosky et al. (2013) rated learning techniques by utility and classified practice testing as high-utility while highlighting and rereading as low-utility. Their framework guides why departments should replace passive review with structured retrieval.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Retrieval Practice and the Testing Effect</w:t>
      </w:r>
    </w:p>
    <w:p>
      <w:pPr/>
      <w:r>
        <w:rPr>
          <w:rFonts w:ascii="Helvetica Light" w:hAnsi="Helvetica Light" w:cs="Helvetica Light"/>
          <w:sz w:val="24"/>
          <w:sz-cs w:val="24"/>
        </w:rPr>
        <w:t xml:space="preserve">Roediger and Karpicke (2006) established in controlled laboratory experiments that repeated retrieval with expanding intervals produced superior retention at one-week and four-week delays compared to repeated study, even when study time was yoked. Their work shifted the field from viewing tests solely as assessment instruments to viewing tests as learning events. Carpenter et al. (2008) extended findings to educationally relevant materials including prose passages and foreign language vocabulary, showing that the benefit is not confined to word lists.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Agarwal et al. (2021) conducted a systematic review of retrieval practice in K–12 and higher education classrooms and concluded that effect sizes are typically small to moderate but robust across subjects, with stronger effects when retrieval tasks require elaboration or explanation rather than isolated fact recall. They noted, however, that many classroom studies lack random assignment or adequate control for prior achievement, limiting causal claims.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Retrieval Practice in Science Education</w:t>
      </w:r>
    </w:p>
    <w:p>
      <w:pPr/>
      <w:r>
        <w:rPr>
          <w:rFonts w:ascii="Helvetica Light" w:hAnsi="Helvetica Light" w:cs="Helvetica Light"/>
          <w:sz w:val="24"/>
          <w:sz-cs w:val="24"/>
        </w:rPr>
        <w:t xml:space="preserve">McDaniel et al. (2011) implemented retrieval quizzes in middle school science classes and found improved unit exam scores relative to rereading controls, with effects persisting on delayed tests. Smith et al. (2016) examined retrieval in undergraduate physiology and found that short-answer retrieval produced larger gains than multiple-choice retrieval for conceptual items, suggesting that task format moderates outcomes. In high school biology specifically, Hartwig and Dunlosky (2012) reported that students who used practice testing as a study strategy outperformed students who preferred rereading and highlighting, though that study was correlational rather than experimental.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Reich et al. (2020) surveyed AP Biology teachers nationally and found that fewer than 40 percent reported systematic use of retrieval across units, citing time pressure and uncertainty about alignment with AP Exam item types. Their survey did not experimentally test protocols but documented a gap between research recommendations and typical practice.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Gap</w:t>
      </w:r>
    </w:p>
    <w:p>
      <w:pPr/>
      <w:r>
        <w:rPr>
          <w:rFonts w:ascii="Helvetica Light" w:hAnsi="Helvetica Light" w:cs="Helvetica Light"/>
          <w:sz w:val="24"/>
          <w:sz-cs w:val="24"/>
        </w:rPr>
        <w:t xml:space="preserve">While retrieval practice is well supported in cognitive psychology and in some science classroom trials, few studies have randomly assigned entire intact AP Biology classes within a single high school while stratifying on prior achievement and analyzing outcomes with analysis of covariance on a high-stakes unit assessment aligned to AP standards. Many published classroom studies aggregate across teachers without modeling teacher effects or use researcher-implemented protocols that differ from what departments can sustain (Agarwal et al., 2021). Reich et al. (2020) document adoption barriers but do not pair them with experimental outcome data from AP classrooms. This study addresses that gap through a stratified randomized controlled trial embedded in authentic AP Biology instruction at one school, with prespecified ANCOVA as the primary analysis and explicit attention to validity threats described by Shadish, Cook, and Campbell (2002).</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Methodology</w:t>
      </w:r>
    </w:p>
    <w:p>
      <w:pPr/>
      <w:r>
        <w:rPr>
          <w:rFonts w:ascii="Helvetica Light" w:hAnsi="Helvetica Light" w:cs="Helvetica Light"/>
          <w:sz w:val="24"/>
          <w:sz-cs w:val="24"/>
        </w:rPr>
        <w:t xml:space="preserve">Research Design</w:t>
      </w:r>
    </w:p>
    <w:p>
      <w:pPr/>
      <w:r>
        <w:rPr>
          <w:rFonts w:ascii="Helvetica Light" w:hAnsi="Helvetica Light" w:cs="Helvetica Light"/>
          <w:sz w:val="24"/>
          <w:sz-cs w:val="24"/>
        </w:rPr>
        <w:t xml:space="preserve">This study used a stratified randomized controlled trial. Classes were the unit of randomization rather than individual students because retrieval practice was delivered during whole-class warm-ups and the AP Biology schedule is organized by section. Randomizing individuals within the same class would have created contamination if control students overheard retrieval prompts. Shadish, Cook, and Campbell (2002) identify random assignment as the primary strategy for strengthening internal validity by balancing known and unknown confounds across conditions in expectation. A controlled trial design was chosen over a correlational survey because the research question asks about the effect of a defined instructional protocol, which requires manipulation and compa</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CocoaOOXMLWriter/2685.5</generator>
</meta>
</file>