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C581B" w14:textId="4123E038" w:rsidR="00540F88" w:rsidRDefault="001764EA" w:rsidP="009B0482">
      <w:r>
        <w:rPr>
          <w:b/>
          <w:noProof/>
          <w:sz w:val="28"/>
          <w:szCs w:val="28"/>
          <w:lang w:val="en-GB" w:eastAsia="en-GB"/>
        </w:rPr>
        <w:drawing>
          <wp:anchor distT="0" distB="0" distL="114300" distR="114300" simplePos="0" relativeHeight="251658242" behindDoc="0" locked="0" layoutInCell="1" allowOverlap="1" wp14:anchorId="52238A96" wp14:editId="2D13EF93">
            <wp:simplePos x="0" y="0"/>
            <wp:positionH relativeFrom="margin">
              <wp:align>center</wp:align>
            </wp:positionH>
            <wp:positionV relativeFrom="page">
              <wp:posOffset>835660</wp:posOffset>
            </wp:positionV>
            <wp:extent cx="2438400" cy="1341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A_DSB_smal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341120"/>
                    </a:xfrm>
                    <a:prstGeom prst="rect">
                      <a:avLst/>
                    </a:prstGeom>
                  </pic:spPr>
                </pic:pic>
              </a:graphicData>
            </a:graphic>
          </wp:anchor>
        </w:drawing>
      </w:r>
    </w:p>
    <w:p w14:paraId="05902506" w14:textId="57ADC9CF" w:rsidR="00235F28" w:rsidRDefault="00235F28" w:rsidP="009B0482"/>
    <w:p w14:paraId="7E57A475" w14:textId="77777777" w:rsidR="001764EA" w:rsidRDefault="001764EA" w:rsidP="000030C3">
      <w:pPr>
        <w:jc w:val="center"/>
        <w:rPr>
          <w:b/>
          <w:sz w:val="28"/>
          <w:szCs w:val="28"/>
        </w:rPr>
      </w:pPr>
    </w:p>
    <w:p w14:paraId="3BF0FA49" w14:textId="752DEFDB" w:rsidR="00235F28" w:rsidRPr="000030C3" w:rsidRDefault="00375F05" w:rsidP="000030C3">
      <w:pPr>
        <w:jc w:val="center"/>
        <w:rPr>
          <w:b/>
          <w:sz w:val="28"/>
          <w:szCs w:val="28"/>
        </w:rPr>
      </w:pPr>
      <w:r>
        <w:rPr>
          <w:b/>
          <w:sz w:val="28"/>
          <w:szCs w:val="28"/>
        </w:rPr>
        <w:t>Derivatives Service Bureau</w:t>
      </w:r>
    </w:p>
    <w:p w14:paraId="2650BA2D" w14:textId="055B7F7F" w:rsidR="000030C3" w:rsidRPr="000030C3" w:rsidRDefault="00E17500" w:rsidP="000030C3">
      <w:pPr>
        <w:jc w:val="center"/>
        <w:rPr>
          <w:sz w:val="28"/>
          <w:szCs w:val="28"/>
        </w:rPr>
      </w:pPr>
      <w:r>
        <w:rPr>
          <w:sz w:val="28"/>
          <w:szCs w:val="28"/>
        </w:rPr>
        <w:t>PROD</w:t>
      </w:r>
      <w:r w:rsidR="002E2DD2">
        <w:rPr>
          <w:sz w:val="28"/>
          <w:szCs w:val="28"/>
        </w:rPr>
        <w:t xml:space="preserve"> </w:t>
      </w:r>
      <w:r w:rsidR="00734A5E">
        <w:rPr>
          <w:sz w:val="28"/>
          <w:szCs w:val="28"/>
        </w:rPr>
        <w:t>Product Definitions</w:t>
      </w:r>
    </w:p>
    <w:p w14:paraId="23D40DE8" w14:textId="1E237C1D" w:rsidR="00540F88" w:rsidRDefault="000353C1" w:rsidP="009243A8">
      <w:pPr>
        <w:jc w:val="center"/>
      </w:pPr>
      <w:r>
        <w:t>August</w:t>
      </w:r>
      <w:r w:rsidR="00CA2AFF">
        <w:t xml:space="preserve"> 2018</w:t>
      </w:r>
    </w:p>
    <w:p w14:paraId="042932B4" w14:textId="2ACBBCFA" w:rsidR="009243A8" w:rsidRDefault="009243A8" w:rsidP="009243A8">
      <w:pPr>
        <w:jc w:val="center"/>
      </w:pPr>
    </w:p>
    <w:p w14:paraId="651D898D" w14:textId="5C05496E" w:rsidR="009243A8" w:rsidRDefault="009243A8" w:rsidP="009243A8">
      <w:pPr>
        <w:jc w:val="center"/>
      </w:pPr>
    </w:p>
    <w:p w14:paraId="51DED794" w14:textId="784563D6" w:rsidR="009243A8" w:rsidRDefault="009243A8" w:rsidP="009243A8">
      <w:pPr>
        <w:jc w:val="center"/>
      </w:pPr>
    </w:p>
    <w:p w14:paraId="1914111D" w14:textId="19829E6E" w:rsidR="009243A8" w:rsidRDefault="009243A8" w:rsidP="009243A8">
      <w:pPr>
        <w:jc w:val="center"/>
      </w:pPr>
    </w:p>
    <w:p w14:paraId="4304AD7D" w14:textId="258071D9" w:rsidR="009243A8" w:rsidRDefault="009243A8" w:rsidP="009243A8">
      <w:pPr>
        <w:jc w:val="center"/>
      </w:pPr>
    </w:p>
    <w:p w14:paraId="4B9C58B7" w14:textId="480437E0" w:rsidR="009243A8" w:rsidRDefault="009243A8" w:rsidP="009243A8">
      <w:pPr>
        <w:jc w:val="center"/>
      </w:pPr>
    </w:p>
    <w:p w14:paraId="64E06C95" w14:textId="10B272AA" w:rsidR="009243A8" w:rsidRDefault="009243A8" w:rsidP="009243A8">
      <w:pPr>
        <w:jc w:val="center"/>
      </w:pPr>
    </w:p>
    <w:p w14:paraId="28E591C4" w14:textId="0A15D3EA" w:rsidR="009243A8" w:rsidRDefault="009243A8" w:rsidP="009243A8">
      <w:pPr>
        <w:jc w:val="center"/>
      </w:pPr>
    </w:p>
    <w:p w14:paraId="026F64F8" w14:textId="068130F9" w:rsidR="009243A8" w:rsidRDefault="009243A8" w:rsidP="009243A8">
      <w:pPr>
        <w:jc w:val="center"/>
      </w:pPr>
    </w:p>
    <w:p w14:paraId="254080C0" w14:textId="36980A60" w:rsidR="009243A8" w:rsidRDefault="009243A8" w:rsidP="009243A8">
      <w:pPr>
        <w:jc w:val="center"/>
      </w:pPr>
    </w:p>
    <w:p w14:paraId="01D2DE28" w14:textId="398160D1" w:rsidR="009243A8" w:rsidRDefault="009243A8" w:rsidP="009243A8">
      <w:pPr>
        <w:jc w:val="center"/>
      </w:pPr>
    </w:p>
    <w:p w14:paraId="336C0FBD" w14:textId="51D3312D" w:rsidR="009243A8" w:rsidRDefault="009243A8" w:rsidP="009243A8">
      <w:pPr>
        <w:jc w:val="center"/>
      </w:pPr>
    </w:p>
    <w:p w14:paraId="2E125C46" w14:textId="116AA381" w:rsidR="009243A8" w:rsidRDefault="009243A8" w:rsidP="009243A8">
      <w:pPr>
        <w:jc w:val="center"/>
      </w:pPr>
    </w:p>
    <w:p w14:paraId="430F3693" w14:textId="39AD6D69" w:rsidR="009243A8" w:rsidRDefault="009243A8" w:rsidP="009243A8">
      <w:pPr>
        <w:jc w:val="center"/>
      </w:pPr>
    </w:p>
    <w:p w14:paraId="4D4B1DF9" w14:textId="55C9C893" w:rsidR="009243A8" w:rsidRDefault="009243A8" w:rsidP="009243A8">
      <w:pPr>
        <w:jc w:val="center"/>
      </w:pPr>
    </w:p>
    <w:p w14:paraId="3920978E" w14:textId="3262E87F" w:rsidR="009243A8" w:rsidRDefault="009243A8" w:rsidP="009243A8">
      <w:pPr>
        <w:jc w:val="center"/>
      </w:pPr>
    </w:p>
    <w:p w14:paraId="177E15AC" w14:textId="5B12308A" w:rsidR="009243A8" w:rsidRDefault="009243A8" w:rsidP="009243A8">
      <w:pPr>
        <w:jc w:val="center"/>
      </w:pPr>
    </w:p>
    <w:p w14:paraId="63DCFBCB" w14:textId="2FB47689" w:rsidR="009243A8" w:rsidRDefault="009243A8" w:rsidP="009243A8">
      <w:pPr>
        <w:jc w:val="center"/>
      </w:pPr>
    </w:p>
    <w:p w14:paraId="39342CCD" w14:textId="21A795CF" w:rsidR="009243A8" w:rsidRDefault="009243A8" w:rsidP="009243A8">
      <w:pPr>
        <w:jc w:val="center"/>
      </w:pPr>
    </w:p>
    <w:p w14:paraId="352AD7CE" w14:textId="47A5B6C1" w:rsidR="009243A8" w:rsidRDefault="009243A8" w:rsidP="009243A8">
      <w:pPr>
        <w:jc w:val="center"/>
      </w:pPr>
    </w:p>
    <w:p w14:paraId="3B60D771" w14:textId="0D35CEEA" w:rsidR="009243A8" w:rsidRDefault="009243A8" w:rsidP="009243A8">
      <w:pPr>
        <w:jc w:val="center"/>
      </w:pPr>
    </w:p>
    <w:p w14:paraId="644F97B6" w14:textId="5C7BFD81" w:rsidR="009243A8" w:rsidRDefault="009243A8" w:rsidP="009243A8">
      <w:pPr>
        <w:jc w:val="center"/>
      </w:pPr>
    </w:p>
    <w:p w14:paraId="1BB91648" w14:textId="26988886" w:rsidR="009243A8" w:rsidRDefault="009243A8" w:rsidP="009243A8">
      <w:pPr>
        <w:jc w:val="center"/>
      </w:pPr>
    </w:p>
    <w:p w14:paraId="44BA3148" w14:textId="36015E44" w:rsidR="009243A8" w:rsidRDefault="009243A8" w:rsidP="009243A8">
      <w:pPr>
        <w:jc w:val="center"/>
      </w:pPr>
    </w:p>
    <w:p w14:paraId="6D8A18A3" w14:textId="65E01F6C" w:rsidR="009243A8" w:rsidRDefault="009243A8" w:rsidP="009243A8">
      <w:pPr>
        <w:jc w:val="center"/>
      </w:pPr>
    </w:p>
    <w:p w14:paraId="622255F6" w14:textId="5A48B580" w:rsidR="009243A8" w:rsidRDefault="009243A8" w:rsidP="009243A8">
      <w:pPr>
        <w:jc w:val="center"/>
      </w:pPr>
    </w:p>
    <w:p w14:paraId="3267E85C" w14:textId="5749EABC" w:rsidR="009243A8" w:rsidRDefault="009243A8" w:rsidP="009243A8">
      <w:pPr>
        <w:jc w:val="center"/>
      </w:pPr>
    </w:p>
    <w:p w14:paraId="49BF1BEB" w14:textId="439ED63F" w:rsidR="009243A8" w:rsidRDefault="009243A8" w:rsidP="009243A8">
      <w:pPr>
        <w:jc w:val="center"/>
      </w:pPr>
    </w:p>
    <w:p w14:paraId="3F8DFA7D" w14:textId="7D6E6D83" w:rsidR="009243A8" w:rsidRDefault="009243A8" w:rsidP="009243A8">
      <w:pPr>
        <w:jc w:val="center"/>
      </w:pPr>
    </w:p>
    <w:p w14:paraId="106C3E04" w14:textId="2393EA02" w:rsidR="009243A8" w:rsidRDefault="009243A8" w:rsidP="009243A8">
      <w:pPr>
        <w:jc w:val="center"/>
      </w:pPr>
    </w:p>
    <w:p w14:paraId="7C851E4C" w14:textId="19E84611" w:rsidR="009243A8" w:rsidRDefault="009243A8" w:rsidP="009243A8">
      <w:pPr>
        <w:jc w:val="center"/>
      </w:pPr>
    </w:p>
    <w:p w14:paraId="7ED4C8C6" w14:textId="6876D0E7" w:rsidR="009243A8" w:rsidRDefault="009243A8" w:rsidP="009243A8">
      <w:pPr>
        <w:jc w:val="center"/>
      </w:pPr>
    </w:p>
    <w:p w14:paraId="3139103A" w14:textId="2DD73AB9" w:rsidR="009243A8" w:rsidRPr="009243A8" w:rsidRDefault="009243A8" w:rsidP="009243A8">
      <w:pPr>
        <w:rPr>
          <w:b/>
        </w:rPr>
      </w:pPr>
    </w:p>
    <w:p w14:paraId="73FACC12" w14:textId="36962C9E" w:rsidR="009243A8" w:rsidRDefault="009243A8" w:rsidP="009243A8">
      <w:pPr>
        <w:jc w:val="center"/>
      </w:pPr>
    </w:p>
    <w:p w14:paraId="5CF05F85" w14:textId="77777777" w:rsidR="009243A8" w:rsidRDefault="009243A8">
      <w:r>
        <w:br w:type="page"/>
      </w:r>
    </w:p>
    <w:p w14:paraId="4F79E867" w14:textId="003C6A5B" w:rsidR="0071330A" w:rsidRDefault="0071330A" w:rsidP="0071330A">
      <w:pPr>
        <w:pStyle w:val="Heading1"/>
        <w:numPr>
          <w:ilvl w:val="0"/>
          <w:numId w:val="0"/>
        </w:numPr>
        <w:ind w:left="432" w:hanging="432"/>
      </w:pPr>
      <w:bookmarkStart w:id="0" w:name="_Toc527364468"/>
      <w:r>
        <w:lastRenderedPageBreak/>
        <w:t>Preface</w:t>
      </w:r>
      <w:bookmarkEnd w:id="0"/>
    </w:p>
    <w:p w14:paraId="28C8CBA6" w14:textId="22B6AFD4" w:rsidR="0071330A" w:rsidRDefault="0071330A" w:rsidP="0071330A">
      <w:pPr>
        <w:pStyle w:val="Heading2"/>
        <w:numPr>
          <w:ilvl w:val="0"/>
          <w:numId w:val="0"/>
        </w:numPr>
        <w:ind w:left="851" w:hanging="576"/>
      </w:pPr>
      <w:bookmarkStart w:id="1" w:name="_Toc527364469"/>
      <w:r>
        <w:t>Change History</w:t>
      </w:r>
      <w:bookmarkEnd w:id="1"/>
    </w:p>
    <w:p w14:paraId="558423C4" w14:textId="58657566" w:rsidR="0071330A" w:rsidRDefault="0071330A" w:rsidP="0071330A"/>
    <w:tbl>
      <w:tblPr>
        <w:tblStyle w:val="GridTable4-Accent1"/>
        <w:tblW w:w="9214" w:type="dxa"/>
        <w:tblLook w:val="0420" w:firstRow="1" w:lastRow="0" w:firstColumn="0" w:lastColumn="0" w:noHBand="0" w:noVBand="1"/>
      </w:tblPr>
      <w:tblGrid>
        <w:gridCol w:w="1912"/>
        <w:gridCol w:w="1456"/>
        <w:gridCol w:w="1023"/>
        <w:gridCol w:w="1584"/>
        <w:gridCol w:w="3239"/>
      </w:tblGrid>
      <w:tr w:rsidR="0071330A" w14:paraId="565681B3" w14:textId="77777777" w:rsidTr="00903D74">
        <w:trPr>
          <w:cnfStyle w:val="100000000000" w:firstRow="1" w:lastRow="0" w:firstColumn="0" w:lastColumn="0" w:oddVBand="0" w:evenVBand="0" w:oddHBand="0" w:evenHBand="0" w:firstRowFirstColumn="0" w:firstRowLastColumn="0" w:lastRowFirstColumn="0" w:lastRowLastColumn="0"/>
        </w:trPr>
        <w:tc>
          <w:tcPr>
            <w:tcW w:w="1912" w:type="dxa"/>
            <w:shd w:val="clear" w:color="auto" w:fill="0070C0"/>
          </w:tcPr>
          <w:p w14:paraId="16C3026A" w14:textId="77777777" w:rsidR="0071330A" w:rsidRDefault="0071330A" w:rsidP="002E38F6">
            <w:r w:rsidRPr="00C84716">
              <w:t>Date</w:t>
            </w:r>
          </w:p>
        </w:tc>
        <w:tc>
          <w:tcPr>
            <w:tcW w:w="1456" w:type="dxa"/>
            <w:shd w:val="clear" w:color="auto" w:fill="0070C0"/>
          </w:tcPr>
          <w:p w14:paraId="524051A2" w14:textId="77777777" w:rsidR="0071330A" w:rsidRDefault="0071330A" w:rsidP="002E38F6">
            <w:r w:rsidRPr="00C84716">
              <w:t>Change</w:t>
            </w:r>
          </w:p>
        </w:tc>
        <w:tc>
          <w:tcPr>
            <w:tcW w:w="1023" w:type="dxa"/>
            <w:shd w:val="clear" w:color="auto" w:fill="0070C0"/>
          </w:tcPr>
          <w:p w14:paraId="08888561" w14:textId="77777777" w:rsidR="0071330A" w:rsidRDefault="0071330A" w:rsidP="002E38F6">
            <w:r w:rsidRPr="00C84716">
              <w:t>Version</w:t>
            </w:r>
          </w:p>
        </w:tc>
        <w:tc>
          <w:tcPr>
            <w:tcW w:w="1584" w:type="dxa"/>
            <w:shd w:val="clear" w:color="auto" w:fill="0070C0"/>
          </w:tcPr>
          <w:p w14:paraId="78717F53" w14:textId="77777777" w:rsidR="0071330A" w:rsidRDefault="0071330A" w:rsidP="002E38F6">
            <w:r w:rsidRPr="00C84716">
              <w:t>Author</w:t>
            </w:r>
          </w:p>
        </w:tc>
        <w:tc>
          <w:tcPr>
            <w:tcW w:w="3239" w:type="dxa"/>
            <w:shd w:val="clear" w:color="auto" w:fill="0070C0"/>
          </w:tcPr>
          <w:p w14:paraId="352E8FFC" w14:textId="77777777" w:rsidR="0071330A" w:rsidRDefault="0071330A" w:rsidP="002E38F6">
            <w:r>
              <w:t>Revision Details</w:t>
            </w:r>
          </w:p>
        </w:tc>
      </w:tr>
      <w:tr w:rsidR="0071330A" w14:paraId="7BA34793"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3A182D99" w14:textId="5A10D394" w:rsidR="0071330A" w:rsidRPr="00831066" w:rsidRDefault="0071330A" w:rsidP="002E38F6">
            <w:pPr>
              <w:rPr>
                <w:sz w:val="20"/>
                <w:szCs w:val="20"/>
              </w:rPr>
            </w:pPr>
            <w:r>
              <w:rPr>
                <w:sz w:val="20"/>
                <w:szCs w:val="20"/>
              </w:rPr>
              <w:t>31/03/2017</w:t>
            </w:r>
          </w:p>
        </w:tc>
        <w:tc>
          <w:tcPr>
            <w:tcW w:w="1456" w:type="dxa"/>
          </w:tcPr>
          <w:p w14:paraId="4C9A2A50" w14:textId="7B1B36BC" w:rsidR="0071330A" w:rsidRPr="00831066" w:rsidRDefault="0071330A" w:rsidP="002E38F6">
            <w:pPr>
              <w:rPr>
                <w:sz w:val="20"/>
                <w:szCs w:val="20"/>
              </w:rPr>
            </w:pPr>
            <w:r>
              <w:rPr>
                <w:sz w:val="20"/>
                <w:szCs w:val="20"/>
              </w:rPr>
              <w:t>Creation</w:t>
            </w:r>
          </w:p>
        </w:tc>
        <w:tc>
          <w:tcPr>
            <w:tcW w:w="1023" w:type="dxa"/>
          </w:tcPr>
          <w:p w14:paraId="51560FD6" w14:textId="1FB207EE" w:rsidR="0071330A" w:rsidRPr="00831066" w:rsidRDefault="0071330A" w:rsidP="002E38F6">
            <w:pPr>
              <w:rPr>
                <w:sz w:val="20"/>
                <w:szCs w:val="20"/>
              </w:rPr>
            </w:pPr>
            <w:r>
              <w:rPr>
                <w:sz w:val="20"/>
                <w:szCs w:val="20"/>
              </w:rPr>
              <w:t>0.1</w:t>
            </w:r>
          </w:p>
        </w:tc>
        <w:tc>
          <w:tcPr>
            <w:tcW w:w="1584" w:type="dxa"/>
          </w:tcPr>
          <w:p w14:paraId="6DAA573C" w14:textId="33B5531D" w:rsidR="0071330A" w:rsidRPr="00831066" w:rsidRDefault="0071330A" w:rsidP="002E38F6">
            <w:pPr>
              <w:rPr>
                <w:sz w:val="20"/>
                <w:szCs w:val="20"/>
              </w:rPr>
            </w:pPr>
            <w:r>
              <w:rPr>
                <w:sz w:val="20"/>
                <w:szCs w:val="20"/>
              </w:rPr>
              <w:t>Tony Birrell</w:t>
            </w:r>
          </w:p>
        </w:tc>
        <w:tc>
          <w:tcPr>
            <w:tcW w:w="3239" w:type="dxa"/>
          </w:tcPr>
          <w:p w14:paraId="3AE1987A" w14:textId="57D8751B" w:rsidR="0071330A" w:rsidRPr="00831066" w:rsidRDefault="0071330A" w:rsidP="002E38F6">
            <w:pPr>
              <w:rPr>
                <w:sz w:val="20"/>
                <w:szCs w:val="20"/>
              </w:rPr>
            </w:pPr>
            <w:r>
              <w:rPr>
                <w:sz w:val="20"/>
                <w:szCs w:val="20"/>
              </w:rPr>
              <w:t>Initial Version</w:t>
            </w:r>
          </w:p>
        </w:tc>
      </w:tr>
      <w:tr w:rsidR="00F325F5" w14:paraId="626B7D4D" w14:textId="77777777" w:rsidTr="00903D74">
        <w:tc>
          <w:tcPr>
            <w:tcW w:w="1912" w:type="dxa"/>
          </w:tcPr>
          <w:p w14:paraId="427FCCC1" w14:textId="577CB063" w:rsidR="00F325F5" w:rsidRDefault="00F325F5" w:rsidP="002E38F6">
            <w:pPr>
              <w:rPr>
                <w:sz w:val="20"/>
                <w:szCs w:val="20"/>
              </w:rPr>
            </w:pPr>
            <w:r>
              <w:rPr>
                <w:sz w:val="20"/>
                <w:szCs w:val="20"/>
              </w:rPr>
              <w:t>21/04/2017</w:t>
            </w:r>
          </w:p>
        </w:tc>
        <w:tc>
          <w:tcPr>
            <w:tcW w:w="1456" w:type="dxa"/>
          </w:tcPr>
          <w:p w14:paraId="3BDED823" w14:textId="0FC2EC9D" w:rsidR="00F325F5" w:rsidRDefault="00F325F5" w:rsidP="002E38F6">
            <w:pPr>
              <w:rPr>
                <w:sz w:val="20"/>
                <w:szCs w:val="20"/>
              </w:rPr>
            </w:pPr>
            <w:r>
              <w:rPr>
                <w:sz w:val="20"/>
                <w:szCs w:val="20"/>
              </w:rPr>
              <w:t>Update</w:t>
            </w:r>
          </w:p>
        </w:tc>
        <w:tc>
          <w:tcPr>
            <w:tcW w:w="1023" w:type="dxa"/>
          </w:tcPr>
          <w:p w14:paraId="6F169040" w14:textId="540F3856" w:rsidR="00F325F5" w:rsidRDefault="00F325F5" w:rsidP="002E38F6">
            <w:pPr>
              <w:rPr>
                <w:sz w:val="20"/>
                <w:szCs w:val="20"/>
              </w:rPr>
            </w:pPr>
            <w:r>
              <w:rPr>
                <w:sz w:val="20"/>
                <w:szCs w:val="20"/>
              </w:rPr>
              <w:t>0.2</w:t>
            </w:r>
          </w:p>
        </w:tc>
        <w:tc>
          <w:tcPr>
            <w:tcW w:w="1584" w:type="dxa"/>
          </w:tcPr>
          <w:p w14:paraId="4FA8E9C6" w14:textId="25A95863" w:rsidR="00F325F5" w:rsidRDefault="00F325F5" w:rsidP="002E38F6">
            <w:pPr>
              <w:rPr>
                <w:sz w:val="20"/>
                <w:szCs w:val="20"/>
              </w:rPr>
            </w:pPr>
            <w:r>
              <w:rPr>
                <w:sz w:val="20"/>
                <w:szCs w:val="20"/>
              </w:rPr>
              <w:t>Natalia Kozlovich</w:t>
            </w:r>
          </w:p>
        </w:tc>
        <w:tc>
          <w:tcPr>
            <w:tcW w:w="3239" w:type="dxa"/>
          </w:tcPr>
          <w:p w14:paraId="1E1D3AF5" w14:textId="161E29C6" w:rsidR="00F325F5" w:rsidRDefault="00F325F5" w:rsidP="002E38F6">
            <w:pPr>
              <w:rPr>
                <w:sz w:val="20"/>
                <w:szCs w:val="20"/>
              </w:rPr>
            </w:pPr>
            <w:r>
              <w:rPr>
                <w:sz w:val="20"/>
                <w:szCs w:val="20"/>
              </w:rPr>
              <w:t>Added normali</w:t>
            </w:r>
            <w:r w:rsidR="00C2177C">
              <w:rPr>
                <w:sz w:val="20"/>
                <w:szCs w:val="20"/>
              </w:rPr>
              <w:t>z</w:t>
            </w:r>
            <w:r>
              <w:rPr>
                <w:sz w:val="20"/>
                <w:szCs w:val="20"/>
              </w:rPr>
              <w:t>ation rules for FX</w:t>
            </w:r>
          </w:p>
        </w:tc>
      </w:tr>
      <w:tr w:rsidR="003E7FAC" w14:paraId="6CFB702B"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46FA07B0" w14:textId="141D082F" w:rsidR="003E7FAC" w:rsidRDefault="003E7FAC" w:rsidP="002E38F6">
            <w:pPr>
              <w:rPr>
                <w:sz w:val="20"/>
                <w:szCs w:val="20"/>
              </w:rPr>
            </w:pPr>
            <w:r>
              <w:rPr>
                <w:sz w:val="20"/>
                <w:szCs w:val="20"/>
              </w:rPr>
              <w:t>12/06/2017</w:t>
            </w:r>
          </w:p>
        </w:tc>
        <w:tc>
          <w:tcPr>
            <w:tcW w:w="1456" w:type="dxa"/>
          </w:tcPr>
          <w:p w14:paraId="0105B7BE" w14:textId="7BBA4CB7" w:rsidR="003E7FAC" w:rsidRDefault="003E7FAC" w:rsidP="002E38F6">
            <w:pPr>
              <w:rPr>
                <w:sz w:val="20"/>
                <w:szCs w:val="20"/>
              </w:rPr>
            </w:pPr>
            <w:r>
              <w:rPr>
                <w:sz w:val="20"/>
                <w:szCs w:val="20"/>
              </w:rPr>
              <w:t xml:space="preserve">Change </w:t>
            </w:r>
          </w:p>
        </w:tc>
        <w:tc>
          <w:tcPr>
            <w:tcW w:w="1023" w:type="dxa"/>
          </w:tcPr>
          <w:p w14:paraId="5366AE77" w14:textId="146244AA" w:rsidR="003E7FAC" w:rsidRDefault="003E7FAC" w:rsidP="002E38F6">
            <w:pPr>
              <w:rPr>
                <w:sz w:val="20"/>
                <w:szCs w:val="20"/>
              </w:rPr>
            </w:pPr>
            <w:r>
              <w:rPr>
                <w:sz w:val="20"/>
                <w:szCs w:val="20"/>
              </w:rPr>
              <w:t>0.3</w:t>
            </w:r>
          </w:p>
        </w:tc>
        <w:tc>
          <w:tcPr>
            <w:tcW w:w="1584" w:type="dxa"/>
          </w:tcPr>
          <w:p w14:paraId="253FFF26" w14:textId="18EF3F65" w:rsidR="003E7FAC" w:rsidRDefault="003E7FAC" w:rsidP="002E38F6">
            <w:pPr>
              <w:rPr>
                <w:sz w:val="20"/>
                <w:szCs w:val="20"/>
              </w:rPr>
            </w:pPr>
            <w:r>
              <w:rPr>
                <w:sz w:val="20"/>
                <w:szCs w:val="20"/>
              </w:rPr>
              <w:t>Tony Birrell</w:t>
            </w:r>
          </w:p>
        </w:tc>
        <w:tc>
          <w:tcPr>
            <w:tcW w:w="3239" w:type="dxa"/>
          </w:tcPr>
          <w:p w14:paraId="232C13AC" w14:textId="2022FBAE" w:rsidR="003E7FAC" w:rsidRDefault="00766968" w:rsidP="002E38F6">
            <w:pPr>
              <w:rPr>
                <w:sz w:val="20"/>
                <w:szCs w:val="20"/>
              </w:rPr>
            </w:pPr>
            <w:r>
              <w:rPr>
                <w:sz w:val="20"/>
                <w:szCs w:val="20"/>
              </w:rPr>
              <w:t>Reference Rate for Commodities added to enumeration table</w:t>
            </w:r>
            <w:r w:rsidR="000614AC">
              <w:rPr>
                <w:sz w:val="20"/>
                <w:szCs w:val="20"/>
              </w:rPr>
              <w:t>, dates amended</w:t>
            </w:r>
          </w:p>
        </w:tc>
      </w:tr>
      <w:tr w:rsidR="006849B4" w14:paraId="1FBFB3C8" w14:textId="77777777" w:rsidTr="00903D74">
        <w:tc>
          <w:tcPr>
            <w:tcW w:w="1912" w:type="dxa"/>
          </w:tcPr>
          <w:p w14:paraId="101760A2" w14:textId="58597A06" w:rsidR="006849B4" w:rsidRDefault="006849B4" w:rsidP="002E38F6">
            <w:pPr>
              <w:rPr>
                <w:sz w:val="20"/>
                <w:szCs w:val="20"/>
              </w:rPr>
            </w:pPr>
            <w:r>
              <w:rPr>
                <w:sz w:val="20"/>
                <w:szCs w:val="20"/>
              </w:rPr>
              <w:t>23/06/2017</w:t>
            </w:r>
          </w:p>
        </w:tc>
        <w:tc>
          <w:tcPr>
            <w:tcW w:w="1456" w:type="dxa"/>
          </w:tcPr>
          <w:p w14:paraId="6BE2E843" w14:textId="3A6760F6" w:rsidR="006849B4" w:rsidRDefault="006849B4" w:rsidP="002E38F6">
            <w:pPr>
              <w:rPr>
                <w:sz w:val="20"/>
                <w:szCs w:val="20"/>
              </w:rPr>
            </w:pPr>
            <w:r>
              <w:rPr>
                <w:sz w:val="20"/>
                <w:szCs w:val="20"/>
              </w:rPr>
              <w:t>Change</w:t>
            </w:r>
          </w:p>
        </w:tc>
        <w:tc>
          <w:tcPr>
            <w:tcW w:w="1023" w:type="dxa"/>
          </w:tcPr>
          <w:p w14:paraId="7AF54221" w14:textId="62700485" w:rsidR="006849B4" w:rsidRDefault="006849B4" w:rsidP="002E38F6">
            <w:pPr>
              <w:rPr>
                <w:sz w:val="20"/>
                <w:szCs w:val="20"/>
              </w:rPr>
            </w:pPr>
            <w:r>
              <w:rPr>
                <w:sz w:val="20"/>
                <w:szCs w:val="20"/>
              </w:rPr>
              <w:t>0.4</w:t>
            </w:r>
          </w:p>
        </w:tc>
        <w:tc>
          <w:tcPr>
            <w:tcW w:w="1584" w:type="dxa"/>
          </w:tcPr>
          <w:p w14:paraId="2DF6EC7E" w14:textId="5F972C75" w:rsidR="006849B4" w:rsidRDefault="006849B4" w:rsidP="002E38F6">
            <w:pPr>
              <w:rPr>
                <w:sz w:val="20"/>
                <w:szCs w:val="20"/>
              </w:rPr>
            </w:pPr>
            <w:r>
              <w:rPr>
                <w:sz w:val="20"/>
                <w:szCs w:val="20"/>
              </w:rPr>
              <w:t>Tony Birrell</w:t>
            </w:r>
          </w:p>
        </w:tc>
        <w:tc>
          <w:tcPr>
            <w:tcW w:w="3239" w:type="dxa"/>
          </w:tcPr>
          <w:p w14:paraId="74DB6507" w14:textId="1602CC37" w:rsidR="006849B4" w:rsidRDefault="006849B4" w:rsidP="002E38F6">
            <w:pPr>
              <w:rPr>
                <w:sz w:val="20"/>
                <w:szCs w:val="20"/>
              </w:rPr>
            </w:pPr>
            <w:r>
              <w:rPr>
                <w:sz w:val="20"/>
                <w:szCs w:val="20"/>
              </w:rPr>
              <w:t>Enumerations table updated</w:t>
            </w:r>
          </w:p>
        </w:tc>
      </w:tr>
      <w:tr w:rsidR="005347AC" w14:paraId="280A9D34"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34B69160" w14:textId="596C1CCD" w:rsidR="005347AC" w:rsidRDefault="005347AC" w:rsidP="002E38F6">
            <w:pPr>
              <w:rPr>
                <w:sz w:val="20"/>
                <w:szCs w:val="20"/>
              </w:rPr>
            </w:pPr>
            <w:r>
              <w:rPr>
                <w:sz w:val="20"/>
                <w:szCs w:val="20"/>
              </w:rPr>
              <w:t>13/07/2017</w:t>
            </w:r>
          </w:p>
        </w:tc>
        <w:tc>
          <w:tcPr>
            <w:tcW w:w="1456" w:type="dxa"/>
          </w:tcPr>
          <w:p w14:paraId="5AF3E238" w14:textId="7D91897E" w:rsidR="005347AC" w:rsidRDefault="00733612" w:rsidP="002E38F6">
            <w:pPr>
              <w:rPr>
                <w:sz w:val="20"/>
                <w:szCs w:val="20"/>
              </w:rPr>
            </w:pPr>
            <w:r>
              <w:rPr>
                <w:sz w:val="20"/>
                <w:szCs w:val="20"/>
              </w:rPr>
              <w:t>Change</w:t>
            </w:r>
          </w:p>
        </w:tc>
        <w:tc>
          <w:tcPr>
            <w:tcW w:w="1023" w:type="dxa"/>
          </w:tcPr>
          <w:p w14:paraId="593A7015" w14:textId="7DC9A882" w:rsidR="005347AC" w:rsidRDefault="005347AC" w:rsidP="002E38F6">
            <w:pPr>
              <w:rPr>
                <w:sz w:val="20"/>
                <w:szCs w:val="20"/>
              </w:rPr>
            </w:pPr>
            <w:r>
              <w:rPr>
                <w:sz w:val="20"/>
                <w:szCs w:val="20"/>
              </w:rPr>
              <w:t>0.5</w:t>
            </w:r>
          </w:p>
        </w:tc>
        <w:tc>
          <w:tcPr>
            <w:tcW w:w="1584" w:type="dxa"/>
          </w:tcPr>
          <w:p w14:paraId="31EACB7E" w14:textId="3EA9CDAB" w:rsidR="005347AC" w:rsidRDefault="005347AC" w:rsidP="002E38F6">
            <w:pPr>
              <w:rPr>
                <w:sz w:val="20"/>
                <w:szCs w:val="20"/>
              </w:rPr>
            </w:pPr>
            <w:r>
              <w:rPr>
                <w:sz w:val="20"/>
                <w:szCs w:val="20"/>
              </w:rPr>
              <w:t>Tony Birrell</w:t>
            </w:r>
          </w:p>
        </w:tc>
        <w:tc>
          <w:tcPr>
            <w:tcW w:w="3239" w:type="dxa"/>
          </w:tcPr>
          <w:p w14:paraId="178D6FE7" w14:textId="3755FCFE" w:rsidR="005347AC" w:rsidRDefault="005347AC" w:rsidP="002E38F6">
            <w:pPr>
              <w:rPr>
                <w:sz w:val="20"/>
                <w:szCs w:val="20"/>
              </w:rPr>
            </w:pPr>
            <w:r>
              <w:rPr>
                <w:sz w:val="20"/>
                <w:szCs w:val="20"/>
              </w:rPr>
              <w:t>Added Other fields for Commodities</w:t>
            </w:r>
          </w:p>
        </w:tc>
      </w:tr>
      <w:tr w:rsidR="00733612" w14:paraId="778985EE" w14:textId="77777777" w:rsidTr="00903D74">
        <w:tc>
          <w:tcPr>
            <w:tcW w:w="1912" w:type="dxa"/>
          </w:tcPr>
          <w:p w14:paraId="72A32199" w14:textId="2BDF9A0C" w:rsidR="00733612" w:rsidRDefault="009F45D2" w:rsidP="00733612">
            <w:pPr>
              <w:rPr>
                <w:sz w:val="20"/>
                <w:szCs w:val="20"/>
              </w:rPr>
            </w:pPr>
            <w:r>
              <w:rPr>
                <w:sz w:val="20"/>
                <w:szCs w:val="20"/>
              </w:rPr>
              <w:t>31</w:t>
            </w:r>
            <w:r w:rsidR="00733612">
              <w:rPr>
                <w:sz w:val="20"/>
                <w:szCs w:val="20"/>
              </w:rPr>
              <w:t>/07/2017</w:t>
            </w:r>
          </w:p>
        </w:tc>
        <w:tc>
          <w:tcPr>
            <w:tcW w:w="1456" w:type="dxa"/>
          </w:tcPr>
          <w:p w14:paraId="774CF07A" w14:textId="589F3102" w:rsidR="00733612" w:rsidRDefault="00733612" w:rsidP="00733612">
            <w:pPr>
              <w:rPr>
                <w:sz w:val="20"/>
                <w:szCs w:val="20"/>
              </w:rPr>
            </w:pPr>
            <w:r>
              <w:rPr>
                <w:sz w:val="20"/>
                <w:szCs w:val="20"/>
              </w:rPr>
              <w:t>Change</w:t>
            </w:r>
          </w:p>
        </w:tc>
        <w:tc>
          <w:tcPr>
            <w:tcW w:w="1023" w:type="dxa"/>
          </w:tcPr>
          <w:p w14:paraId="5DB268F0" w14:textId="08508F74" w:rsidR="00733612" w:rsidRDefault="00733612" w:rsidP="00733612">
            <w:pPr>
              <w:rPr>
                <w:sz w:val="20"/>
                <w:szCs w:val="20"/>
              </w:rPr>
            </w:pPr>
            <w:r>
              <w:rPr>
                <w:sz w:val="20"/>
                <w:szCs w:val="20"/>
              </w:rPr>
              <w:t>0.6</w:t>
            </w:r>
          </w:p>
        </w:tc>
        <w:tc>
          <w:tcPr>
            <w:tcW w:w="1584" w:type="dxa"/>
          </w:tcPr>
          <w:p w14:paraId="20709954" w14:textId="0E28C5D0" w:rsidR="00733612" w:rsidRDefault="00733612" w:rsidP="00733612">
            <w:pPr>
              <w:rPr>
                <w:sz w:val="20"/>
                <w:szCs w:val="20"/>
              </w:rPr>
            </w:pPr>
            <w:r>
              <w:rPr>
                <w:sz w:val="20"/>
                <w:szCs w:val="20"/>
              </w:rPr>
              <w:t>Tony Birrell</w:t>
            </w:r>
          </w:p>
        </w:tc>
        <w:tc>
          <w:tcPr>
            <w:tcW w:w="3239" w:type="dxa"/>
          </w:tcPr>
          <w:p w14:paraId="769B3AA7" w14:textId="550F50E5" w:rsidR="00C07D03" w:rsidRDefault="00C07D03" w:rsidP="00733612">
            <w:pPr>
              <w:rPr>
                <w:sz w:val="20"/>
                <w:szCs w:val="20"/>
              </w:rPr>
            </w:pPr>
            <w:r>
              <w:rPr>
                <w:sz w:val="20"/>
                <w:szCs w:val="20"/>
              </w:rPr>
              <w:t xml:space="preserve">Added </w:t>
            </w:r>
            <w:r w:rsidR="009F45D2">
              <w:rPr>
                <w:sz w:val="20"/>
                <w:szCs w:val="20"/>
              </w:rPr>
              <w:t>Data t</w:t>
            </w:r>
            <w:r>
              <w:rPr>
                <w:sz w:val="20"/>
                <w:szCs w:val="20"/>
              </w:rPr>
              <w:t>ype to the enumerations table</w:t>
            </w:r>
          </w:p>
          <w:p w14:paraId="66F6A2B5" w14:textId="77777777" w:rsidR="00733612" w:rsidRDefault="00C07D03" w:rsidP="00733612">
            <w:pPr>
              <w:rPr>
                <w:sz w:val="20"/>
                <w:szCs w:val="20"/>
              </w:rPr>
            </w:pPr>
            <w:r>
              <w:rPr>
                <w:sz w:val="20"/>
                <w:szCs w:val="20"/>
              </w:rPr>
              <w:t xml:space="preserve">Added additional normalisation for FX Options &amp; </w:t>
            </w:r>
            <w:proofErr w:type="spellStart"/>
            <w:r>
              <w:rPr>
                <w:sz w:val="20"/>
                <w:szCs w:val="20"/>
              </w:rPr>
              <w:t>Commods</w:t>
            </w:r>
            <w:proofErr w:type="spellEnd"/>
          </w:p>
          <w:p w14:paraId="1AB6F2B3" w14:textId="469B5873" w:rsidR="004D2A25" w:rsidRDefault="004D2A25" w:rsidP="00733612">
            <w:pPr>
              <w:rPr>
                <w:sz w:val="20"/>
                <w:szCs w:val="20"/>
              </w:rPr>
            </w:pPr>
            <w:r>
              <w:rPr>
                <w:sz w:val="20"/>
                <w:szCs w:val="20"/>
              </w:rPr>
              <w:t>Added array products</w:t>
            </w:r>
          </w:p>
        </w:tc>
      </w:tr>
      <w:tr w:rsidR="00DF0C91" w14:paraId="407AF75E"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61DD6E48" w14:textId="1B4E48BC" w:rsidR="00DF0C91" w:rsidRDefault="00DF0C91" w:rsidP="00733612">
            <w:pPr>
              <w:rPr>
                <w:sz w:val="20"/>
                <w:szCs w:val="20"/>
              </w:rPr>
            </w:pPr>
            <w:r>
              <w:rPr>
                <w:sz w:val="20"/>
                <w:szCs w:val="20"/>
              </w:rPr>
              <w:t>08/08/2017</w:t>
            </w:r>
          </w:p>
        </w:tc>
        <w:tc>
          <w:tcPr>
            <w:tcW w:w="1456" w:type="dxa"/>
          </w:tcPr>
          <w:p w14:paraId="06DCB007" w14:textId="60EAEC50" w:rsidR="00DF0C91" w:rsidRDefault="00DF0C91" w:rsidP="00733612">
            <w:pPr>
              <w:rPr>
                <w:sz w:val="20"/>
                <w:szCs w:val="20"/>
              </w:rPr>
            </w:pPr>
            <w:r>
              <w:rPr>
                <w:sz w:val="20"/>
                <w:szCs w:val="20"/>
              </w:rPr>
              <w:t>Change</w:t>
            </w:r>
          </w:p>
        </w:tc>
        <w:tc>
          <w:tcPr>
            <w:tcW w:w="1023" w:type="dxa"/>
          </w:tcPr>
          <w:p w14:paraId="5B59B749" w14:textId="4022F6E7" w:rsidR="00DF0C91" w:rsidRDefault="00DF0C91" w:rsidP="00733612">
            <w:pPr>
              <w:rPr>
                <w:sz w:val="20"/>
                <w:szCs w:val="20"/>
              </w:rPr>
            </w:pPr>
            <w:r>
              <w:rPr>
                <w:sz w:val="20"/>
                <w:szCs w:val="20"/>
              </w:rPr>
              <w:t>0.7</w:t>
            </w:r>
          </w:p>
        </w:tc>
        <w:tc>
          <w:tcPr>
            <w:tcW w:w="1584" w:type="dxa"/>
          </w:tcPr>
          <w:p w14:paraId="1BD954F2" w14:textId="6FE59B6D" w:rsidR="00DF0C91" w:rsidRDefault="00DF0C91" w:rsidP="00733612">
            <w:pPr>
              <w:rPr>
                <w:sz w:val="20"/>
                <w:szCs w:val="20"/>
              </w:rPr>
            </w:pPr>
            <w:r>
              <w:rPr>
                <w:sz w:val="20"/>
                <w:szCs w:val="20"/>
              </w:rPr>
              <w:t>Tony Birrell</w:t>
            </w:r>
          </w:p>
        </w:tc>
        <w:tc>
          <w:tcPr>
            <w:tcW w:w="3239" w:type="dxa"/>
          </w:tcPr>
          <w:p w14:paraId="7B9C9131" w14:textId="5A8147FD" w:rsidR="00DF0C91" w:rsidRDefault="00DF0C91" w:rsidP="00733612">
            <w:pPr>
              <w:rPr>
                <w:sz w:val="20"/>
                <w:szCs w:val="20"/>
              </w:rPr>
            </w:pPr>
            <w:r>
              <w:rPr>
                <w:sz w:val="20"/>
                <w:szCs w:val="20"/>
              </w:rPr>
              <w:t xml:space="preserve">Amended normalisation rules for FX </w:t>
            </w:r>
          </w:p>
        </w:tc>
      </w:tr>
      <w:tr w:rsidR="00D632FC" w14:paraId="63B181FC" w14:textId="77777777" w:rsidTr="00903D74">
        <w:tc>
          <w:tcPr>
            <w:tcW w:w="1912" w:type="dxa"/>
          </w:tcPr>
          <w:p w14:paraId="59958F2B" w14:textId="0957AA25" w:rsidR="00D632FC" w:rsidRDefault="00D632FC" w:rsidP="00733612">
            <w:pPr>
              <w:rPr>
                <w:sz w:val="20"/>
                <w:szCs w:val="20"/>
              </w:rPr>
            </w:pPr>
            <w:r>
              <w:rPr>
                <w:sz w:val="20"/>
                <w:szCs w:val="20"/>
              </w:rPr>
              <w:t>15/08/2017</w:t>
            </w:r>
          </w:p>
        </w:tc>
        <w:tc>
          <w:tcPr>
            <w:tcW w:w="1456" w:type="dxa"/>
          </w:tcPr>
          <w:p w14:paraId="59A23F0F" w14:textId="7103EE3E" w:rsidR="00D632FC" w:rsidRDefault="00D632FC" w:rsidP="00733612">
            <w:pPr>
              <w:rPr>
                <w:sz w:val="20"/>
                <w:szCs w:val="20"/>
              </w:rPr>
            </w:pPr>
            <w:r>
              <w:rPr>
                <w:sz w:val="20"/>
                <w:szCs w:val="20"/>
              </w:rPr>
              <w:t>Change</w:t>
            </w:r>
          </w:p>
        </w:tc>
        <w:tc>
          <w:tcPr>
            <w:tcW w:w="1023" w:type="dxa"/>
          </w:tcPr>
          <w:p w14:paraId="405A0581" w14:textId="3F7CB424" w:rsidR="00D632FC" w:rsidRDefault="00D632FC" w:rsidP="00733612">
            <w:pPr>
              <w:rPr>
                <w:sz w:val="20"/>
                <w:szCs w:val="20"/>
              </w:rPr>
            </w:pPr>
            <w:r>
              <w:rPr>
                <w:sz w:val="20"/>
                <w:szCs w:val="20"/>
              </w:rPr>
              <w:t>0.8</w:t>
            </w:r>
          </w:p>
        </w:tc>
        <w:tc>
          <w:tcPr>
            <w:tcW w:w="1584" w:type="dxa"/>
          </w:tcPr>
          <w:p w14:paraId="589204A5" w14:textId="4CBB7BE5" w:rsidR="00D632FC" w:rsidRDefault="00D632FC" w:rsidP="00733612">
            <w:pPr>
              <w:rPr>
                <w:sz w:val="20"/>
                <w:szCs w:val="20"/>
              </w:rPr>
            </w:pPr>
            <w:r>
              <w:rPr>
                <w:sz w:val="20"/>
                <w:szCs w:val="20"/>
              </w:rPr>
              <w:t>Natalia Kozlovich</w:t>
            </w:r>
          </w:p>
        </w:tc>
        <w:tc>
          <w:tcPr>
            <w:tcW w:w="3239" w:type="dxa"/>
          </w:tcPr>
          <w:p w14:paraId="74C92586" w14:textId="4E059CDE" w:rsidR="00D632FC" w:rsidRDefault="00D632FC" w:rsidP="00733612">
            <w:pPr>
              <w:rPr>
                <w:sz w:val="20"/>
                <w:szCs w:val="20"/>
              </w:rPr>
            </w:pPr>
            <w:r>
              <w:rPr>
                <w:sz w:val="20"/>
                <w:szCs w:val="20"/>
              </w:rPr>
              <w:t>Amended normalisation rules for Commodities</w:t>
            </w:r>
          </w:p>
        </w:tc>
      </w:tr>
      <w:tr w:rsidR="001E7488" w14:paraId="6533B54B"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76A4D285" w14:textId="20E13C86" w:rsidR="001E7488" w:rsidRDefault="001E7488" w:rsidP="00733612">
            <w:pPr>
              <w:rPr>
                <w:sz w:val="20"/>
                <w:szCs w:val="20"/>
              </w:rPr>
            </w:pPr>
            <w:r>
              <w:rPr>
                <w:sz w:val="20"/>
                <w:szCs w:val="20"/>
              </w:rPr>
              <w:t>16/08/2017</w:t>
            </w:r>
          </w:p>
        </w:tc>
        <w:tc>
          <w:tcPr>
            <w:tcW w:w="1456" w:type="dxa"/>
          </w:tcPr>
          <w:p w14:paraId="2C2D37B2" w14:textId="36795103" w:rsidR="001E7488" w:rsidRDefault="001E7488" w:rsidP="00733612">
            <w:pPr>
              <w:rPr>
                <w:sz w:val="20"/>
                <w:szCs w:val="20"/>
              </w:rPr>
            </w:pPr>
            <w:r>
              <w:rPr>
                <w:sz w:val="20"/>
                <w:szCs w:val="20"/>
              </w:rPr>
              <w:t>Change</w:t>
            </w:r>
          </w:p>
        </w:tc>
        <w:tc>
          <w:tcPr>
            <w:tcW w:w="1023" w:type="dxa"/>
          </w:tcPr>
          <w:p w14:paraId="5DBE7969" w14:textId="03F15858" w:rsidR="001E7488" w:rsidRDefault="001E7488" w:rsidP="00733612">
            <w:pPr>
              <w:rPr>
                <w:sz w:val="20"/>
                <w:szCs w:val="20"/>
              </w:rPr>
            </w:pPr>
            <w:r>
              <w:rPr>
                <w:sz w:val="20"/>
                <w:szCs w:val="20"/>
              </w:rPr>
              <w:t>0.9</w:t>
            </w:r>
          </w:p>
        </w:tc>
        <w:tc>
          <w:tcPr>
            <w:tcW w:w="1584" w:type="dxa"/>
          </w:tcPr>
          <w:p w14:paraId="6F449180" w14:textId="19ACF0A7" w:rsidR="001E7488" w:rsidRDefault="001E7488" w:rsidP="00733612">
            <w:pPr>
              <w:rPr>
                <w:sz w:val="20"/>
                <w:szCs w:val="20"/>
              </w:rPr>
            </w:pPr>
            <w:r>
              <w:rPr>
                <w:sz w:val="20"/>
                <w:szCs w:val="20"/>
              </w:rPr>
              <w:t>Tony Birrell</w:t>
            </w:r>
          </w:p>
        </w:tc>
        <w:tc>
          <w:tcPr>
            <w:tcW w:w="3239" w:type="dxa"/>
          </w:tcPr>
          <w:p w14:paraId="348ECBF8" w14:textId="4BBE1FCE" w:rsidR="001E7488" w:rsidRDefault="001E7488" w:rsidP="00733612">
            <w:pPr>
              <w:rPr>
                <w:sz w:val="20"/>
                <w:szCs w:val="20"/>
              </w:rPr>
            </w:pPr>
            <w:r>
              <w:rPr>
                <w:sz w:val="20"/>
                <w:szCs w:val="20"/>
              </w:rPr>
              <w:t xml:space="preserve">Add Index enumeration explanation &amp; Non-Standard </w:t>
            </w:r>
            <w:r w:rsidR="00186370">
              <w:rPr>
                <w:sz w:val="20"/>
                <w:szCs w:val="20"/>
              </w:rPr>
              <w:t>clarification</w:t>
            </w:r>
          </w:p>
        </w:tc>
      </w:tr>
      <w:tr w:rsidR="007D6CDD" w14:paraId="13113BC5" w14:textId="77777777" w:rsidTr="00903D74">
        <w:tc>
          <w:tcPr>
            <w:tcW w:w="1912" w:type="dxa"/>
          </w:tcPr>
          <w:p w14:paraId="397F5155" w14:textId="0933C8EC" w:rsidR="007D6CDD" w:rsidRDefault="007D6CDD" w:rsidP="00733612">
            <w:pPr>
              <w:rPr>
                <w:sz w:val="20"/>
                <w:szCs w:val="20"/>
              </w:rPr>
            </w:pPr>
            <w:r>
              <w:rPr>
                <w:sz w:val="20"/>
                <w:szCs w:val="20"/>
              </w:rPr>
              <w:t>25/09/2017</w:t>
            </w:r>
          </w:p>
        </w:tc>
        <w:tc>
          <w:tcPr>
            <w:tcW w:w="1456" w:type="dxa"/>
          </w:tcPr>
          <w:p w14:paraId="64600BCF" w14:textId="6CE0BD0A" w:rsidR="007D6CDD" w:rsidRDefault="007D6CDD" w:rsidP="00733612">
            <w:pPr>
              <w:rPr>
                <w:sz w:val="20"/>
                <w:szCs w:val="20"/>
              </w:rPr>
            </w:pPr>
            <w:r>
              <w:rPr>
                <w:sz w:val="20"/>
                <w:szCs w:val="20"/>
              </w:rPr>
              <w:t xml:space="preserve">Change </w:t>
            </w:r>
          </w:p>
        </w:tc>
        <w:tc>
          <w:tcPr>
            <w:tcW w:w="1023" w:type="dxa"/>
          </w:tcPr>
          <w:p w14:paraId="53B1ED8C" w14:textId="7FE8CE65" w:rsidR="007D6CDD" w:rsidRDefault="007D6CDD" w:rsidP="00733612">
            <w:pPr>
              <w:rPr>
                <w:sz w:val="20"/>
                <w:szCs w:val="20"/>
              </w:rPr>
            </w:pPr>
            <w:r>
              <w:rPr>
                <w:sz w:val="20"/>
                <w:szCs w:val="20"/>
              </w:rPr>
              <w:t>1.0</w:t>
            </w:r>
          </w:p>
        </w:tc>
        <w:tc>
          <w:tcPr>
            <w:tcW w:w="1584" w:type="dxa"/>
          </w:tcPr>
          <w:p w14:paraId="6BF2FC88" w14:textId="0CA616CE" w:rsidR="007D6CDD" w:rsidRDefault="007D6CDD" w:rsidP="00733612">
            <w:pPr>
              <w:rPr>
                <w:sz w:val="20"/>
                <w:szCs w:val="20"/>
              </w:rPr>
            </w:pPr>
            <w:r>
              <w:rPr>
                <w:sz w:val="20"/>
                <w:szCs w:val="20"/>
              </w:rPr>
              <w:t>Tony Birrell</w:t>
            </w:r>
          </w:p>
        </w:tc>
        <w:tc>
          <w:tcPr>
            <w:tcW w:w="3239" w:type="dxa"/>
          </w:tcPr>
          <w:p w14:paraId="63CEE417" w14:textId="7DA623D3" w:rsidR="007D6CDD" w:rsidRDefault="007D6CDD" w:rsidP="00733612">
            <w:pPr>
              <w:rPr>
                <w:sz w:val="20"/>
                <w:szCs w:val="20"/>
              </w:rPr>
            </w:pPr>
            <w:r>
              <w:rPr>
                <w:sz w:val="20"/>
                <w:szCs w:val="20"/>
              </w:rPr>
              <w:t>Added Validations, amended FX normalisation to include all options and transitioned document to PROD version</w:t>
            </w:r>
          </w:p>
        </w:tc>
      </w:tr>
      <w:tr w:rsidR="00351652" w14:paraId="7237C92B"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0CA0572B" w14:textId="29097B05" w:rsidR="00351652" w:rsidRDefault="00351652" w:rsidP="00733612">
            <w:pPr>
              <w:rPr>
                <w:sz w:val="20"/>
                <w:szCs w:val="20"/>
              </w:rPr>
            </w:pPr>
            <w:r>
              <w:rPr>
                <w:sz w:val="20"/>
                <w:szCs w:val="20"/>
              </w:rPr>
              <w:t>26/09/2017</w:t>
            </w:r>
          </w:p>
        </w:tc>
        <w:tc>
          <w:tcPr>
            <w:tcW w:w="1456" w:type="dxa"/>
          </w:tcPr>
          <w:p w14:paraId="7E3CBBE6" w14:textId="287660DA" w:rsidR="00351652" w:rsidRDefault="00351652" w:rsidP="00733612">
            <w:pPr>
              <w:rPr>
                <w:sz w:val="20"/>
                <w:szCs w:val="20"/>
              </w:rPr>
            </w:pPr>
            <w:r>
              <w:rPr>
                <w:sz w:val="20"/>
                <w:szCs w:val="20"/>
              </w:rPr>
              <w:t>Change</w:t>
            </w:r>
          </w:p>
        </w:tc>
        <w:tc>
          <w:tcPr>
            <w:tcW w:w="1023" w:type="dxa"/>
          </w:tcPr>
          <w:p w14:paraId="7B0157FE" w14:textId="6E11E731" w:rsidR="00351652" w:rsidRDefault="00351652" w:rsidP="00733612">
            <w:pPr>
              <w:rPr>
                <w:sz w:val="20"/>
                <w:szCs w:val="20"/>
              </w:rPr>
            </w:pPr>
            <w:r>
              <w:rPr>
                <w:sz w:val="20"/>
                <w:szCs w:val="20"/>
              </w:rPr>
              <w:t>1.1</w:t>
            </w:r>
          </w:p>
        </w:tc>
        <w:tc>
          <w:tcPr>
            <w:tcW w:w="1584" w:type="dxa"/>
          </w:tcPr>
          <w:p w14:paraId="7D99ABC6" w14:textId="062D3B00" w:rsidR="00351652" w:rsidRDefault="00351652" w:rsidP="00733612">
            <w:pPr>
              <w:rPr>
                <w:sz w:val="20"/>
                <w:szCs w:val="20"/>
              </w:rPr>
            </w:pPr>
            <w:r>
              <w:rPr>
                <w:sz w:val="20"/>
                <w:szCs w:val="20"/>
              </w:rPr>
              <w:t>Tony Birrell</w:t>
            </w:r>
          </w:p>
        </w:tc>
        <w:tc>
          <w:tcPr>
            <w:tcW w:w="3239" w:type="dxa"/>
          </w:tcPr>
          <w:p w14:paraId="0B5FB88E" w14:textId="08330256" w:rsidR="00351652" w:rsidRDefault="00351652" w:rsidP="00733612">
            <w:pPr>
              <w:rPr>
                <w:sz w:val="20"/>
                <w:szCs w:val="20"/>
              </w:rPr>
            </w:pPr>
            <w:r>
              <w:rPr>
                <w:sz w:val="20"/>
                <w:szCs w:val="20"/>
              </w:rPr>
              <w:t>Update enumerations for index sources</w:t>
            </w:r>
          </w:p>
        </w:tc>
      </w:tr>
      <w:tr w:rsidR="00A3112F" w14:paraId="76B0ECCB" w14:textId="77777777" w:rsidTr="00903D74">
        <w:tc>
          <w:tcPr>
            <w:tcW w:w="1912" w:type="dxa"/>
          </w:tcPr>
          <w:p w14:paraId="143FCE17" w14:textId="249E1082" w:rsidR="00A3112F" w:rsidRDefault="00A3112F" w:rsidP="00733612">
            <w:pPr>
              <w:rPr>
                <w:sz w:val="20"/>
                <w:szCs w:val="20"/>
              </w:rPr>
            </w:pPr>
            <w:r>
              <w:rPr>
                <w:sz w:val="20"/>
                <w:szCs w:val="20"/>
              </w:rPr>
              <w:t>10/10/2017</w:t>
            </w:r>
          </w:p>
        </w:tc>
        <w:tc>
          <w:tcPr>
            <w:tcW w:w="1456" w:type="dxa"/>
          </w:tcPr>
          <w:p w14:paraId="6ED20917" w14:textId="2440F97A" w:rsidR="00A3112F" w:rsidRDefault="00A3112F" w:rsidP="00733612">
            <w:pPr>
              <w:rPr>
                <w:sz w:val="20"/>
                <w:szCs w:val="20"/>
              </w:rPr>
            </w:pPr>
            <w:r>
              <w:rPr>
                <w:sz w:val="20"/>
                <w:szCs w:val="20"/>
              </w:rPr>
              <w:t>Change</w:t>
            </w:r>
          </w:p>
        </w:tc>
        <w:tc>
          <w:tcPr>
            <w:tcW w:w="1023" w:type="dxa"/>
          </w:tcPr>
          <w:p w14:paraId="0AB3B52A" w14:textId="1408DDA9" w:rsidR="00A3112F" w:rsidRDefault="00A3112F" w:rsidP="00733612">
            <w:pPr>
              <w:rPr>
                <w:sz w:val="20"/>
                <w:szCs w:val="20"/>
              </w:rPr>
            </w:pPr>
            <w:r>
              <w:rPr>
                <w:sz w:val="20"/>
                <w:szCs w:val="20"/>
              </w:rPr>
              <w:t>1.2</w:t>
            </w:r>
          </w:p>
        </w:tc>
        <w:tc>
          <w:tcPr>
            <w:tcW w:w="1584" w:type="dxa"/>
          </w:tcPr>
          <w:p w14:paraId="2B39BED6" w14:textId="2B457914" w:rsidR="00A3112F" w:rsidRDefault="00A3112F" w:rsidP="00733612">
            <w:pPr>
              <w:rPr>
                <w:sz w:val="20"/>
                <w:szCs w:val="20"/>
              </w:rPr>
            </w:pPr>
            <w:r>
              <w:rPr>
                <w:sz w:val="20"/>
                <w:szCs w:val="20"/>
              </w:rPr>
              <w:t>Tony Birrell</w:t>
            </w:r>
          </w:p>
        </w:tc>
        <w:tc>
          <w:tcPr>
            <w:tcW w:w="3239" w:type="dxa"/>
          </w:tcPr>
          <w:p w14:paraId="7AEBDAFA" w14:textId="5A279223" w:rsidR="00A3112F" w:rsidRDefault="00A3112F" w:rsidP="00733612">
            <w:pPr>
              <w:rPr>
                <w:sz w:val="20"/>
                <w:szCs w:val="20"/>
              </w:rPr>
            </w:pPr>
            <w:r>
              <w:rPr>
                <w:sz w:val="20"/>
                <w:szCs w:val="20"/>
              </w:rPr>
              <w:t>Update normalisation rules for Basis Swaps</w:t>
            </w:r>
          </w:p>
          <w:p w14:paraId="68C4B696" w14:textId="77777777" w:rsidR="00A3112F" w:rsidRDefault="00A3112F" w:rsidP="00733612">
            <w:pPr>
              <w:rPr>
                <w:sz w:val="20"/>
                <w:szCs w:val="20"/>
              </w:rPr>
            </w:pPr>
            <w:r>
              <w:rPr>
                <w:sz w:val="20"/>
                <w:szCs w:val="20"/>
              </w:rPr>
              <w:t>Add normalisation for FX Swaps</w:t>
            </w:r>
          </w:p>
          <w:p w14:paraId="615AE285" w14:textId="5FA05E42" w:rsidR="00A3112F" w:rsidRDefault="00A3112F" w:rsidP="00733612">
            <w:pPr>
              <w:rPr>
                <w:sz w:val="20"/>
                <w:szCs w:val="20"/>
              </w:rPr>
            </w:pPr>
            <w:r>
              <w:rPr>
                <w:sz w:val="20"/>
                <w:szCs w:val="20"/>
              </w:rPr>
              <w:t>Add Validations for FX Swaps</w:t>
            </w:r>
          </w:p>
        </w:tc>
      </w:tr>
      <w:tr w:rsidR="00205F07" w14:paraId="1EA90885"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2A03B7C4" w14:textId="33362B7B" w:rsidR="00205F07" w:rsidRDefault="00205F07" w:rsidP="00733612">
            <w:pPr>
              <w:rPr>
                <w:sz w:val="20"/>
                <w:szCs w:val="20"/>
              </w:rPr>
            </w:pPr>
            <w:r>
              <w:rPr>
                <w:sz w:val="20"/>
                <w:szCs w:val="20"/>
              </w:rPr>
              <w:t>08/11/2017</w:t>
            </w:r>
          </w:p>
        </w:tc>
        <w:tc>
          <w:tcPr>
            <w:tcW w:w="1456" w:type="dxa"/>
          </w:tcPr>
          <w:p w14:paraId="6BADB2FE" w14:textId="4CD8474C" w:rsidR="00205F07" w:rsidRDefault="00205F07" w:rsidP="00733612">
            <w:pPr>
              <w:rPr>
                <w:sz w:val="20"/>
                <w:szCs w:val="20"/>
              </w:rPr>
            </w:pPr>
            <w:r>
              <w:rPr>
                <w:sz w:val="20"/>
                <w:szCs w:val="20"/>
              </w:rPr>
              <w:t>Change</w:t>
            </w:r>
          </w:p>
        </w:tc>
        <w:tc>
          <w:tcPr>
            <w:tcW w:w="1023" w:type="dxa"/>
          </w:tcPr>
          <w:p w14:paraId="01B89D7C" w14:textId="6C019C0B" w:rsidR="00205F07" w:rsidRDefault="00205F07" w:rsidP="00733612">
            <w:pPr>
              <w:rPr>
                <w:sz w:val="20"/>
                <w:szCs w:val="20"/>
              </w:rPr>
            </w:pPr>
            <w:r>
              <w:rPr>
                <w:sz w:val="20"/>
                <w:szCs w:val="20"/>
              </w:rPr>
              <w:t>1.3</w:t>
            </w:r>
          </w:p>
        </w:tc>
        <w:tc>
          <w:tcPr>
            <w:tcW w:w="1584" w:type="dxa"/>
          </w:tcPr>
          <w:p w14:paraId="227E3E0B" w14:textId="6CDC76C1" w:rsidR="00205F07" w:rsidRDefault="00205F07" w:rsidP="00733612">
            <w:pPr>
              <w:rPr>
                <w:sz w:val="20"/>
                <w:szCs w:val="20"/>
              </w:rPr>
            </w:pPr>
            <w:r>
              <w:rPr>
                <w:sz w:val="20"/>
                <w:szCs w:val="20"/>
              </w:rPr>
              <w:t>Tony Birrell</w:t>
            </w:r>
          </w:p>
        </w:tc>
        <w:tc>
          <w:tcPr>
            <w:tcW w:w="3239" w:type="dxa"/>
          </w:tcPr>
          <w:p w14:paraId="601EF4FA" w14:textId="48802EA0" w:rsidR="00205F07" w:rsidRDefault="00205F07" w:rsidP="00733612">
            <w:pPr>
              <w:rPr>
                <w:sz w:val="20"/>
                <w:szCs w:val="20"/>
              </w:rPr>
            </w:pPr>
            <w:r>
              <w:rPr>
                <w:sz w:val="20"/>
                <w:szCs w:val="20"/>
              </w:rPr>
              <w:t>Amended Data type for Price Multiplier</w:t>
            </w:r>
          </w:p>
        </w:tc>
      </w:tr>
      <w:tr w:rsidR="00525E52" w14:paraId="70E56F0B" w14:textId="77777777" w:rsidTr="00903D74">
        <w:tc>
          <w:tcPr>
            <w:tcW w:w="1912" w:type="dxa"/>
          </w:tcPr>
          <w:p w14:paraId="2D8E3DB3" w14:textId="376B4FE3" w:rsidR="00525E52" w:rsidRDefault="00525E52" w:rsidP="00733612">
            <w:pPr>
              <w:rPr>
                <w:sz w:val="20"/>
                <w:szCs w:val="20"/>
              </w:rPr>
            </w:pPr>
            <w:r>
              <w:rPr>
                <w:sz w:val="20"/>
                <w:szCs w:val="20"/>
              </w:rPr>
              <w:t>22/11/2017</w:t>
            </w:r>
          </w:p>
        </w:tc>
        <w:tc>
          <w:tcPr>
            <w:tcW w:w="1456" w:type="dxa"/>
          </w:tcPr>
          <w:p w14:paraId="44E1C814" w14:textId="4D7B935B" w:rsidR="00525E52" w:rsidRDefault="00525E52" w:rsidP="00733612">
            <w:pPr>
              <w:rPr>
                <w:sz w:val="20"/>
                <w:szCs w:val="20"/>
              </w:rPr>
            </w:pPr>
            <w:r>
              <w:rPr>
                <w:sz w:val="20"/>
                <w:szCs w:val="20"/>
              </w:rPr>
              <w:t>Change</w:t>
            </w:r>
          </w:p>
        </w:tc>
        <w:tc>
          <w:tcPr>
            <w:tcW w:w="1023" w:type="dxa"/>
          </w:tcPr>
          <w:p w14:paraId="24C58F1E" w14:textId="18CB430F" w:rsidR="00525E52" w:rsidRDefault="00525E52" w:rsidP="00733612">
            <w:pPr>
              <w:rPr>
                <w:sz w:val="20"/>
                <w:szCs w:val="20"/>
              </w:rPr>
            </w:pPr>
            <w:r>
              <w:rPr>
                <w:sz w:val="20"/>
                <w:szCs w:val="20"/>
              </w:rPr>
              <w:t>1.4</w:t>
            </w:r>
          </w:p>
        </w:tc>
        <w:tc>
          <w:tcPr>
            <w:tcW w:w="1584" w:type="dxa"/>
          </w:tcPr>
          <w:p w14:paraId="4A10424C" w14:textId="559475A8" w:rsidR="00525E52" w:rsidRDefault="00525E52" w:rsidP="00733612">
            <w:pPr>
              <w:rPr>
                <w:sz w:val="20"/>
                <w:szCs w:val="20"/>
              </w:rPr>
            </w:pPr>
            <w:r>
              <w:rPr>
                <w:sz w:val="20"/>
                <w:szCs w:val="20"/>
              </w:rPr>
              <w:t>Tony Birrell</w:t>
            </w:r>
          </w:p>
        </w:tc>
        <w:tc>
          <w:tcPr>
            <w:tcW w:w="3239" w:type="dxa"/>
          </w:tcPr>
          <w:p w14:paraId="6CCC33A0" w14:textId="0A2F2DC1" w:rsidR="00525E52" w:rsidRDefault="00525E52" w:rsidP="00733612">
            <w:pPr>
              <w:rPr>
                <w:sz w:val="20"/>
                <w:szCs w:val="20"/>
              </w:rPr>
            </w:pPr>
            <w:r>
              <w:rPr>
                <w:sz w:val="20"/>
                <w:szCs w:val="20"/>
              </w:rPr>
              <w:t>Added new templates introduced into Production</w:t>
            </w:r>
          </w:p>
        </w:tc>
      </w:tr>
      <w:tr w:rsidR="00EC7C60" w14:paraId="5B5D7A16"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36C0086A" w14:textId="5150C408" w:rsidR="00EC7C60" w:rsidRDefault="00EC7C60" w:rsidP="00733612">
            <w:pPr>
              <w:rPr>
                <w:sz w:val="20"/>
                <w:szCs w:val="20"/>
              </w:rPr>
            </w:pPr>
            <w:r>
              <w:rPr>
                <w:sz w:val="20"/>
                <w:szCs w:val="20"/>
              </w:rPr>
              <w:t>01/12/2017</w:t>
            </w:r>
          </w:p>
        </w:tc>
        <w:tc>
          <w:tcPr>
            <w:tcW w:w="1456" w:type="dxa"/>
          </w:tcPr>
          <w:p w14:paraId="000F8CAC" w14:textId="60080155" w:rsidR="00EC7C60" w:rsidRDefault="00EC7C60" w:rsidP="00733612">
            <w:pPr>
              <w:rPr>
                <w:sz w:val="20"/>
                <w:szCs w:val="20"/>
              </w:rPr>
            </w:pPr>
            <w:r>
              <w:rPr>
                <w:sz w:val="20"/>
                <w:szCs w:val="20"/>
              </w:rPr>
              <w:t>Change</w:t>
            </w:r>
          </w:p>
        </w:tc>
        <w:tc>
          <w:tcPr>
            <w:tcW w:w="1023" w:type="dxa"/>
          </w:tcPr>
          <w:p w14:paraId="6F9464DE" w14:textId="1CE77F15" w:rsidR="00EC7C60" w:rsidRDefault="00EC7C60" w:rsidP="00733612">
            <w:pPr>
              <w:rPr>
                <w:sz w:val="20"/>
                <w:szCs w:val="20"/>
              </w:rPr>
            </w:pPr>
            <w:r>
              <w:rPr>
                <w:sz w:val="20"/>
                <w:szCs w:val="20"/>
              </w:rPr>
              <w:t>1.5</w:t>
            </w:r>
          </w:p>
        </w:tc>
        <w:tc>
          <w:tcPr>
            <w:tcW w:w="1584" w:type="dxa"/>
          </w:tcPr>
          <w:p w14:paraId="2AEE964E" w14:textId="7241FB89" w:rsidR="00EC7C60" w:rsidRDefault="00EC7C60" w:rsidP="00733612">
            <w:pPr>
              <w:rPr>
                <w:sz w:val="20"/>
                <w:szCs w:val="20"/>
              </w:rPr>
            </w:pPr>
            <w:r>
              <w:rPr>
                <w:sz w:val="20"/>
                <w:szCs w:val="20"/>
              </w:rPr>
              <w:t>Tony Birrell</w:t>
            </w:r>
          </w:p>
        </w:tc>
        <w:tc>
          <w:tcPr>
            <w:tcW w:w="3239" w:type="dxa"/>
          </w:tcPr>
          <w:p w14:paraId="1E0906FA" w14:textId="3E2474E8" w:rsidR="00EC7C60" w:rsidRDefault="00EC7C60" w:rsidP="00733612">
            <w:pPr>
              <w:rPr>
                <w:sz w:val="20"/>
                <w:szCs w:val="20"/>
              </w:rPr>
            </w:pPr>
            <w:r>
              <w:rPr>
                <w:sz w:val="20"/>
                <w:szCs w:val="20"/>
              </w:rPr>
              <w:t>Added Equity Index &amp; Basket to the list of templates implemented into production</w:t>
            </w:r>
          </w:p>
        </w:tc>
      </w:tr>
      <w:tr w:rsidR="00AD5B3B" w14:paraId="1C6DEFDE" w14:textId="77777777" w:rsidTr="00903D74">
        <w:tc>
          <w:tcPr>
            <w:tcW w:w="1912" w:type="dxa"/>
          </w:tcPr>
          <w:p w14:paraId="739BF454" w14:textId="0DDED32F" w:rsidR="00AD5B3B" w:rsidRDefault="00AD5B3B" w:rsidP="00733612">
            <w:pPr>
              <w:rPr>
                <w:sz w:val="20"/>
                <w:szCs w:val="20"/>
              </w:rPr>
            </w:pPr>
            <w:r>
              <w:rPr>
                <w:sz w:val="20"/>
                <w:szCs w:val="20"/>
              </w:rPr>
              <w:t>18/12/2017</w:t>
            </w:r>
          </w:p>
        </w:tc>
        <w:tc>
          <w:tcPr>
            <w:tcW w:w="1456" w:type="dxa"/>
          </w:tcPr>
          <w:p w14:paraId="40F92E48" w14:textId="4CC388A0" w:rsidR="00AD5B3B" w:rsidRDefault="00AD5B3B" w:rsidP="00733612">
            <w:pPr>
              <w:rPr>
                <w:sz w:val="20"/>
                <w:szCs w:val="20"/>
              </w:rPr>
            </w:pPr>
            <w:r>
              <w:rPr>
                <w:sz w:val="20"/>
                <w:szCs w:val="20"/>
              </w:rPr>
              <w:t>Change</w:t>
            </w:r>
          </w:p>
        </w:tc>
        <w:tc>
          <w:tcPr>
            <w:tcW w:w="1023" w:type="dxa"/>
          </w:tcPr>
          <w:p w14:paraId="32714C0F" w14:textId="75092C34" w:rsidR="00AD5B3B" w:rsidRDefault="00AD5B3B" w:rsidP="00733612">
            <w:pPr>
              <w:rPr>
                <w:sz w:val="20"/>
                <w:szCs w:val="20"/>
              </w:rPr>
            </w:pPr>
            <w:r>
              <w:rPr>
                <w:sz w:val="20"/>
                <w:szCs w:val="20"/>
              </w:rPr>
              <w:t>1.6</w:t>
            </w:r>
          </w:p>
        </w:tc>
        <w:tc>
          <w:tcPr>
            <w:tcW w:w="1584" w:type="dxa"/>
          </w:tcPr>
          <w:p w14:paraId="3F7FB55D" w14:textId="15231E38" w:rsidR="00AD5B3B" w:rsidRDefault="00AD5B3B" w:rsidP="00733612">
            <w:pPr>
              <w:rPr>
                <w:sz w:val="20"/>
                <w:szCs w:val="20"/>
              </w:rPr>
            </w:pPr>
            <w:r>
              <w:rPr>
                <w:sz w:val="20"/>
                <w:szCs w:val="20"/>
              </w:rPr>
              <w:t>Tony Birrell</w:t>
            </w:r>
          </w:p>
        </w:tc>
        <w:tc>
          <w:tcPr>
            <w:tcW w:w="3239" w:type="dxa"/>
          </w:tcPr>
          <w:p w14:paraId="215D896D" w14:textId="71A2CC66" w:rsidR="00AD5B3B" w:rsidRDefault="00AD5B3B" w:rsidP="00733612">
            <w:pPr>
              <w:rPr>
                <w:sz w:val="20"/>
                <w:szCs w:val="20"/>
              </w:rPr>
            </w:pPr>
            <w:r>
              <w:rPr>
                <w:sz w:val="20"/>
                <w:szCs w:val="20"/>
              </w:rPr>
              <w:t>Added new templates introduced into Production / included general validation for Non-Standard templates</w:t>
            </w:r>
          </w:p>
        </w:tc>
      </w:tr>
      <w:tr w:rsidR="008441F2" w14:paraId="0737191F"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34061B86" w14:textId="4F0A0C84" w:rsidR="008441F2" w:rsidRDefault="008441F2" w:rsidP="00733612">
            <w:pPr>
              <w:rPr>
                <w:sz w:val="20"/>
                <w:szCs w:val="20"/>
              </w:rPr>
            </w:pPr>
            <w:r>
              <w:rPr>
                <w:sz w:val="20"/>
                <w:szCs w:val="20"/>
              </w:rPr>
              <w:t>02/01/2018</w:t>
            </w:r>
          </w:p>
        </w:tc>
        <w:tc>
          <w:tcPr>
            <w:tcW w:w="1456" w:type="dxa"/>
          </w:tcPr>
          <w:p w14:paraId="695AB62C" w14:textId="64667B10" w:rsidR="008441F2" w:rsidRDefault="008441F2" w:rsidP="00733612">
            <w:pPr>
              <w:rPr>
                <w:sz w:val="20"/>
                <w:szCs w:val="20"/>
              </w:rPr>
            </w:pPr>
            <w:r>
              <w:rPr>
                <w:sz w:val="20"/>
                <w:szCs w:val="20"/>
              </w:rPr>
              <w:t>Change</w:t>
            </w:r>
          </w:p>
        </w:tc>
        <w:tc>
          <w:tcPr>
            <w:tcW w:w="1023" w:type="dxa"/>
          </w:tcPr>
          <w:p w14:paraId="580BB5A9" w14:textId="74EC8407" w:rsidR="008441F2" w:rsidRDefault="008441F2" w:rsidP="00733612">
            <w:pPr>
              <w:rPr>
                <w:sz w:val="20"/>
                <w:szCs w:val="20"/>
              </w:rPr>
            </w:pPr>
            <w:r>
              <w:rPr>
                <w:sz w:val="20"/>
                <w:szCs w:val="20"/>
              </w:rPr>
              <w:t>1.7</w:t>
            </w:r>
          </w:p>
        </w:tc>
        <w:tc>
          <w:tcPr>
            <w:tcW w:w="1584" w:type="dxa"/>
          </w:tcPr>
          <w:p w14:paraId="54450204" w14:textId="40D66451" w:rsidR="008441F2" w:rsidRDefault="008441F2" w:rsidP="00733612">
            <w:pPr>
              <w:rPr>
                <w:sz w:val="20"/>
                <w:szCs w:val="20"/>
              </w:rPr>
            </w:pPr>
            <w:r>
              <w:rPr>
                <w:sz w:val="20"/>
                <w:szCs w:val="20"/>
              </w:rPr>
              <w:t>Tony Birrell</w:t>
            </w:r>
          </w:p>
        </w:tc>
        <w:tc>
          <w:tcPr>
            <w:tcW w:w="3239" w:type="dxa"/>
          </w:tcPr>
          <w:p w14:paraId="766B2353" w14:textId="41783ED9" w:rsidR="008441F2" w:rsidRDefault="008441F2" w:rsidP="00733612">
            <w:pPr>
              <w:rPr>
                <w:sz w:val="20"/>
                <w:szCs w:val="20"/>
              </w:rPr>
            </w:pPr>
            <w:r>
              <w:rPr>
                <w:sz w:val="20"/>
                <w:szCs w:val="20"/>
              </w:rPr>
              <w:t>Added Commodity Basis Swap normalisation</w:t>
            </w:r>
          </w:p>
        </w:tc>
      </w:tr>
      <w:tr w:rsidR="00557C94" w14:paraId="19C157F3" w14:textId="77777777" w:rsidTr="00903D74">
        <w:tc>
          <w:tcPr>
            <w:tcW w:w="1912" w:type="dxa"/>
          </w:tcPr>
          <w:p w14:paraId="32E8DD77" w14:textId="45FDC71A" w:rsidR="00557C94" w:rsidRDefault="00557C94" w:rsidP="00733612">
            <w:pPr>
              <w:rPr>
                <w:sz w:val="20"/>
                <w:szCs w:val="20"/>
              </w:rPr>
            </w:pPr>
            <w:r>
              <w:rPr>
                <w:sz w:val="20"/>
                <w:szCs w:val="20"/>
              </w:rPr>
              <w:t>09/01/2018</w:t>
            </w:r>
          </w:p>
        </w:tc>
        <w:tc>
          <w:tcPr>
            <w:tcW w:w="1456" w:type="dxa"/>
          </w:tcPr>
          <w:p w14:paraId="2A84EE08" w14:textId="33715ACF" w:rsidR="00557C94" w:rsidRDefault="00557C94" w:rsidP="00733612">
            <w:pPr>
              <w:rPr>
                <w:sz w:val="20"/>
                <w:szCs w:val="20"/>
              </w:rPr>
            </w:pPr>
            <w:r>
              <w:rPr>
                <w:sz w:val="20"/>
                <w:szCs w:val="20"/>
              </w:rPr>
              <w:t>Change</w:t>
            </w:r>
          </w:p>
        </w:tc>
        <w:tc>
          <w:tcPr>
            <w:tcW w:w="1023" w:type="dxa"/>
          </w:tcPr>
          <w:p w14:paraId="48AC6D8A" w14:textId="4642B4F0" w:rsidR="00557C94" w:rsidRDefault="00557C94" w:rsidP="00733612">
            <w:pPr>
              <w:rPr>
                <w:sz w:val="20"/>
                <w:szCs w:val="20"/>
              </w:rPr>
            </w:pPr>
            <w:r>
              <w:rPr>
                <w:sz w:val="20"/>
                <w:szCs w:val="20"/>
              </w:rPr>
              <w:t>1.8</w:t>
            </w:r>
          </w:p>
        </w:tc>
        <w:tc>
          <w:tcPr>
            <w:tcW w:w="1584" w:type="dxa"/>
          </w:tcPr>
          <w:p w14:paraId="19F32FA9" w14:textId="3EF434D6" w:rsidR="00557C94" w:rsidRDefault="00557C94" w:rsidP="00733612">
            <w:pPr>
              <w:rPr>
                <w:sz w:val="20"/>
                <w:szCs w:val="20"/>
              </w:rPr>
            </w:pPr>
            <w:r>
              <w:rPr>
                <w:sz w:val="20"/>
                <w:szCs w:val="20"/>
              </w:rPr>
              <w:t>Tony Birrell</w:t>
            </w:r>
          </w:p>
        </w:tc>
        <w:tc>
          <w:tcPr>
            <w:tcW w:w="3239" w:type="dxa"/>
          </w:tcPr>
          <w:p w14:paraId="217828C8" w14:textId="1560BD96" w:rsidR="00557C94" w:rsidRDefault="00557C94" w:rsidP="00733612">
            <w:pPr>
              <w:rPr>
                <w:sz w:val="20"/>
                <w:szCs w:val="20"/>
              </w:rPr>
            </w:pPr>
            <w:r>
              <w:rPr>
                <w:sz w:val="20"/>
                <w:szCs w:val="20"/>
              </w:rPr>
              <w:t>Added additional validations in section 8</w:t>
            </w:r>
          </w:p>
        </w:tc>
      </w:tr>
      <w:tr w:rsidR="000B697A" w14:paraId="7999FF33"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2F26C299" w14:textId="56E1C067" w:rsidR="000B697A" w:rsidRDefault="000B697A" w:rsidP="00733612">
            <w:pPr>
              <w:rPr>
                <w:sz w:val="20"/>
                <w:szCs w:val="20"/>
              </w:rPr>
            </w:pPr>
            <w:r>
              <w:rPr>
                <w:sz w:val="20"/>
                <w:szCs w:val="20"/>
              </w:rPr>
              <w:t>10/01/2018</w:t>
            </w:r>
          </w:p>
        </w:tc>
        <w:tc>
          <w:tcPr>
            <w:tcW w:w="1456" w:type="dxa"/>
          </w:tcPr>
          <w:p w14:paraId="7D043D72" w14:textId="6DAF7707" w:rsidR="000B697A" w:rsidRDefault="000B697A" w:rsidP="00733612">
            <w:pPr>
              <w:rPr>
                <w:sz w:val="20"/>
                <w:szCs w:val="20"/>
              </w:rPr>
            </w:pPr>
            <w:r>
              <w:rPr>
                <w:sz w:val="20"/>
                <w:szCs w:val="20"/>
              </w:rPr>
              <w:t>Change</w:t>
            </w:r>
          </w:p>
        </w:tc>
        <w:tc>
          <w:tcPr>
            <w:tcW w:w="1023" w:type="dxa"/>
          </w:tcPr>
          <w:p w14:paraId="26B644C3" w14:textId="73A041A8" w:rsidR="000B697A" w:rsidRDefault="000B697A" w:rsidP="00733612">
            <w:pPr>
              <w:rPr>
                <w:sz w:val="20"/>
                <w:szCs w:val="20"/>
              </w:rPr>
            </w:pPr>
            <w:r>
              <w:rPr>
                <w:sz w:val="20"/>
                <w:szCs w:val="20"/>
              </w:rPr>
              <w:t>1.9</w:t>
            </w:r>
          </w:p>
        </w:tc>
        <w:tc>
          <w:tcPr>
            <w:tcW w:w="1584" w:type="dxa"/>
          </w:tcPr>
          <w:p w14:paraId="3978BA8B" w14:textId="6DB0A07A" w:rsidR="000B697A" w:rsidRDefault="000B697A" w:rsidP="00733612">
            <w:pPr>
              <w:rPr>
                <w:sz w:val="20"/>
                <w:szCs w:val="20"/>
              </w:rPr>
            </w:pPr>
            <w:r>
              <w:rPr>
                <w:sz w:val="20"/>
                <w:szCs w:val="20"/>
              </w:rPr>
              <w:t>Tony Birrell</w:t>
            </w:r>
          </w:p>
        </w:tc>
        <w:tc>
          <w:tcPr>
            <w:tcW w:w="3239" w:type="dxa"/>
          </w:tcPr>
          <w:p w14:paraId="679927D5" w14:textId="4704C018" w:rsidR="000B697A" w:rsidRDefault="000B697A" w:rsidP="00733612">
            <w:pPr>
              <w:rPr>
                <w:sz w:val="20"/>
                <w:szCs w:val="20"/>
              </w:rPr>
            </w:pPr>
            <w:r>
              <w:rPr>
                <w:sz w:val="20"/>
                <w:szCs w:val="20"/>
              </w:rPr>
              <w:t>Added non-standard definitions to the FX normalisation</w:t>
            </w:r>
          </w:p>
        </w:tc>
      </w:tr>
      <w:tr w:rsidR="00BF09C2" w14:paraId="6DCF2497" w14:textId="77777777" w:rsidTr="00903D74">
        <w:tc>
          <w:tcPr>
            <w:tcW w:w="1912" w:type="dxa"/>
          </w:tcPr>
          <w:p w14:paraId="510C3F25" w14:textId="20F9408B" w:rsidR="00BF09C2" w:rsidRDefault="00BF09C2" w:rsidP="00733612">
            <w:pPr>
              <w:rPr>
                <w:sz w:val="20"/>
                <w:szCs w:val="20"/>
              </w:rPr>
            </w:pPr>
            <w:r>
              <w:rPr>
                <w:sz w:val="20"/>
                <w:szCs w:val="20"/>
              </w:rPr>
              <w:t>30/01/2018</w:t>
            </w:r>
          </w:p>
        </w:tc>
        <w:tc>
          <w:tcPr>
            <w:tcW w:w="1456" w:type="dxa"/>
          </w:tcPr>
          <w:p w14:paraId="5DDF4236" w14:textId="2EBDD7EA" w:rsidR="00BF09C2" w:rsidRDefault="00BF09C2" w:rsidP="00733612">
            <w:pPr>
              <w:rPr>
                <w:sz w:val="20"/>
                <w:szCs w:val="20"/>
              </w:rPr>
            </w:pPr>
            <w:r>
              <w:rPr>
                <w:sz w:val="20"/>
                <w:szCs w:val="20"/>
              </w:rPr>
              <w:t>Change</w:t>
            </w:r>
          </w:p>
        </w:tc>
        <w:tc>
          <w:tcPr>
            <w:tcW w:w="1023" w:type="dxa"/>
          </w:tcPr>
          <w:p w14:paraId="58FBEE4D" w14:textId="2859F7A0" w:rsidR="00BF09C2" w:rsidRDefault="00BF09C2" w:rsidP="00733612">
            <w:pPr>
              <w:rPr>
                <w:sz w:val="20"/>
                <w:szCs w:val="20"/>
              </w:rPr>
            </w:pPr>
            <w:r>
              <w:rPr>
                <w:sz w:val="20"/>
                <w:szCs w:val="20"/>
              </w:rPr>
              <w:t>2.0</w:t>
            </w:r>
          </w:p>
        </w:tc>
        <w:tc>
          <w:tcPr>
            <w:tcW w:w="1584" w:type="dxa"/>
          </w:tcPr>
          <w:p w14:paraId="53F1F443" w14:textId="39936BDF" w:rsidR="00BF09C2" w:rsidRDefault="00BF09C2" w:rsidP="00733612">
            <w:pPr>
              <w:rPr>
                <w:sz w:val="20"/>
                <w:szCs w:val="20"/>
              </w:rPr>
            </w:pPr>
            <w:r>
              <w:rPr>
                <w:sz w:val="20"/>
                <w:szCs w:val="20"/>
              </w:rPr>
              <w:t>Tony Birrell</w:t>
            </w:r>
          </w:p>
        </w:tc>
        <w:tc>
          <w:tcPr>
            <w:tcW w:w="3239" w:type="dxa"/>
          </w:tcPr>
          <w:p w14:paraId="04348496" w14:textId="164A7074" w:rsidR="00BF09C2" w:rsidRDefault="00BF09C2" w:rsidP="00733612">
            <w:pPr>
              <w:rPr>
                <w:sz w:val="20"/>
                <w:szCs w:val="20"/>
              </w:rPr>
            </w:pPr>
            <w:r>
              <w:rPr>
                <w:sz w:val="20"/>
                <w:szCs w:val="20"/>
              </w:rPr>
              <w:t>Added licensing Annex III</w:t>
            </w:r>
          </w:p>
        </w:tc>
      </w:tr>
      <w:tr w:rsidR="006C4DF9" w14:paraId="78DC71F5"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78902D86" w14:textId="50282EF9" w:rsidR="006C4DF9" w:rsidRDefault="006C4DF9" w:rsidP="00733612">
            <w:pPr>
              <w:rPr>
                <w:sz w:val="20"/>
                <w:szCs w:val="20"/>
              </w:rPr>
            </w:pPr>
            <w:r>
              <w:rPr>
                <w:sz w:val="20"/>
                <w:szCs w:val="20"/>
              </w:rPr>
              <w:t>23/04/2018</w:t>
            </w:r>
          </w:p>
        </w:tc>
        <w:tc>
          <w:tcPr>
            <w:tcW w:w="1456" w:type="dxa"/>
          </w:tcPr>
          <w:p w14:paraId="4E2F6B1C" w14:textId="1105691E" w:rsidR="006C4DF9" w:rsidRDefault="006C4DF9" w:rsidP="00733612">
            <w:pPr>
              <w:rPr>
                <w:sz w:val="20"/>
                <w:szCs w:val="20"/>
              </w:rPr>
            </w:pPr>
            <w:r>
              <w:rPr>
                <w:sz w:val="20"/>
                <w:szCs w:val="20"/>
              </w:rPr>
              <w:t>Change</w:t>
            </w:r>
          </w:p>
        </w:tc>
        <w:tc>
          <w:tcPr>
            <w:tcW w:w="1023" w:type="dxa"/>
          </w:tcPr>
          <w:p w14:paraId="0C2CEDB6" w14:textId="7B713AB3" w:rsidR="006C4DF9" w:rsidRDefault="006C4DF9" w:rsidP="00733612">
            <w:pPr>
              <w:rPr>
                <w:sz w:val="20"/>
                <w:szCs w:val="20"/>
              </w:rPr>
            </w:pPr>
            <w:r>
              <w:rPr>
                <w:sz w:val="20"/>
                <w:szCs w:val="20"/>
              </w:rPr>
              <w:t>2.1</w:t>
            </w:r>
          </w:p>
        </w:tc>
        <w:tc>
          <w:tcPr>
            <w:tcW w:w="1584" w:type="dxa"/>
          </w:tcPr>
          <w:p w14:paraId="32A81F1B" w14:textId="42AB38AF" w:rsidR="006C4DF9" w:rsidRDefault="006C4DF9" w:rsidP="00733612">
            <w:pPr>
              <w:rPr>
                <w:sz w:val="20"/>
                <w:szCs w:val="20"/>
              </w:rPr>
            </w:pPr>
            <w:r>
              <w:rPr>
                <w:sz w:val="20"/>
                <w:szCs w:val="20"/>
              </w:rPr>
              <w:t>Nathan Dagg</w:t>
            </w:r>
          </w:p>
        </w:tc>
        <w:tc>
          <w:tcPr>
            <w:tcW w:w="3239" w:type="dxa"/>
          </w:tcPr>
          <w:p w14:paraId="0136AC9E" w14:textId="77777777" w:rsidR="006C4DF9" w:rsidRDefault="006C4DF9" w:rsidP="006C4DF9">
            <w:pPr>
              <w:rPr>
                <w:sz w:val="20"/>
                <w:szCs w:val="20"/>
              </w:rPr>
            </w:pPr>
            <w:r>
              <w:rPr>
                <w:sz w:val="20"/>
                <w:szCs w:val="20"/>
              </w:rPr>
              <w:t>Reference Rate – Validation Section 8 - SONIA</w:t>
            </w:r>
          </w:p>
          <w:p w14:paraId="76BE2D4A" w14:textId="3EC47C70" w:rsidR="006C4DF9" w:rsidRDefault="006C4DF9" w:rsidP="00733612">
            <w:pPr>
              <w:rPr>
                <w:sz w:val="20"/>
                <w:szCs w:val="20"/>
              </w:rPr>
            </w:pPr>
            <w:r>
              <w:rPr>
                <w:sz w:val="20"/>
                <w:szCs w:val="20"/>
              </w:rPr>
              <w:t xml:space="preserve">Rates </w:t>
            </w:r>
            <w:proofErr w:type="spellStart"/>
            <w:r>
              <w:rPr>
                <w:sz w:val="20"/>
                <w:szCs w:val="20"/>
              </w:rPr>
              <w:t>CapFloor</w:t>
            </w:r>
            <w:proofErr w:type="spellEnd"/>
            <w:r>
              <w:rPr>
                <w:sz w:val="20"/>
                <w:szCs w:val="20"/>
              </w:rPr>
              <w:t xml:space="preserve"> – Validation section 8.15 – SONIA</w:t>
            </w:r>
          </w:p>
        </w:tc>
      </w:tr>
      <w:tr w:rsidR="000379F9" w14:paraId="3CA8905C" w14:textId="77777777" w:rsidTr="00903D74">
        <w:tc>
          <w:tcPr>
            <w:tcW w:w="1912" w:type="dxa"/>
          </w:tcPr>
          <w:p w14:paraId="12F482D8" w14:textId="622FBE4C" w:rsidR="000379F9" w:rsidRDefault="000379F9" w:rsidP="00733612">
            <w:pPr>
              <w:rPr>
                <w:sz w:val="20"/>
                <w:szCs w:val="20"/>
              </w:rPr>
            </w:pPr>
            <w:r>
              <w:rPr>
                <w:sz w:val="20"/>
                <w:szCs w:val="20"/>
              </w:rPr>
              <w:t>18/05/2018</w:t>
            </w:r>
          </w:p>
        </w:tc>
        <w:tc>
          <w:tcPr>
            <w:tcW w:w="1456" w:type="dxa"/>
          </w:tcPr>
          <w:p w14:paraId="494C4307" w14:textId="001273CE" w:rsidR="000379F9" w:rsidRDefault="000379F9" w:rsidP="00733612">
            <w:pPr>
              <w:rPr>
                <w:sz w:val="20"/>
                <w:szCs w:val="20"/>
              </w:rPr>
            </w:pPr>
            <w:r>
              <w:rPr>
                <w:sz w:val="20"/>
                <w:szCs w:val="20"/>
              </w:rPr>
              <w:t>Change</w:t>
            </w:r>
          </w:p>
        </w:tc>
        <w:tc>
          <w:tcPr>
            <w:tcW w:w="1023" w:type="dxa"/>
          </w:tcPr>
          <w:p w14:paraId="0DB443FB" w14:textId="5C19B113" w:rsidR="000379F9" w:rsidRDefault="000379F9" w:rsidP="00733612">
            <w:pPr>
              <w:rPr>
                <w:sz w:val="20"/>
                <w:szCs w:val="20"/>
              </w:rPr>
            </w:pPr>
            <w:r>
              <w:rPr>
                <w:sz w:val="20"/>
                <w:szCs w:val="20"/>
              </w:rPr>
              <w:t>2.2</w:t>
            </w:r>
          </w:p>
        </w:tc>
        <w:tc>
          <w:tcPr>
            <w:tcW w:w="1584" w:type="dxa"/>
          </w:tcPr>
          <w:p w14:paraId="57A09EE4" w14:textId="010D1849" w:rsidR="000379F9" w:rsidRDefault="000379F9" w:rsidP="00733612">
            <w:pPr>
              <w:rPr>
                <w:sz w:val="20"/>
                <w:szCs w:val="20"/>
              </w:rPr>
            </w:pPr>
            <w:r>
              <w:rPr>
                <w:sz w:val="20"/>
                <w:szCs w:val="20"/>
              </w:rPr>
              <w:t>Nathan Dagg</w:t>
            </w:r>
          </w:p>
        </w:tc>
        <w:tc>
          <w:tcPr>
            <w:tcW w:w="3239" w:type="dxa"/>
          </w:tcPr>
          <w:p w14:paraId="47FC7F33" w14:textId="0810E323" w:rsidR="000379F9" w:rsidRDefault="000379F9" w:rsidP="006C4DF9">
            <w:pPr>
              <w:rPr>
                <w:sz w:val="20"/>
                <w:szCs w:val="20"/>
              </w:rPr>
            </w:pPr>
            <w:r>
              <w:rPr>
                <w:sz w:val="20"/>
                <w:szCs w:val="20"/>
              </w:rPr>
              <w:t>Section 8.14 / 8.15 – SOFR validation</w:t>
            </w:r>
          </w:p>
        </w:tc>
      </w:tr>
      <w:tr w:rsidR="00405F9B" w14:paraId="7C16C445"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0E2E03FC" w14:textId="6469D3EC" w:rsidR="00405F9B" w:rsidRDefault="00405F9B" w:rsidP="00733612">
            <w:pPr>
              <w:rPr>
                <w:sz w:val="20"/>
                <w:szCs w:val="20"/>
              </w:rPr>
            </w:pPr>
            <w:r>
              <w:rPr>
                <w:sz w:val="20"/>
                <w:szCs w:val="20"/>
              </w:rPr>
              <w:lastRenderedPageBreak/>
              <w:t>06/07/2018</w:t>
            </w:r>
          </w:p>
        </w:tc>
        <w:tc>
          <w:tcPr>
            <w:tcW w:w="1456" w:type="dxa"/>
          </w:tcPr>
          <w:p w14:paraId="165B93A5" w14:textId="4CEEAAF0" w:rsidR="00405F9B" w:rsidRDefault="00405F9B" w:rsidP="00733612">
            <w:pPr>
              <w:rPr>
                <w:sz w:val="20"/>
                <w:szCs w:val="20"/>
              </w:rPr>
            </w:pPr>
            <w:r>
              <w:rPr>
                <w:sz w:val="20"/>
                <w:szCs w:val="20"/>
              </w:rPr>
              <w:t>Change</w:t>
            </w:r>
          </w:p>
        </w:tc>
        <w:tc>
          <w:tcPr>
            <w:tcW w:w="1023" w:type="dxa"/>
          </w:tcPr>
          <w:p w14:paraId="523BE427" w14:textId="0CE6359D" w:rsidR="00405F9B" w:rsidRDefault="00405F9B" w:rsidP="00733612">
            <w:pPr>
              <w:rPr>
                <w:sz w:val="20"/>
                <w:szCs w:val="20"/>
              </w:rPr>
            </w:pPr>
            <w:r>
              <w:rPr>
                <w:sz w:val="20"/>
                <w:szCs w:val="20"/>
              </w:rPr>
              <w:t>2.3</w:t>
            </w:r>
          </w:p>
        </w:tc>
        <w:tc>
          <w:tcPr>
            <w:tcW w:w="1584" w:type="dxa"/>
          </w:tcPr>
          <w:p w14:paraId="5EAC8362" w14:textId="75A653D8" w:rsidR="00405F9B" w:rsidRDefault="00405F9B" w:rsidP="00733612">
            <w:pPr>
              <w:rPr>
                <w:sz w:val="20"/>
                <w:szCs w:val="20"/>
              </w:rPr>
            </w:pPr>
            <w:r>
              <w:rPr>
                <w:sz w:val="20"/>
                <w:szCs w:val="20"/>
              </w:rPr>
              <w:t>Nathan Dagg</w:t>
            </w:r>
          </w:p>
        </w:tc>
        <w:tc>
          <w:tcPr>
            <w:tcW w:w="3239" w:type="dxa"/>
          </w:tcPr>
          <w:p w14:paraId="67822437" w14:textId="77777777" w:rsidR="00405F9B" w:rsidRDefault="00405F9B" w:rsidP="00405F9B">
            <w:pPr>
              <w:rPr>
                <w:sz w:val="20"/>
                <w:szCs w:val="20"/>
              </w:rPr>
            </w:pPr>
            <w:r>
              <w:rPr>
                <w:sz w:val="20"/>
                <w:szCs w:val="20"/>
              </w:rPr>
              <w:t>Section 8.16 – Removal of VES</w:t>
            </w:r>
          </w:p>
          <w:p w14:paraId="1B3930ED" w14:textId="06B44E97" w:rsidR="00405F9B" w:rsidRDefault="00405F9B" w:rsidP="00405F9B">
            <w:pPr>
              <w:rPr>
                <w:sz w:val="20"/>
                <w:szCs w:val="20"/>
              </w:rPr>
            </w:pPr>
            <w:r>
              <w:rPr>
                <w:sz w:val="20"/>
                <w:szCs w:val="20"/>
              </w:rPr>
              <w:t>Addition of STN and MRU</w:t>
            </w:r>
          </w:p>
        </w:tc>
      </w:tr>
      <w:tr w:rsidR="002D325D" w14:paraId="51D66125" w14:textId="77777777" w:rsidTr="00903D74">
        <w:tc>
          <w:tcPr>
            <w:tcW w:w="1912" w:type="dxa"/>
          </w:tcPr>
          <w:p w14:paraId="13B60D4C" w14:textId="7575073F" w:rsidR="002D325D" w:rsidRDefault="002D325D" w:rsidP="00733612">
            <w:pPr>
              <w:rPr>
                <w:sz w:val="20"/>
                <w:szCs w:val="20"/>
              </w:rPr>
            </w:pPr>
            <w:r>
              <w:rPr>
                <w:sz w:val="20"/>
                <w:szCs w:val="20"/>
              </w:rPr>
              <w:t>23/08/2018</w:t>
            </w:r>
          </w:p>
        </w:tc>
        <w:tc>
          <w:tcPr>
            <w:tcW w:w="1456" w:type="dxa"/>
          </w:tcPr>
          <w:p w14:paraId="4A28E61D" w14:textId="75F7BEBF" w:rsidR="002D325D" w:rsidRDefault="002D325D" w:rsidP="00733612">
            <w:pPr>
              <w:rPr>
                <w:sz w:val="20"/>
                <w:szCs w:val="20"/>
              </w:rPr>
            </w:pPr>
            <w:r>
              <w:rPr>
                <w:sz w:val="20"/>
                <w:szCs w:val="20"/>
              </w:rPr>
              <w:t>Change</w:t>
            </w:r>
          </w:p>
        </w:tc>
        <w:tc>
          <w:tcPr>
            <w:tcW w:w="1023" w:type="dxa"/>
          </w:tcPr>
          <w:p w14:paraId="1E10C7A5" w14:textId="47BDAD32" w:rsidR="002D325D" w:rsidRDefault="002D325D" w:rsidP="00733612">
            <w:pPr>
              <w:rPr>
                <w:sz w:val="20"/>
                <w:szCs w:val="20"/>
              </w:rPr>
            </w:pPr>
            <w:r>
              <w:rPr>
                <w:sz w:val="20"/>
                <w:szCs w:val="20"/>
              </w:rPr>
              <w:t>2.4</w:t>
            </w:r>
          </w:p>
        </w:tc>
        <w:tc>
          <w:tcPr>
            <w:tcW w:w="1584" w:type="dxa"/>
          </w:tcPr>
          <w:p w14:paraId="04C7C802" w14:textId="16DAEC0F" w:rsidR="002D325D" w:rsidRDefault="002D325D" w:rsidP="00733612">
            <w:pPr>
              <w:rPr>
                <w:sz w:val="20"/>
                <w:szCs w:val="20"/>
              </w:rPr>
            </w:pPr>
            <w:r>
              <w:rPr>
                <w:sz w:val="20"/>
                <w:szCs w:val="20"/>
              </w:rPr>
              <w:t>Nathan Dagg</w:t>
            </w:r>
          </w:p>
        </w:tc>
        <w:tc>
          <w:tcPr>
            <w:tcW w:w="3239" w:type="dxa"/>
          </w:tcPr>
          <w:p w14:paraId="7F5097A4" w14:textId="7B7552CB" w:rsidR="002D325D" w:rsidRDefault="002D325D" w:rsidP="00405F9B">
            <w:pPr>
              <w:rPr>
                <w:sz w:val="20"/>
                <w:szCs w:val="20"/>
              </w:rPr>
            </w:pPr>
            <w:r>
              <w:rPr>
                <w:sz w:val="20"/>
                <w:szCs w:val="20"/>
              </w:rPr>
              <w:t>Section 8.16 – Addition of VES</w:t>
            </w:r>
          </w:p>
        </w:tc>
      </w:tr>
      <w:tr w:rsidR="00903D74" w14:paraId="20C0C6BA" w14:textId="77777777" w:rsidTr="00903D74">
        <w:trPr>
          <w:cnfStyle w:val="000000100000" w:firstRow="0" w:lastRow="0" w:firstColumn="0" w:lastColumn="0" w:oddVBand="0" w:evenVBand="0" w:oddHBand="1" w:evenHBand="0" w:firstRowFirstColumn="0" w:firstRowLastColumn="0" w:lastRowFirstColumn="0" w:lastRowLastColumn="0"/>
        </w:trPr>
        <w:tc>
          <w:tcPr>
            <w:tcW w:w="1912" w:type="dxa"/>
          </w:tcPr>
          <w:p w14:paraId="1A5D4F6E" w14:textId="77777777" w:rsidR="00903D74" w:rsidRDefault="00903D74" w:rsidP="00207326">
            <w:pPr>
              <w:rPr>
                <w:sz w:val="20"/>
                <w:szCs w:val="20"/>
              </w:rPr>
            </w:pPr>
            <w:r>
              <w:rPr>
                <w:sz w:val="20"/>
                <w:szCs w:val="20"/>
              </w:rPr>
              <w:t>27/08/2018</w:t>
            </w:r>
          </w:p>
        </w:tc>
        <w:tc>
          <w:tcPr>
            <w:tcW w:w="1456" w:type="dxa"/>
          </w:tcPr>
          <w:p w14:paraId="08BCEAAF" w14:textId="77777777" w:rsidR="00903D74" w:rsidRDefault="00903D74" w:rsidP="00207326">
            <w:pPr>
              <w:rPr>
                <w:sz w:val="20"/>
                <w:szCs w:val="20"/>
              </w:rPr>
            </w:pPr>
            <w:r>
              <w:rPr>
                <w:sz w:val="20"/>
                <w:szCs w:val="20"/>
              </w:rPr>
              <w:t>Change</w:t>
            </w:r>
          </w:p>
        </w:tc>
        <w:tc>
          <w:tcPr>
            <w:tcW w:w="1023" w:type="dxa"/>
          </w:tcPr>
          <w:p w14:paraId="5283E622" w14:textId="77777777" w:rsidR="00903D74" w:rsidRDefault="00903D74" w:rsidP="00207326">
            <w:pPr>
              <w:rPr>
                <w:sz w:val="20"/>
                <w:szCs w:val="20"/>
              </w:rPr>
            </w:pPr>
            <w:r>
              <w:rPr>
                <w:sz w:val="20"/>
                <w:szCs w:val="20"/>
              </w:rPr>
              <w:t>2.5</w:t>
            </w:r>
          </w:p>
        </w:tc>
        <w:tc>
          <w:tcPr>
            <w:tcW w:w="1584" w:type="dxa"/>
          </w:tcPr>
          <w:p w14:paraId="292086C9" w14:textId="77777777" w:rsidR="00903D74" w:rsidRDefault="00903D74" w:rsidP="00207326">
            <w:pPr>
              <w:rPr>
                <w:sz w:val="20"/>
                <w:szCs w:val="20"/>
              </w:rPr>
            </w:pPr>
            <w:r>
              <w:rPr>
                <w:sz w:val="20"/>
                <w:szCs w:val="20"/>
              </w:rPr>
              <w:t>Simon Wiltshire</w:t>
            </w:r>
          </w:p>
        </w:tc>
        <w:tc>
          <w:tcPr>
            <w:tcW w:w="3239" w:type="dxa"/>
          </w:tcPr>
          <w:p w14:paraId="5FDF9E17" w14:textId="77777777" w:rsidR="00903D74" w:rsidRDefault="00903D74" w:rsidP="00207326">
            <w:pPr>
              <w:rPr>
                <w:sz w:val="20"/>
                <w:szCs w:val="20"/>
              </w:rPr>
            </w:pPr>
            <w:r>
              <w:rPr>
                <w:sz w:val="20"/>
                <w:szCs w:val="20"/>
              </w:rPr>
              <w:t>Section 7.8 and Section 8.17 - C</w:t>
            </w:r>
            <w:r w:rsidRPr="00D0135F">
              <w:rPr>
                <w:sz w:val="20"/>
                <w:szCs w:val="20"/>
              </w:rPr>
              <w:t>ommodities - Multi-Exotic Swap, Option or Forward Underlying Assets</w:t>
            </w:r>
          </w:p>
        </w:tc>
      </w:tr>
      <w:tr w:rsidR="00903D74" w14:paraId="5929242A" w14:textId="77777777" w:rsidTr="00903D74">
        <w:tc>
          <w:tcPr>
            <w:tcW w:w="1912" w:type="dxa"/>
          </w:tcPr>
          <w:p w14:paraId="29420E08" w14:textId="371D0560" w:rsidR="00903D74" w:rsidRDefault="00903D74" w:rsidP="00733612">
            <w:pPr>
              <w:rPr>
                <w:sz w:val="20"/>
                <w:szCs w:val="20"/>
              </w:rPr>
            </w:pPr>
            <w:r>
              <w:rPr>
                <w:sz w:val="20"/>
                <w:szCs w:val="20"/>
              </w:rPr>
              <w:t>15/10/2018</w:t>
            </w:r>
          </w:p>
        </w:tc>
        <w:tc>
          <w:tcPr>
            <w:tcW w:w="1456" w:type="dxa"/>
          </w:tcPr>
          <w:p w14:paraId="662123DE" w14:textId="345FC13B" w:rsidR="00903D74" w:rsidRDefault="00903D74" w:rsidP="00733612">
            <w:pPr>
              <w:rPr>
                <w:sz w:val="20"/>
                <w:szCs w:val="20"/>
              </w:rPr>
            </w:pPr>
            <w:r>
              <w:rPr>
                <w:sz w:val="20"/>
                <w:szCs w:val="20"/>
              </w:rPr>
              <w:t>Change</w:t>
            </w:r>
          </w:p>
        </w:tc>
        <w:tc>
          <w:tcPr>
            <w:tcW w:w="1023" w:type="dxa"/>
          </w:tcPr>
          <w:p w14:paraId="2069E91F" w14:textId="0717E8DB" w:rsidR="00903D74" w:rsidRDefault="00903D74" w:rsidP="00733612">
            <w:pPr>
              <w:rPr>
                <w:sz w:val="20"/>
                <w:szCs w:val="20"/>
              </w:rPr>
            </w:pPr>
            <w:r>
              <w:rPr>
                <w:sz w:val="20"/>
                <w:szCs w:val="20"/>
              </w:rPr>
              <w:t>2.6</w:t>
            </w:r>
          </w:p>
        </w:tc>
        <w:tc>
          <w:tcPr>
            <w:tcW w:w="1584" w:type="dxa"/>
          </w:tcPr>
          <w:p w14:paraId="1A210C34" w14:textId="64A998FC" w:rsidR="00903D74" w:rsidRDefault="00903D74" w:rsidP="00733612">
            <w:pPr>
              <w:rPr>
                <w:sz w:val="20"/>
                <w:szCs w:val="20"/>
              </w:rPr>
            </w:pPr>
            <w:r>
              <w:rPr>
                <w:sz w:val="20"/>
                <w:szCs w:val="20"/>
              </w:rPr>
              <w:t>Simon Wiltshire</w:t>
            </w:r>
          </w:p>
        </w:tc>
        <w:tc>
          <w:tcPr>
            <w:tcW w:w="3239" w:type="dxa"/>
          </w:tcPr>
          <w:p w14:paraId="00DDD460" w14:textId="789A17E0" w:rsidR="00903D74" w:rsidRDefault="00903D74" w:rsidP="00405F9B">
            <w:pPr>
              <w:rPr>
                <w:sz w:val="20"/>
                <w:szCs w:val="20"/>
              </w:rPr>
            </w:pPr>
            <w:r>
              <w:rPr>
                <w:sz w:val="20"/>
                <w:szCs w:val="20"/>
              </w:rPr>
              <w:t>Section 7.5</w:t>
            </w:r>
            <w:r>
              <w:rPr>
                <w:sz w:val="20"/>
                <w:szCs w:val="20"/>
              </w:rPr>
              <w:t xml:space="preserve"> and </w:t>
            </w:r>
            <w:r>
              <w:rPr>
                <w:sz w:val="20"/>
                <w:szCs w:val="20"/>
              </w:rPr>
              <w:t>Section 8.4</w:t>
            </w:r>
            <w:r>
              <w:rPr>
                <w:sz w:val="20"/>
                <w:szCs w:val="20"/>
              </w:rPr>
              <w:t xml:space="preserve"> </w:t>
            </w:r>
            <w:r>
              <w:rPr>
                <w:sz w:val="20"/>
                <w:szCs w:val="20"/>
              </w:rPr>
              <w:t>–</w:t>
            </w:r>
            <w:r>
              <w:rPr>
                <w:sz w:val="20"/>
                <w:szCs w:val="20"/>
              </w:rPr>
              <w:t xml:space="preserve"> </w:t>
            </w:r>
            <w:r>
              <w:rPr>
                <w:sz w:val="20"/>
                <w:szCs w:val="20"/>
              </w:rPr>
              <w:t>Non-Deliverable FX Swap template</w:t>
            </w:r>
          </w:p>
        </w:tc>
      </w:tr>
    </w:tbl>
    <w:p w14:paraId="4755AA56" w14:textId="77777777" w:rsidR="0071330A" w:rsidRPr="0071330A" w:rsidRDefault="0071330A" w:rsidP="0071330A"/>
    <w:p w14:paraId="3C22D99C" w14:textId="4A92D739" w:rsidR="00903D74" w:rsidRDefault="00903D74">
      <w:r>
        <w:br w:type="page"/>
      </w:r>
    </w:p>
    <w:p w14:paraId="28DAE254" w14:textId="26D188CD" w:rsidR="000225A3" w:rsidRDefault="003260A8" w:rsidP="000225A3">
      <w:pPr>
        <w:pStyle w:val="Heading1"/>
      </w:pPr>
      <w:bookmarkStart w:id="2" w:name="_Toc527364470"/>
      <w:r>
        <w:lastRenderedPageBreak/>
        <w:t>Introduction</w:t>
      </w:r>
      <w:bookmarkEnd w:id="2"/>
    </w:p>
    <w:p w14:paraId="70297572" w14:textId="72CF8340" w:rsidR="000225A3" w:rsidRDefault="000225A3" w:rsidP="000225A3"/>
    <w:p w14:paraId="1DEB23BD" w14:textId="17998B5C" w:rsidR="009B5520" w:rsidRDefault="009B5520" w:rsidP="00E01C95">
      <w:pPr>
        <w:pStyle w:val="ListParagraph"/>
        <w:numPr>
          <w:ilvl w:val="0"/>
          <w:numId w:val="6"/>
        </w:numPr>
        <w:spacing w:line="360" w:lineRule="auto"/>
        <w:ind w:left="714" w:hanging="357"/>
      </w:pPr>
      <w:r>
        <w:t xml:space="preserve">This document </w:t>
      </w:r>
      <w:r w:rsidR="00C15856">
        <w:t xml:space="preserve">and the accompanying annexes are designed to act as a manual for users to interpret and utilize the </w:t>
      </w:r>
      <w:r w:rsidR="00276804">
        <w:t xml:space="preserve">provisional </w:t>
      </w:r>
      <w:r w:rsidR="008458A1">
        <w:t>P</w:t>
      </w:r>
      <w:r w:rsidR="00C15856">
        <w:t xml:space="preserve">roduct </w:t>
      </w:r>
      <w:r w:rsidR="008458A1">
        <w:t>Definitions</w:t>
      </w:r>
      <w:r w:rsidR="00C15856">
        <w:t xml:space="preserve"> in the D</w:t>
      </w:r>
      <w:r w:rsidR="003260A8">
        <w:t xml:space="preserve">erivatives </w:t>
      </w:r>
      <w:r w:rsidR="00C15856">
        <w:t>S</w:t>
      </w:r>
      <w:r w:rsidR="003260A8">
        <w:t xml:space="preserve">ervice </w:t>
      </w:r>
      <w:r w:rsidR="00C15856">
        <w:t>B</w:t>
      </w:r>
      <w:r w:rsidR="003260A8">
        <w:t>ureau (DSB)</w:t>
      </w:r>
      <w:r w:rsidR="00C15856">
        <w:t xml:space="preserve"> </w:t>
      </w:r>
      <w:r w:rsidR="00D33B69">
        <w:t>PROD</w:t>
      </w:r>
      <w:r w:rsidR="00C15856">
        <w:t xml:space="preserve"> environment</w:t>
      </w:r>
    </w:p>
    <w:p w14:paraId="073C6561" w14:textId="6069F7EB" w:rsidR="00C15856" w:rsidRDefault="00C15856" w:rsidP="00E01C95">
      <w:pPr>
        <w:pStyle w:val="ListParagraph"/>
        <w:numPr>
          <w:ilvl w:val="0"/>
          <w:numId w:val="6"/>
        </w:numPr>
        <w:spacing w:line="360" w:lineRule="auto"/>
        <w:ind w:left="714" w:hanging="357"/>
      </w:pPr>
      <w:r>
        <w:t xml:space="preserve">This document provides the </w:t>
      </w:r>
      <w:r w:rsidR="00114476">
        <w:t xml:space="preserve">user with a description of the </w:t>
      </w:r>
      <w:r w:rsidR="008458A1">
        <w:t>Product Definition</w:t>
      </w:r>
      <w:r w:rsidR="00114476">
        <w:t xml:space="preserve"> content, product sequencing, attribute enumerations </w:t>
      </w:r>
      <w:r w:rsidR="003A1574">
        <w:t>and</w:t>
      </w:r>
      <w:r w:rsidR="00114476">
        <w:t xml:space="preserve"> validation</w:t>
      </w:r>
      <w:r w:rsidR="003A1574">
        <w:t>, where applicable</w:t>
      </w:r>
    </w:p>
    <w:p w14:paraId="133218F6" w14:textId="4DE21FA3" w:rsidR="00114476" w:rsidRDefault="00114476" w:rsidP="00E01C95">
      <w:pPr>
        <w:pStyle w:val="ListParagraph"/>
        <w:numPr>
          <w:ilvl w:val="0"/>
          <w:numId w:val="6"/>
        </w:numPr>
        <w:spacing w:line="360" w:lineRule="auto"/>
        <w:ind w:left="714" w:hanging="357"/>
      </w:pPr>
      <w:r>
        <w:t xml:space="preserve">The accompanying </w:t>
      </w:r>
      <w:r w:rsidR="009854F4">
        <w:t>a</w:t>
      </w:r>
      <w:r>
        <w:t xml:space="preserve">sset class annexes will provide </w:t>
      </w:r>
      <w:r w:rsidR="00557F3C">
        <w:t xml:space="preserve">all the </w:t>
      </w:r>
      <w:r w:rsidR="008458A1">
        <w:t>Product Definitions with</w:t>
      </w:r>
      <w:r w:rsidR="00557F3C">
        <w:t>in an asset class and the</w:t>
      </w:r>
      <w:r>
        <w:t xml:space="preserve"> specif</w:t>
      </w:r>
      <w:r w:rsidR="000C4B76">
        <w:t>i</w:t>
      </w:r>
      <w:r w:rsidR="00557F3C">
        <w:t>c</w:t>
      </w:r>
      <w:r>
        <w:t xml:space="preserve"> attributes that comprise </w:t>
      </w:r>
      <w:r w:rsidR="00557F3C">
        <w:t xml:space="preserve">each </w:t>
      </w:r>
      <w:r w:rsidR="000574D8">
        <w:t>definition</w:t>
      </w:r>
    </w:p>
    <w:p w14:paraId="209AEA26" w14:textId="5FC1809E" w:rsidR="00465AD7" w:rsidRDefault="00465AD7" w:rsidP="00E01C95">
      <w:pPr>
        <w:pStyle w:val="ListParagraph"/>
        <w:numPr>
          <w:ilvl w:val="0"/>
          <w:numId w:val="6"/>
        </w:numPr>
        <w:spacing w:line="360" w:lineRule="auto"/>
        <w:ind w:left="714" w:hanging="357"/>
      </w:pPr>
      <w:r>
        <w:t xml:space="preserve">The appendix specifies the </w:t>
      </w:r>
      <w:r w:rsidR="00AC2463">
        <w:t xml:space="preserve">normalization </w:t>
      </w:r>
      <w:r>
        <w:t xml:space="preserve">approach the DSB is employing </w:t>
      </w:r>
      <w:r w:rsidR="00AC2463">
        <w:t>within the ISIN engine</w:t>
      </w:r>
    </w:p>
    <w:p w14:paraId="13BD7B61" w14:textId="2F854D82" w:rsidR="00114476" w:rsidRDefault="00114476" w:rsidP="00E01C95">
      <w:pPr>
        <w:pStyle w:val="ListParagraph"/>
        <w:numPr>
          <w:ilvl w:val="0"/>
          <w:numId w:val="6"/>
        </w:numPr>
        <w:spacing w:line="360" w:lineRule="auto"/>
        <w:ind w:left="714" w:hanging="357"/>
      </w:pPr>
      <w:r>
        <w:t>Any feedback or queries in relat</w:t>
      </w:r>
      <w:r w:rsidR="000C4B76">
        <w:t>ion</w:t>
      </w:r>
      <w:r>
        <w:t xml:space="preserve"> to </w:t>
      </w:r>
      <w:r w:rsidR="008458A1">
        <w:t>Product Definition</w:t>
      </w:r>
      <w:r>
        <w:t xml:space="preserve"> design or </w:t>
      </w:r>
      <w:r w:rsidR="00E17500">
        <w:t>PROD</w:t>
      </w:r>
      <w:r>
        <w:t xml:space="preserve"> functionality should be directed to </w:t>
      </w:r>
      <w:hyperlink r:id="rId12" w:history="1">
        <w:r w:rsidR="00E67501" w:rsidRPr="00704BBD">
          <w:rPr>
            <w:rStyle w:val="Hyperlink"/>
          </w:rPr>
          <w:t>secretariat@ANNA-DSB.com</w:t>
        </w:r>
      </w:hyperlink>
    </w:p>
    <w:p w14:paraId="354127B9" w14:textId="77777777" w:rsidR="00114476" w:rsidRPr="00C90687" w:rsidRDefault="00114476" w:rsidP="00114476">
      <w:pPr>
        <w:pStyle w:val="ListParagraph"/>
      </w:pPr>
    </w:p>
    <w:p w14:paraId="794FE127" w14:textId="77777777" w:rsidR="000225A3" w:rsidRPr="000225A3" w:rsidRDefault="000225A3" w:rsidP="000225A3">
      <w:r w:rsidRPr="000225A3">
        <w:rPr>
          <w:highlight w:val="lightGray"/>
        </w:rPr>
        <w:br w:type="page"/>
      </w:r>
    </w:p>
    <w:sdt>
      <w:sdtPr>
        <w:rPr>
          <w:rFonts w:asciiTheme="minorHAnsi" w:eastAsiaTheme="minorHAnsi" w:hAnsiTheme="minorHAnsi" w:cstheme="minorBidi"/>
          <w:color w:val="auto"/>
          <w:sz w:val="22"/>
          <w:szCs w:val="22"/>
          <w:lang w:val="en-GB"/>
        </w:rPr>
        <w:id w:val="528141757"/>
        <w:docPartObj>
          <w:docPartGallery w:val="Table of Contents"/>
          <w:docPartUnique/>
        </w:docPartObj>
      </w:sdtPr>
      <w:sdtEndPr>
        <w:rPr>
          <w:b/>
          <w:bCs/>
          <w:noProof/>
          <w:lang w:val="en-US"/>
        </w:rPr>
      </w:sdtEndPr>
      <w:sdtContent>
        <w:p w14:paraId="4C24D501" w14:textId="77777777" w:rsidR="00D16C68" w:rsidRDefault="00D16C68" w:rsidP="00D16C68">
          <w:pPr>
            <w:pStyle w:val="TOCHeading"/>
          </w:pPr>
          <w:r>
            <w:t>Contents</w:t>
          </w:r>
        </w:p>
        <w:bookmarkStart w:id="3" w:name="_GoBack"/>
        <w:bookmarkEnd w:id="3"/>
        <w:p w14:paraId="172F5CC2" w14:textId="78DF1761" w:rsidR="00903D74" w:rsidRDefault="00D16C6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7364468" w:history="1">
            <w:r w:rsidR="00903D74" w:rsidRPr="00D00DD8">
              <w:rPr>
                <w:rStyle w:val="Hyperlink"/>
                <w:noProof/>
              </w:rPr>
              <w:t>Preface</w:t>
            </w:r>
            <w:r w:rsidR="00903D74">
              <w:rPr>
                <w:noProof/>
                <w:webHidden/>
              </w:rPr>
              <w:tab/>
            </w:r>
            <w:r w:rsidR="00903D74">
              <w:rPr>
                <w:noProof/>
                <w:webHidden/>
              </w:rPr>
              <w:fldChar w:fldCharType="begin"/>
            </w:r>
            <w:r w:rsidR="00903D74">
              <w:rPr>
                <w:noProof/>
                <w:webHidden/>
              </w:rPr>
              <w:instrText xml:space="preserve"> PAGEREF _Toc527364468 \h </w:instrText>
            </w:r>
            <w:r w:rsidR="00903D74">
              <w:rPr>
                <w:noProof/>
                <w:webHidden/>
              </w:rPr>
            </w:r>
            <w:r w:rsidR="00903D74">
              <w:rPr>
                <w:noProof/>
                <w:webHidden/>
              </w:rPr>
              <w:fldChar w:fldCharType="separate"/>
            </w:r>
            <w:r w:rsidR="00903D74">
              <w:rPr>
                <w:noProof/>
                <w:webHidden/>
              </w:rPr>
              <w:t>2</w:t>
            </w:r>
            <w:r w:rsidR="00903D74">
              <w:rPr>
                <w:noProof/>
                <w:webHidden/>
              </w:rPr>
              <w:fldChar w:fldCharType="end"/>
            </w:r>
          </w:hyperlink>
        </w:p>
        <w:p w14:paraId="0F064B6E" w14:textId="4E8F7B6F" w:rsidR="00903D74" w:rsidRDefault="00903D74">
          <w:pPr>
            <w:pStyle w:val="TOC2"/>
            <w:rPr>
              <w:rFonts w:eastAsiaTheme="minorEastAsia"/>
              <w:noProof/>
              <w:lang w:eastAsia="en-GB"/>
            </w:rPr>
          </w:pPr>
          <w:hyperlink w:anchor="_Toc527364469" w:history="1">
            <w:r w:rsidRPr="00D00DD8">
              <w:rPr>
                <w:rStyle w:val="Hyperlink"/>
                <w:noProof/>
              </w:rPr>
              <w:t>Change History</w:t>
            </w:r>
            <w:r>
              <w:rPr>
                <w:noProof/>
                <w:webHidden/>
              </w:rPr>
              <w:tab/>
            </w:r>
            <w:r>
              <w:rPr>
                <w:noProof/>
                <w:webHidden/>
              </w:rPr>
              <w:fldChar w:fldCharType="begin"/>
            </w:r>
            <w:r>
              <w:rPr>
                <w:noProof/>
                <w:webHidden/>
              </w:rPr>
              <w:instrText xml:space="preserve"> PAGEREF _Toc527364469 \h </w:instrText>
            </w:r>
            <w:r>
              <w:rPr>
                <w:noProof/>
                <w:webHidden/>
              </w:rPr>
            </w:r>
            <w:r>
              <w:rPr>
                <w:noProof/>
                <w:webHidden/>
              </w:rPr>
              <w:fldChar w:fldCharType="separate"/>
            </w:r>
            <w:r>
              <w:rPr>
                <w:noProof/>
                <w:webHidden/>
              </w:rPr>
              <w:t>2</w:t>
            </w:r>
            <w:r>
              <w:rPr>
                <w:noProof/>
                <w:webHidden/>
              </w:rPr>
              <w:fldChar w:fldCharType="end"/>
            </w:r>
          </w:hyperlink>
        </w:p>
        <w:p w14:paraId="7F888357" w14:textId="6F5800B8" w:rsidR="00903D74" w:rsidRDefault="00903D74">
          <w:pPr>
            <w:pStyle w:val="TOC1"/>
            <w:tabs>
              <w:tab w:val="left" w:pos="440"/>
              <w:tab w:val="right" w:leader="dot" w:pos="9016"/>
            </w:tabs>
            <w:rPr>
              <w:rFonts w:eastAsiaTheme="minorEastAsia"/>
              <w:noProof/>
              <w:lang w:eastAsia="en-GB"/>
            </w:rPr>
          </w:pPr>
          <w:hyperlink w:anchor="_Toc527364470" w:history="1">
            <w:r w:rsidRPr="00D00DD8">
              <w:rPr>
                <w:rStyle w:val="Hyperlink"/>
                <w:noProof/>
              </w:rPr>
              <w:t>1</w:t>
            </w:r>
            <w:r>
              <w:rPr>
                <w:rFonts w:eastAsiaTheme="minorEastAsia"/>
                <w:noProof/>
                <w:lang w:eastAsia="en-GB"/>
              </w:rPr>
              <w:tab/>
            </w:r>
            <w:r w:rsidRPr="00D00DD8">
              <w:rPr>
                <w:rStyle w:val="Hyperlink"/>
                <w:noProof/>
              </w:rPr>
              <w:t>Introduction</w:t>
            </w:r>
            <w:r>
              <w:rPr>
                <w:noProof/>
                <w:webHidden/>
              </w:rPr>
              <w:tab/>
            </w:r>
            <w:r>
              <w:rPr>
                <w:noProof/>
                <w:webHidden/>
              </w:rPr>
              <w:fldChar w:fldCharType="begin"/>
            </w:r>
            <w:r>
              <w:rPr>
                <w:noProof/>
                <w:webHidden/>
              </w:rPr>
              <w:instrText xml:space="preserve"> PAGEREF _Toc527364470 \h </w:instrText>
            </w:r>
            <w:r>
              <w:rPr>
                <w:noProof/>
                <w:webHidden/>
              </w:rPr>
            </w:r>
            <w:r>
              <w:rPr>
                <w:noProof/>
                <w:webHidden/>
              </w:rPr>
              <w:fldChar w:fldCharType="separate"/>
            </w:r>
            <w:r>
              <w:rPr>
                <w:noProof/>
                <w:webHidden/>
              </w:rPr>
              <w:t>4</w:t>
            </w:r>
            <w:r>
              <w:rPr>
                <w:noProof/>
                <w:webHidden/>
              </w:rPr>
              <w:fldChar w:fldCharType="end"/>
            </w:r>
          </w:hyperlink>
        </w:p>
        <w:p w14:paraId="33238C47" w14:textId="642315D5" w:rsidR="00903D74" w:rsidRDefault="00903D74">
          <w:pPr>
            <w:pStyle w:val="TOC1"/>
            <w:tabs>
              <w:tab w:val="left" w:pos="440"/>
              <w:tab w:val="right" w:leader="dot" w:pos="9016"/>
            </w:tabs>
            <w:rPr>
              <w:rFonts w:eastAsiaTheme="minorEastAsia"/>
              <w:noProof/>
              <w:lang w:eastAsia="en-GB"/>
            </w:rPr>
          </w:pPr>
          <w:hyperlink w:anchor="_Toc527364471" w:history="1">
            <w:r w:rsidRPr="00D00DD8">
              <w:rPr>
                <w:rStyle w:val="Hyperlink"/>
                <w:noProof/>
              </w:rPr>
              <w:t>2</w:t>
            </w:r>
            <w:r>
              <w:rPr>
                <w:rFonts w:eastAsiaTheme="minorEastAsia"/>
                <w:noProof/>
                <w:lang w:eastAsia="en-GB"/>
              </w:rPr>
              <w:tab/>
            </w:r>
            <w:r w:rsidRPr="00D00DD8">
              <w:rPr>
                <w:rStyle w:val="Hyperlink"/>
                <w:noProof/>
              </w:rPr>
              <w:t>Organization of this report</w:t>
            </w:r>
            <w:r>
              <w:rPr>
                <w:noProof/>
                <w:webHidden/>
              </w:rPr>
              <w:tab/>
            </w:r>
            <w:r>
              <w:rPr>
                <w:noProof/>
                <w:webHidden/>
              </w:rPr>
              <w:fldChar w:fldCharType="begin"/>
            </w:r>
            <w:r>
              <w:rPr>
                <w:noProof/>
                <w:webHidden/>
              </w:rPr>
              <w:instrText xml:space="preserve"> PAGEREF _Toc527364471 \h </w:instrText>
            </w:r>
            <w:r>
              <w:rPr>
                <w:noProof/>
                <w:webHidden/>
              </w:rPr>
            </w:r>
            <w:r>
              <w:rPr>
                <w:noProof/>
                <w:webHidden/>
              </w:rPr>
              <w:fldChar w:fldCharType="separate"/>
            </w:r>
            <w:r>
              <w:rPr>
                <w:noProof/>
                <w:webHidden/>
              </w:rPr>
              <w:t>7</w:t>
            </w:r>
            <w:r>
              <w:rPr>
                <w:noProof/>
                <w:webHidden/>
              </w:rPr>
              <w:fldChar w:fldCharType="end"/>
            </w:r>
          </w:hyperlink>
        </w:p>
        <w:p w14:paraId="75C95A61" w14:textId="34171214" w:rsidR="00903D74" w:rsidRDefault="00903D74">
          <w:pPr>
            <w:pStyle w:val="TOC1"/>
            <w:tabs>
              <w:tab w:val="left" w:pos="440"/>
              <w:tab w:val="right" w:leader="dot" w:pos="9016"/>
            </w:tabs>
            <w:rPr>
              <w:rFonts w:eastAsiaTheme="minorEastAsia"/>
              <w:noProof/>
              <w:lang w:eastAsia="en-GB"/>
            </w:rPr>
          </w:pPr>
          <w:hyperlink w:anchor="_Toc527364472" w:history="1">
            <w:r w:rsidRPr="00D00DD8">
              <w:rPr>
                <w:rStyle w:val="Hyperlink"/>
                <w:noProof/>
              </w:rPr>
              <w:t>3</w:t>
            </w:r>
            <w:r>
              <w:rPr>
                <w:rFonts w:eastAsiaTheme="minorEastAsia"/>
                <w:noProof/>
                <w:lang w:eastAsia="en-GB"/>
              </w:rPr>
              <w:tab/>
            </w:r>
            <w:r w:rsidRPr="00D00DD8">
              <w:rPr>
                <w:rStyle w:val="Hyperlink"/>
                <w:noProof/>
              </w:rPr>
              <w:t>Provisional Product Definitions</w:t>
            </w:r>
            <w:r>
              <w:rPr>
                <w:noProof/>
                <w:webHidden/>
              </w:rPr>
              <w:tab/>
            </w:r>
            <w:r>
              <w:rPr>
                <w:noProof/>
                <w:webHidden/>
              </w:rPr>
              <w:fldChar w:fldCharType="begin"/>
            </w:r>
            <w:r>
              <w:rPr>
                <w:noProof/>
                <w:webHidden/>
              </w:rPr>
              <w:instrText xml:space="preserve"> PAGEREF _Toc527364472 \h </w:instrText>
            </w:r>
            <w:r>
              <w:rPr>
                <w:noProof/>
                <w:webHidden/>
              </w:rPr>
            </w:r>
            <w:r>
              <w:rPr>
                <w:noProof/>
                <w:webHidden/>
              </w:rPr>
              <w:fldChar w:fldCharType="separate"/>
            </w:r>
            <w:r>
              <w:rPr>
                <w:noProof/>
                <w:webHidden/>
              </w:rPr>
              <w:t>7</w:t>
            </w:r>
            <w:r>
              <w:rPr>
                <w:noProof/>
                <w:webHidden/>
              </w:rPr>
              <w:fldChar w:fldCharType="end"/>
            </w:r>
          </w:hyperlink>
        </w:p>
        <w:p w14:paraId="489D2C3B" w14:textId="4548BA78" w:rsidR="00903D74" w:rsidRDefault="00903D74">
          <w:pPr>
            <w:pStyle w:val="TOC2"/>
            <w:rPr>
              <w:rFonts w:eastAsiaTheme="minorEastAsia"/>
              <w:noProof/>
              <w:lang w:eastAsia="en-GB"/>
            </w:rPr>
          </w:pPr>
          <w:hyperlink w:anchor="_Toc527364473" w:history="1">
            <w:r w:rsidRPr="00D00DD8">
              <w:rPr>
                <w:rStyle w:val="Hyperlink"/>
                <w:noProof/>
              </w:rPr>
              <w:t>3.1</w:t>
            </w:r>
            <w:r>
              <w:rPr>
                <w:rFonts w:eastAsiaTheme="minorEastAsia"/>
                <w:noProof/>
                <w:lang w:eastAsia="en-GB"/>
              </w:rPr>
              <w:tab/>
            </w:r>
            <w:r w:rsidRPr="00D00DD8">
              <w:rPr>
                <w:rStyle w:val="Hyperlink"/>
                <w:noProof/>
              </w:rPr>
              <w:t>Product Definition Selection</w:t>
            </w:r>
            <w:r>
              <w:rPr>
                <w:noProof/>
                <w:webHidden/>
              </w:rPr>
              <w:tab/>
            </w:r>
            <w:r>
              <w:rPr>
                <w:noProof/>
                <w:webHidden/>
              </w:rPr>
              <w:fldChar w:fldCharType="begin"/>
            </w:r>
            <w:r>
              <w:rPr>
                <w:noProof/>
                <w:webHidden/>
              </w:rPr>
              <w:instrText xml:space="preserve"> PAGEREF _Toc527364473 \h </w:instrText>
            </w:r>
            <w:r>
              <w:rPr>
                <w:noProof/>
                <w:webHidden/>
              </w:rPr>
            </w:r>
            <w:r>
              <w:rPr>
                <w:noProof/>
                <w:webHidden/>
              </w:rPr>
              <w:fldChar w:fldCharType="separate"/>
            </w:r>
            <w:r>
              <w:rPr>
                <w:noProof/>
                <w:webHidden/>
              </w:rPr>
              <w:t>7</w:t>
            </w:r>
            <w:r>
              <w:rPr>
                <w:noProof/>
                <w:webHidden/>
              </w:rPr>
              <w:fldChar w:fldCharType="end"/>
            </w:r>
          </w:hyperlink>
        </w:p>
        <w:p w14:paraId="50B6A9FA" w14:textId="4C15CA4A" w:rsidR="00903D74" w:rsidRDefault="00903D74">
          <w:pPr>
            <w:pStyle w:val="TOC2"/>
            <w:rPr>
              <w:rFonts w:eastAsiaTheme="minorEastAsia"/>
              <w:noProof/>
              <w:lang w:eastAsia="en-GB"/>
            </w:rPr>
          </w:pPr>
          <w:hyperlink w:anchor="_Toc527364474" w:history="1">
            <w:r w:rsidRPr="00D00DD8">
              <w:rPr>
                <w:rStyle w:val="Hyperlink"/>
                <w:noProof/>
              </w:rPr>
              <w:t>3.2</w:t>
            </w:r>
            <w:r>
              <w:rPr>
                <w:rFonts w:eastAsiaTheme="minorEastAsia"/>
                <w:noProof/>
                <w:lang w:eastAsia="en-GB"/>
              </w:rPr>
              <w:tab/>
            </w:r>
            <w:r w:rsidRPr="00D00DD8">
              <w:rPr>
                <w:rStyle w:val="Hyperlink"/>
                <w:noProof/>
              </w:rPr>
              <w:t>Product Definition Input Attributes</w:t>
            </w:r>
            <w:r>
              <w:rPr>
                <w:noProof/>
                <w:webHidden/>
              </w:rPr>
              <w:tab/>
            </w:r>
            <w:r>
              <w:rPr>
                <w:noProof/>
                <w:webHidden/>
              </w:rPr>
              <w:fldChar w:fldCharType="begin"/>
            </w:r>
            <w:r>
              <w:rPr>
                <w:noProof/>
                <w:webHidden/>
              </w:rPr>
              <w:instrText xml:space="preserve"> PAGEREF _Toc527364474 \h </w:instrText>
            </w:r>
            <w:r>
              <w:rPr>
                <w:noProof/>
                <w:webHidden/>
              </w:rPr>
            </w:r>
            <w:r>
              <w:rPr>
                <w:noProof/>
                <w:webHidden/>
              </w:rPr>
              <w:fldChar w:fldCharType="separate"/>
            </w:r>
            <w:r>
              <w:rPr>
                <w:noProof/>
                <w:webHidden/>
              </w:rPr>
              <w:t>7</w:t>
            </w:r>
            <w:r>
              <w:rPr>
                <w:noProof/>
                <w:webHidden/>
              </w:rPr>
              <w:fldChar w:fldCharType="end"/>
            </w:r>
          </w:hyperlink>
        </w:p>
        <w:p w14:paraId="0AA3ADCC" w14:textId="543E1ED7" w:rsidR="00903D74" w:rsidRDefault="00903D74">
          <w:pPr>
            <w:pStyle w:val="TOC2"/>
            <w:rPr>
              <w:rFonts w:eastAsiaTheme="minorEastAsia"/>
              <w:noProof/>
              <w:lang w:eastAsia="en-GB"/>
            </w:rPr>
          </w:pPr>
          <w:hyperlink w:anchor="_Toc527364475" w:history="1">
            <w:r w:rsidRPr="00D00DD8">
              <w:rPr>
                <w:rStyle w:val="Hyperlink"/>
                <w:noProof/>
              </w:rPr>
              <w:t>3.3</w:t>
            </w:r>
            <w:r>
              <w:rPr>
                <w:rFonts w:eastAsiaTheme="minorEastAsia"/>
                <w:noProof/>
                <w:lang w:eastAsia="en-GB"/>
              </w:rPr>
              <w:tab/>
            </w:r>
            <w:r w:rsidRPr="00D00DD8">
              <w:rPr>
                <w:rStyle w:val="Hyperlink"/>
                <w:noProof/>
              </w:rPr>
              <w:t>Product Definition Derived Attributes</w:t>
            </w:r>
            <w:r>
              <w:rPr>
                <w:noProof/>
                <w:webHidden/>
              </w:rPr>
              <w:tab/>
            </w:r>
            <w:r>
              <w:rPr>
                <w:noProof/>
                <w:webHidden/>
              </w:rPr>
              <w:fldChar w:fldCharType="begin"/>
            </w:r>
            <w:r>
              <w:rPr>
                <w:noProof/>
                <w:webHidden/>
              </w:rPr>
              <w:instrText xml:space="preserve"> PAGEREF _Toc527364475 \h </w:instrText>
            </w:r>
            <w:r>
              <w:rPr>
                <w:noProof/>
                <w:webHidden/>
              </w:rPr>
            </w:r>
            <w:r>
              <w:rPr>
                <w:noProof/>
                <w:webHidden/>
              </w:rPr>
              <w:fldChar w:fldCharType="separate"/>
            </w:r>
            <w:r>
              <w:rPr>
                <w:noProof/>
                <w:webHidden/>
              </w:rPr>
              <w:t>8</w:t>
            </w:r>
            <w:r>
              <w:rPr>
                <w:noProof/>
                <w:webHidden/>
              </w:rPr>
              <w:fldChar w:fldCharType="end"/>
            </w:r>
          </w:hyperlink>
        </w:p>
        <w:p w14:paraId="444F13A5" w14:textId="1285BD3B" w:rsidR="00903D74" w:rsidRDefault="00903D74">
          <w:pPr>
            <w:pStyle w:val="TOC2"/>
            <w:rPr>
              <w:rFonts w:eastAsiaTheme="minorEastAsia"/>
              <w:noProof/>
              <w:lang w:eastAsia="en-GB"/>
            </w:rPr>
          </w:pPr>
          <w:hyperlink w:anchor="_Toc527364476" w:history="1">
            <w:r w:rsidRPr="00D00DD8">
              <w:rPr>
                <w:rStyle w:val="Hyperlink"/>
                <w:noProof/>
              </w:rPr>
              <w:t>3.4</w:t>
            </w:r>
            <w:r>
              <w:rPr>
                <w:rFonts w:eastAsiaTheme="minorEastAsia"/>
                <w:noProof/>
                <w:lang w:eastAsia="en-GB"/>
              </w:rPr>
              <w:tab/>
            </w:r>
            <w:r w:rsidRPr="00D00DD8">
              <w:rPr>
                <w:rStyle w:val="Hyperlink"/>
                <w:noProof/>
              </w:rPr>
              <w:t>Asset Class Product Definition Annexes</w:t>
            </w:r>
            <w:r>
              <w:rPr>
                <w:noProof/>
                <w:webHidden/>
              </w:rPr>
              <w:tab/>
            </w:r>
            <w:r>
              <w:rPr>
                <w:noProof/>
                <w:webHidden/>
              </w:rPr>
              <w:fldChar w:fldCharType="begin"/>
            </w:r>
            <w:r>
              <w:rPr>
                <w:noProof/>
                <w:webHidden/>
              </w:rPr>
              <w:instrText xml:space="preserve"> PAGEREF _Toc527364476 \h </w:instrText>
            </w:r>
            <w:r>
              <w:rPr>
                <w:noProof/>
                <w:webHidden/>
              </w:rPr>
            </w:r>
            <w:r>
              <w:rPr>
                <w:noProof/>
                <w:webHidden/>
              </w:rPr>
              <w:fldChar w:fldCharType="separate"/>
            </w:r>
            <w:r>
              <w:rPr>
                <w:noProof/>
                <w:webHidden/>
              </w:rPr>
              <w:t>8</w:t>
            </w:r>
            <w:r>
              <w:rPr>
                <w:noProof/>
                <w:webHidden/>
              </w:rPr>
              <w:fldChar w:fldCharType="end"/>
            </w:r>
          </w:hyperlink>
        </w:p>
        <w:p w14:paraId="28B1850C" w14:textId="1B26ED9B" w:rsidR="00903D74" w:rsidRDefault="00903D74">
          <w:pPr>
            <w:pStyle w:val="TOC2"/>
            <w:rPr>
              <w:rFonts w:eastAsiaTheme="minorEastAsia"/>
              <w:noProof/>
              <w:lang w:eastAsia="en-GB"/>
            </w:rPr>
          </w:pPr>
          <w:hyperlink w:anchor="_Toc527364477" w:history="1">
            <w:r w:rsidRPr="00D00DD8">
              <w:rPr>
                <w:rStyle w:val="Hyperlink"/>
                <w:noProof/>
              </w:rPr>
              <w:t>3.5</w:t>
            </w:r>
            <w:r>
              <w:rPr>
                <w:rFonts w:eastAsiaTheme="minorEastAsia"/>
                <w:noProof/>
                <w:lang w:eastAsia="en-GB"/>
              </w:rPr>
              <w:tab/>
            </w:r>
            <w:r w:rsidRPr="00D00DD8">
              <w:rPr>
                <w:rStyle w:val="Hyperlink"/>
                <w:noProof/>
              </w:rPr>
              <w:t>PROD Implementation</w:t>
            </w:r>
            <w:r>
              <w:rPr>
                <w:noProof/>
                <w:webHidden/>
              </w:rPr>
              <w:tab/>
            </w:r>
            <w:r>
              <w:rPr>
                <w:noProof/>
                <w:webHidden/>
              </w:rPr>
              <w:fldChar w:fldCharType="begin"/>
            </w:r>
            <w:r>
              <w:rPr>
                <w:noProof/>
                <w:webHidden/>
              </w:rPr>
              <w:instrText xml:space="preserve"> PAGEREF _Toc527364477 \h </w:instrText>
            </w:r>
            <w:r>
              <w:rPr>
                <w:noProof/>
                <w:webHidden/>
              </w:rPr>
            </w:r>
            <w:r>
              <w:rPr>
                <w:noProof/>
                <w:webHidden/>
              </w:rPr>
              <w:fldChar w:fldCharType="separate"/>
            </w:r>
            <w:r>
              <w:rPr>
                <w:noProof/>
                <w:webHidden/>
              </w:rPr>
              <w:t>8</w:t>
            </w:r>
            <w:r>
              <w:rPr>
                <w:noProof/>
                <w:webHidden/>
              </w:rPr>
              <w:fldChar w:fldCharType="end"/>
            </w:r>
          </w:hyperlink>
        </w:p>
        <w:p w14:paraId="3D49EA9C" w14:textId="68D9BC86" w:rsidR="00903D74" w:rsidRDefault="00903D74">
          <w:pPr>
            <w:pStyle w:val="TOC2"/>
            <w:rPr>
              <w:rFonts w:eastAsiaTheme="minorEastAsia"/>
              <w:noProof/>
              <w:lang w:eastAsia="en-GB"/>
            </w:rPr>
          </w:pPr>
          <w:hyperlink w:anchor="_Toc527364478" w:history="1">
            <w:r w:rsidRPr="00D00DD8">
              <w:rPr>
                <w:rStyle w:val="Hyperlink"/>
                <w:noProof/>
              </w:rPr>
              <w:t>3.6</w:t>
            </w:r>
            <w:r>
              <w:rPr>
                <w:rFonts w:eastAsiaTheme="minorEastAsia"/>
                <w:noProof/>
                <w:lang w:eastAsia="en-GB"/>
              </w:rPr>
              <w:tab/>
            </w:r>
            <w:r w:rsidRPr="00D00DD8">
              <w:rPr>
                <w:rStyle w:val="Hyperlink"/>
                <w:noProof/>
              </w:rPr>
              <w:t>PROD Implementation for remaining Products</w:t>
            </w:r>
            <w:r>
              <w:rPr>
                <w:noProof/>
                <w:webHidden/>
              </w:rPr>
              <w:tab/>
            </w:r>
            <w:r>
              <w:rPr>
                <w:noProof/>
                <w:webHidden/>
              </w:rPr>
              <w:fldChar w:fldCharType="begin"/>
            </w:r>
            <w:r>
              <w:rPr>
                <w:noProof/>
                <w:webHidden/>
              </w:rPr>
              <w:instrText xml:space="preserve"> PAGEREF _Toc527364478 \h </w:instrText>
            </w:r>
            <w:r>
              <w:rPr>
                <w:noProof/>
                <w:webHidden/>
              </w:rPr>
            </w:r>
            <w:r>
              <w:rPr>
                <w:noProof/>
                <w:webHidden/>
              </w:rPr>
              <w:fldChar w:fldCharType="separate"/>
            </w:r>
            <w:r>
              <w:rPr>
                <w:noProof/>
                <w:webHidden/>
              </w:rPr>
              <w:t>10</w:t>
            </w:r>
            <w:r>
              <w:rPr>
                <w:noProof/>
                <w:webHidden/>
              </w:rPr>
              <w:fldChar w:fldCharType="end"/>
            </w:r>
          </w:hyperlink>
        </w:p>
        <w:p w14:paraId="57BA46ED" w14:textId="37C09D03" w:rsidR="00903D74" w:rsidRDefault="00903D74">
          <w:pPr>
            <w:pStyle w:val="TOC1"/>
            <w:tabs>
              <w:tab w:val="left" w:pos="440"/>
              <w:tab w:val="right" w:leader="dot" w:pos="9016"/>
            </w:tabs>
            <w:rPr>
              <w:rFonts w:eastAsiaTheme="minorEastAsia"/>
              <w:noProof/>
              <w:lang w:eastAsia="en-GB"/>
            </w:rPr>
          </w:pPr>
          <w:hyperlink w:anchor="_Toc527364479" w:history="1">
            <w:r w:rsidRPr="00D00DD8">
              <w:rPr>
                <w:rStyle w:val="Hyperlink"/>
                <w:noProof/>
              </w:rPr>
              <w:t>4</w:t>
            </w:r>
            <w:r>
              <w:rPr>
                <w:rFonts w:eastAsiaTheme="minorEastAsia"/>
                <w:noProof/>
                <w:lang w:eastAsia="en-GB"/>
              </w:rPr>
              <w:tab/>
            </w:r>
            <w:r w:rsidRPr="00D00DD8">
              <w:rPr>
                <w:rStyle w:val="Hyperlink"/>
                <w:noProof/>
              </w:rPr>
              <w:t>Attribute Data Dictionary</w:t>
            </w:r>
            <w:r>
              <w:rPr>
                <w:noProof/>
                <w:webHidden/>
              </w:rPr>
              <w:tab/>
            </w:r>
            <w:r>
              <w:rPr>
                <w:noProof/>
                <w:webHidden/>
              </w:rPr>
              <w:fldChar w:fldCharType="begin"/>
            </w:r>
            <w:r>
              <w:rPr>
                <w:noProof/>
                <w:webHidden/>
              </w:rPr>
              <w:instrText xml:space="preserve"> PAGEREF _Toc527364479 \h </w:instrText>
            </w:r>
            <w:r>
              <w:rPr>
                <w:noProof/>
                <w:webHidden/>
              </w:rPr>
            </w:r>
            <w:r>
              <w:rPr>
                <w:noProof/>
                <w:webHidden/>
              </w:rPr>
              <w:fldChar w:fldCharType="separate"/>
            </w:r>
            <w:r>
              <w:rPr>
                <w:noProof/>
                <w:webHidden/>
              </w:rPr>
              <w:t>11</w:t>
            </w:r>
            <w:r>
              <w:rPr>
                <w:noProof/>
                <w:webHidden/>
              </w:rPr>
              <w:fldChar w:fldCharType="end"/>
            </w:r>
          </w:hyperlink>
        </w:p>
        <w:p w14:paraId="203FCD4A" w14:textId="48471DD4" w:rsidR="00903D74" w:rsidRDefault="00903D74">
          <w:pPr>
            <w:pStyle w:val="TOC1"/>
            <w:tabs>
              <w:tab w:val="left" w:pos="440"/>
              <w:tab w:val="right" w:leader="dot" w:pos="9016"/>
            </w:tabs>
            <w:rPr>
              <w:rFonts w:eastAsiaTheme="minorEastAsia"/>
              <w:noProof/>
              <w:lang w:eastAsia="en-GB"/>
            </w:rPr>
          </w:pPr>
          <w:hyperlink w:anchor="_Toc527364480" w:history="1">
            <w:r w:rsidRPr="00D00DD8">
              <w:rPr>
                <w:rStyle w:val="Hyperlink"/>
                <w:noProof/>
              </w:rPr>
              <w:t>5</w:t>
            </w:r>
            <w:r>
              <w:rPr>
                <w:rFonts w:eastAsiaTheme="minorEastAsia"/>
                <w:noProof/>
                <w:lang w:eastAsia="en-GB"/>
              </w:rPr>
              <w:tab/>
            </w:r>
            <w:r w:rsidRPr="00D00DD8">
              <w:rPr>
                <w:rStyle w:val="Hyperlink"/>
                <w:noProof/>
              </w:rPr>
              <w:t>Attribute Arrays</w:t>
            </w:r>
            <w:r>
              <w:rPr>
                <w:noProof/>
                <w:webHidden/>
              </w:rPr>
              <w:tab/>
            </w:r>
            <w:r>
              <w:rPr>
                <w:noProof/>
                <w:webHidden/>
              </w:rPr>
              <w:fldChar w:fldCharType="begin"/>
            </w:r>
            <w:r>
              <w:rPr>
                <w:noProof/>
                <w:webHidden/>
              </w:rPr>
              <w:instrText xml:space="preserve"> PAGEREF _Toc527364480 \h </w:instrText>
            </w:r>
            <w:r>
              <w:rPr>
                <w:noProof/>
                <w:webHidden/>
              </w:rPr>
            </w:r>
            <w:r>
              <w:rPr>
                <w:noProof/>
                <w:webHidden/>
              </w:rPr>
              <w:fldChar w:fldCharType="separate"/>
            </w:r>
            <w:r>
              <w:rPr>
                <w:noProof/>
                <w:webHidden/>
              </w:rPr>
              <w:t>16</w:t>
            </w:r>
            <w:r>
              <w:rPr>
                <w:noProof/>
                <w:webHidden/>
              </w:rPr>
              <w:fldChar w:fldCharType="end"/>
            </w:r>
          </w:hyperlink>
        </w:p>
        <w:p w14:paraId="4AB34588" w14:textId="1A4A25A8" w:rsidR="00903D74" w:rsidRDefault="00903D74">
          <w:pPr>
            <w:pStyle w:val="TOC1"/>
            <w:tabs>
              <w:tab w:val="left" w:pos="440"/>
              <w:tab w:val="right" w:leader="dot" w:pos="9016"/>
            </w:tabs>
            <w:rPr>
              <w:rFonts w:eastAsiaTheme="minorEastAsia"/>
              <w:noProof/>
              <w:lang w:eastAsia="en-GB"/>
            </w:rPr>
          </w:pPr>
          <w:hyperlink w:anchor="_Toc527364481" w:history="1">
            <w:r w:rsidRPr="00D00DD8">
              <w:rPr>
                <w:rStyle w:val="Hyperlink"/>
                <w:noProof/>
              </w:rPr>
              <w:t>6</w:t>
            </w:r>
            <w:r>
              <w:rPr>
                <w:rFonts w:eastAsiaTheme="minorEastAsia"/>
                <w:noProof/>
                <w:lang w:eastAsia="en-GB"/>
              </w:rPr>
              <w:tab/>
            </w:r>
            <w:r w:rsidRPr="00D00DD8">
              <w:rPr>
                <w:rStyle w:val="Hyperlink"/>
                <w:noProof/>
              </w:rPr>
              <w:t>Index Enumerations</w:t>
            </w:r>
            <w:r>
              <w:rPr>
                <w:noProof/>
                <w:webHidden/>
              </w:rPr>
              <w:tab/>
            </w:r>
            <w:r>
              <w:rPr>
                <w:noProof/>
                <w:webHidden/>
              </w:rPr>
              <w:fldChar w:fldCharType="begin"/>
            </w:r>
            <w:r>
              <w:rPr>
                <w:noProof/>
                <w:webHidden/>
              </w:rPr>
              <w:instrText xml:space="preserve"> PAGEREF _Toc527364481 \h </w:instrText>
            </w:r>
            <w:r>
              <w:rPr>
                <w:noProof/>
                <w:webHidden/>
              </w:rPr>
            </w:r>
            <w:r>
              <w:rPr>
                <w:noProof/>
                <w:webHidden/>
              </w:rPr>
              <w:fldChar w:fldCharType="separate"/>
            </w:r>
            <w:r>
              <w:rPr>
                <w:noProof/>
                <w:webHidden/>
              </w:rPr>
              <w:t>16</w:t>
            </w:r>
            <w:r>
              <w:rPr>
                <w:noProof/>
                <w:webHidden/>
              </w:rPr>
              <w:fldChar w:fldCharType="end"/>
            </w:r>
          </w:hyperlink>
        </w:p>
        <w:p w14:paraId="5A7F4E58" w14:textId="47BE74DB" w:rsidR="00903D74" w:rsidRDefault="00903D74">
          <w:pPr>
            <w:pStyle w:val="TOC2"/>
            <w:rPr>
              <w:rFonts w:eastAsiaTheme="minorEastAsia"/>
              <w:noProof/>
              <w:lang w:eastAsia="en-GB"/>
            </w:rPr>
          </w:pPr>
          <w:hyperlink w:anchor="_Toc527364482" w:history="1">
            <w:r w:rsidRPr="00D00DD8">
              <w:rPr>
                <w:rStyle w:val="Hyperlink"/>
                <w:noProof/>
              </w:rPr>
              <w:t>6.1</w:t>
            </w:r>
            <w:r>
              <w:rPr>
                <w:rFonts w:eastAsiaTheme="minorEastAsia"/>
                <w:noProof/>
                <w:lang w:eastAsia="en-GB"/>
              </w:rPr>
              <w:tab/>
            </w:r>
            <w:r w:rsidRPr="00D00DD8">
              <w:rPr>
                <w:rStyle w:val="Hyperlink"/>
                <w:noProof/>
              </w:rPr>
              <w:t>Standard Market Indices</w:t>
            </w:r>
            <w:r>
              <w:rPr>
                <w:noProof/>
                <w:webHidden/>
              </w:rPr>
              <w:tab/>
            </w:r>
            <w:r>
              <w:rPr>
                <w:noProof/>
                <w:webHidden/>
              </w:rPr>
              <w:fldChar w:fldCharType="begin"/>
            </w:r>
            <w:r>
              <w:rPr>
                <w:noProof/>
                <w:webHidden/>
              </w:rPr>
              <w:instrText xml:space="preserve"> PAGEREF _Toc527364482 \h </w:instrText>
            </w:r>
            <w:r>
              <w:rPr>
                <w:noProof/>
                <w:webHidden/>
              </w:rPr>
            </w:r>
            <w:r>
              <w:rPr>
                <w:noProof/>
                <w:webHidden/>
              </w:rPr>
              <w:fldChar w:fldCharType="separate"/>
            </w:r>
            <w:r>
              <w:rPr>
                <w:noProof/>
                <w:webHidden/>
              </w:rPr>
              <w:t>16</w:t>
            </w:r>
            <w:r>
              <w:rPr>
                <w:noProof/>
                <w:webHidden/>
              </w:rPr>
              <w:fldChar w:fldCharType="end"/>
            </w:r>
          </w:hyperlink>
        </w:p>
        <w:p w14:paraId="60ED5AF0" w14:textId="1CAA6AA8" w:rsidR="00903D74" w:rsidRDefault="00903D74">
          <w:pPr>
            <w:pStyle w:val="TOC2"/>
            <w:rPr>
              <w:rFonts w:eastAsiaTheme="minorEastAsia"/>
              <w:noProof/>
              <w:lang w:eastAsia="en-GB"/>
            </w:rPr>
          </w:pPr>
          <w:hyperlink w:anchor="_Toc527364483" w:history="1">
            <w:r w:rsidRPr="00D00DD8">
              <w:rPr>
                <w:rStyle w:val="Hyperlink"/>
                <w:noProof/>
              </w:rPr>
              <w:t>6.2</w:t>
            </w:r>
            <w:r>
              <w:rPr>
                <w:rFonts w:eastAsiaTheme="minorEastAsia"/>
                <w:noProof/>
                <w:lang w:eastAsia="en-GB"/>
              </w:rPr>
              <w:tab/>
            </w:r>
            <w:r w:rsidRPr="00D00DD8">
              <w:rPr>
                <w:rStyle w:val="Hyperlink"/>
                <w:noProof/>
              </w:rPr>
              <w:t>Proprietary Indices</w:t>
            </w:r>
            <w:r>
              <w:rPr>
                <w:noProof/>
                <w:webHidden/>
              </w:rPr>
              <w:tab/>
            </w:r>
            <w:r>
              <w:rPr>
                <w:noProof/>
                <w:webHidden/>
              </w:rPr>
              <w:fldChar w:fldCharType="begin"/>
            </w:r>
            <w:r>
              <w:rPr>
                <w:noProof/>
                <w:webHidden/>
              </w:rPr>
              <w:instrText xml:space="preserve"> PAGEREF _Toc527364483 \h </w:instrText>
            </w:r>
            <w:r>
              <w:rPr>
                <w:noProof/>
                <w:webHidden/>
              </w:rPr>
            </w:r>
            <w:r>
              <w:rPr>
                <w:noProof/>
                <w:webHidden/>
              </w:rPr>
              <w:fldChar w:fldCharType="separate"/>
            </w:r>
            <w:r>
              <w:rPr>
                <w:noProof/>
                <w:webHidden/>
              </w:rPr>
              <w:t>17</w:t>
            </w:r>
            <w:r>
              <w:rPr>
                <w:noProof/>
                <w:webHidden/>
              </w:rPr>
              <w:fldChar w:fldCharType="end"/>
            </w:r>
          </w:hyperlink>
        </w:p>
        <w:p w14:paraId="0CC68248" w14:textId="352515D9" w:rsidR="00903D74" w:rsidRDefault="00903D74">
          <w:pPr>
            <w:pStyle w:val="TOC1"/>
            <w:tabs>
              <w:tab w:val="left" w:pos="440"/>
              <w:tab w:val="right" w:leader="dot" w:pos="9016"/>
            </w:tabs>
            <w:rPr>
              <w:rFonts w:eastAsiaTheme="minorEastAsia"/>
              <w:noProof/>
              <w:lang w:eastAsia="en-GB"/>
            </w:rPr>
          </w:pPr>
          <w:hyperlink w:anchor="_Toc527364484" w:history="1">
            <w:r w:rsidRPr="00D00DD8">
              <w:rPr>
                <w:rStyle w:val="Hyperlink"/>
                <w:noProof/>
              </w:rPr>
              <w:t>7</w:t>
            </w:r>
            <w:r>
              <w:rPr>
                <w:rFonts w:eastAsiaTheme="minorEastAsia"/>
                <w:noProof/>
                <w:lang w:eastAsia="en-GB"/>
              </w:rPr>
              <w:tab/>
            </w:r>
            <w:r w:rsidRPr="00D00DD8">
              <w:rPr>
                <w:rStyle w:val="Hyperlink"/>
                <w:noProof/>
              </w:rPr>
              <w:t>Appendix 1 - Normalisation</w:t>
            </w:r>
            <w:r>
              <w:rPr>
                <w:noProof/>
                <w:webHidden/>
              </w:rPr>
              <w:tab/>
            </w:r>
            <w:r>
              <w:rPr>
                <w:noProof/>
                <w:webHidden/>
              </w:rPr>
              <w:fldChar w:fldCharType="begin"/>
            </w:r>
            <w:r>
              <w:rPr>
                <w:noProof/>
                <w:webHidden/>
              </w:rPr>
              <w:instrText xml:space="preserve"> PAGEREF _Toc527364484 \h </w:instrText>
            </w:r>
            <w:r>
              <w:rPr>
                <w:noProof/>
                <w:webHidden/>
              </w:rPr>
            </w:r>
            <w:r>
              <w:rPr>
                <w:noProof/>
                <w:webHidden/>
              </w:rPr>
              <w:fldChar w:fldCharType="separate"/>
            </w:r>
            <w:r>
              <w:rPr>
                <w:noProof/>
                <w:webHidden/>
              </w:rPr>
              <w:t>18</w:t>
            </w:r>
            <w:r>
              <w:rPr>
                <w:noProof/>
                <w:webHidden/>
              </w:rPr>
              <w:fldChar w:fldCharType="end"/>
            </w:r>
          </w:hyperlink>
        </w:p>
        <w:p w14:paraId="3680B682" w14:textId="3248926A" w:rsidR="00903D74" w:rsidRDefault="00903D74">
          <w:pPr>
            <w:pStyle w:val="TOC2"/>
            <w:rPr>
              <w:rFonts w:eastAsiaTheme="minorEastAsia"/>
              <w:noProof/>
              <w:lang w:eastAsia="en-GB"/>
            </w:rPr>
          </w:pPr>
          <w:hyperlink w:anchor="_Toc527364485" w:history="1">
            <w:r w:rsidRPr="00D00DD8">
              <w:rPr>
                <w:rStyle w:val="Hyperlink"/>
                <w:noProof/>
              </w:rPr>
              <w:t>7.1</w:t>
            </w:r>
            <w:r>
              <w:rPr>
                <w:rFonts w:eastAsiaTheme="minorEastAsia"/>
                <w:noProof/>
                <w:lang w:eastAsia="en-GB"/>
              </w:rPr>
              <w:tab/>
            </w:r>
            <w:r w:rsidRPr="00D00DD8">
              <w:rPr>
                <w:rStyle w:val="Hyperlink"/>
                <w:noProof/>
              </w:rPr>
              <w:t>Common Normalization</w:t>
            </w:r>
            <w:r>
              <w:rPr>
                <w:noProof/>
                <w:webHidden/>
              </w:rPr>
              <w:tab/>
            </w:r>
            <w:r>
              <w:rPr>
                <w:noProof/>
                <w:webHidden/>
              </w:rPr>
              <w:fldChar w:fldCharType="begin"/>
            </w:r>
            <w:r>
              <w:rPr>
                <w:noProof/>
                <w:webHidden/>
              </w:rPr>
              <w:instrText xml:space="preserve"> PAGEREF _Toc527364485 \h </w:instrText>
            </w:r>
            <w:r>
              <w:rPr>
                <w:noProof/>
                <w:webHidden/>
              </w:rPr>
            </w:r>
            <w:r>
              <w:rPr>
                <w:noProof/>
                <w:webHidden/>
              </w:rPr>
              <w:fldChar w:fldCharType="separate"/>
            </w:r>
            <w:r>
              <w:rPr>
                <w:noProof/>
                <w:webHidden/>
              </w:rPr>
              <w:t>18</w:t>
            </w:r>
            <w:r>
              <w:rPr>
                <w:noProof/>
                <w:webHidden/>
              </w:rPr>
              <w:fldChar w:fldCharType="end"/>
            </w:r>
          </w:hyperlink>
        </w:p>
        <w:p w14:paraId="02E67578" w14:textId="7F49E7B6" w:rsidR="00903D74" w:rsidRDefault="00903D74">
          <w:pPr>
            <w:pStyle w:val="TOC2"/>
            <w:rPr>
              <w:rFonts w:eastAsiaTheme="minorEastAsia"/>
              <w:noProof/>
              <w:lang w:eastAsia="en-GB"/>
            </w:rPr>
          </w:pPr>
          <w:hyperlink w:anchor="_Toc527364486" w:history="1">
            <w:r w:rsidRPr="00D00DD8">
              <w:rPr>
                <w:rStyle w:val="Hyperlink"/>
                <w:noProof/>
              </w:rPr>
              <w:t>7.2</w:t>
            </w:r>
            <w:r>
              <w:rPr>
                <w:rFonts w:eastAsiaTheme="minorEastAsia"/>
                <w:noProof/>
                <w:lang w:eastAsia="en-GB"/>
              </w:rPr>
              <w:tab/>
            </w:r>
            <w:r w:rsidRPr="00D00DD8">
              <w:rPr>
                <w:rStyle w:val="Hyperlink"/>
                <w:noProof/>
              </w:rPr>
              <w:t>Basis Swap/Cross Currency Swap normalization</w:t>
            </w:r>
            <w:r>
              <w:rPr>
                <w:noProof/>
                <w:webHidden/>
              </w:rPr>
              <w:tab/>
            </w:r>
            <w:r>
              <w:rPr>
                <w:noProof/>
                <w:webHidden/>
              </w:rPr>
              <w:fldChar w:fldCharType="begin"/>
            </w:r>
            <w:r>
              <w:rPr>
                <w:noProof/>
                <w:webHidden/>
              </w:rPr>
              <w:instrText xml:space="preserve"> PAGEREF _Toc527364486 \h </w:instrText>
            </w:r>
            <w:r>
              <w:rPr>
                <w:noProof/>
                <w:webHidden/>
              </w:rPr>
            </w:r>
            <w:r>
              <w:rPr>
                <w:noProof/>
                <w:webHidden/>
              </w:rPr>
              <w:fldChar w:fldCharType="separate"/>
            </w:r>
            <w:r>
              <w:rPr>
                <w:noProof/>
                <w:webHidden/>
              </w:rPr>
              <w:t>18</w:t>
            </w:r>
            <w:r>
              <w:rPr>
                <w:noProof/>
                <w:webHidden/>
              </w:rPr>
              <w:fldChar w:fldCharType="end"/>
            </w:r>
          </w:hyperlink>
        </w:p>
        <w:p w14:paraId="5E3520B5" w14:textId="5D60CD25" w:rsidR="00903D74" w:rsidRDefault="00903D74">
          <w:pPr>
            <w:pStyle w:val="TOC3"/>
            <w:tabs>
              <w:tab w:val="left" w:pos="1320"/>
              <w:tab w:val="right" w:leader="dot" w:pos="9016"/>
            </w:tabs>
            <w:rPr>
              <w:rFonts w:eastAsiaTheme="minorEastAsia"/>
              <w:noProof/>
              <w:lang w:val="en-GB" w:eastAsia="en-GB"/>
            </w:rPr>
          </w:pPr>
          <w:hyperlink w:anchor="_Toc527364487" w:history="1">
            <w:r w:rsidRPr="00D00DD8">
              <w:rPr>
                <w:rStyle w:val="Hyperlink"/>
                <w:noProof/>
              </w:rPr>
              <w:t>7.2.1</w:t>
            </w:r>
            <w:r>
              <w:rPr>
                <w:rFonts w:eastAsiaTheme="minorEastAsia"/>
                <w:noProof/>
                <w:lang w:val="en-GB" w:eastAsia="en-GB"/>
              </w:rPr>
              <w:tab/>
            </w:r>
            <w:r w:rsidRPr="00D00DD8">
              <w:rPr>
                <w:rStyle w:val="Hyperlink"/>
                <w:noProof/>
              </w:rPr>
              <w:t>Basis Swap</w:t>
            </w:r>
            <w:r>
              <w:rPr>
                <w:noProof/>
                <w:webHidden/>
              </w:rPr>
              <w:tab/>
            </w:r>
            <w:r>
              <w:rPr>
                <w:noProof/>
                <w:webHidden/>
              </w:rPr>
              <w:fldChar w:fldCharType="begin"/>
            </w:r>
            <w:r>
              <w:rPr>
                <w:noProof/>
                <w:webHidden/>
              </w:rPr>
              <w:instrText xml:space="preserve"> PAGEREF _Toc527364487 \h </w:instrText>
            </w:r>
            <w:r>
              <w:rPr>
                <w:noProof/>
                <w:webHidden/>
              </w:rPr>
            </w:r>
            <w:r>
              <w:rPr>
                <w:noProof/>
                <w:webHidden/>
              </w:rPr>
              <w:fldChar w:fldCharType="separate"/>
            </w:r>
            <w:r>
              <w:rPr>
                <w:noProof/>
                <w:webHidden/>
              </w:rPr>
              <w:t>18</w:t>
            </w:r>
            <w:r>
              <w:rPr>
                <w:noProof/>
                <w:webHidden/>
              </w:rPr>
              <w:fldChar w:fldCharType="end"/>
            </w:r>
          </w:hyperlink>
        </w:p>
        <w:p w14:paraId="3734AEBA" w14:textId="1D2C1280" w:rsidR="00903D74" w:rsidRDefault="00903D74">
          <w:pPr>
            <w:pStyle w:val="TOC3"/>
            <w:tabs>
              <w:tab w:val="left" w:pos="1320"/>
              <w:tab w:val="right" w:leader="dot" w:pos="9016"/>
            </w:tabs>
            <w:rPr>
              <w:rFonts w:eastAsiaTheme="minorEastAsia"/>
              <w:noProof/>
              <w:lang w:val="en-GB" w:eastAsia="en-GB"/>
            </w:rPr>
          </w:pPr>
          <w:hyperlink w:anchor="_Toc527364488" w:history="1">
            <w:r w:rsidRPr="00D00DD8">
              <w:rPr>
                <w:rStyle w:val="Hyperlink"/>
                <w:noProof/>
              </w:rPr>
              <w:t>7.2.2</w:t>
            </w:r>
            <w:r>
              <w:rPr>
                <w:rFonts w:eastAsiaTheme="minorEastAsia"/>
                <w:noProof/>
                <w:lang w:val="en-GB" w:eastAsia="en-GB"/>
              </w:rPr>
              <w:tab/>
            </w:r>
            <w:r w:rsidRPr="00D00DD8">
              <w:rPr>
                <w:rStyle w:val="Hyperlink"/>
                <w:noProof/>
              </w:rPr>
              <w:t>Cross Currency Basis Swap</w:t>
            </w:r>
            <w:r>
              <w:rPr>
                <w:noProof/>
                <w:webHidden/>
              </w:rPr>
              <w:tab/>
            </w:r>
            <w:r>
              <w:rPr>
                <w:noProof/>
                <w:webHidden/>
              </w:rPr>
              <w:fldChar w:fldCharType="begin"/>
            </w:r>
            <w:r>
              <w:rPr>
                <w:noProof/>
                <w:webHidden/>
              </w:rPr>
              <w:instrText xml:space="preserve"> PAGEREF _Toc527364488 \h </w:instrText>
            </w:r>
            <w:r>
              <w:rPr>
                <w:noProof/>
                <w:webHidden/>
              </w:rPr>
            </w:r>
            <w:r>
              <w:rPr>
                <w:noProof/>
                <w:webHidden/>
              </w:rPr>
              <w:fldChar w:fldCharType="separate"/>
            </w:r>
            <w:r>
              <w:rPr>
                <w:noProof/>
                <w:webHidden/>
              </w:rPr>
              <w:t>19</w:t>
            </w:r>
            <w:r>
              <w:rPr>
                <w:noProof/>
                <w:webHidden/>
              </w:rPr>
              <w:fldChar w:fldCharType="end"/>
            </w:r>
          </w:hyperlink>
        </w:p>
        <w:p w14:paraId="7B1FE06C" w14:textId="1335EC62" w:rsidR="00903D74" w:rsidRDefault="00903D74">
          <w:pPr>
            <w:pStyle w:val="TOC3"/>
            <w:tabs>
              <w:tab w:val="left" w:pos="1320"/>
              <w:tab w:val="right" w:leader="dot" w:pos="9016"/>
            </w:tabs>
            <w:rPr>
              <w:rFonts w:eastAsiaTheme="minorEastAsia"/>
              <w:noProof/>
              <w:lang w:val="en-GB" w:eastAsia="en-GB"/>
            </w:rPr>
          </w:pPr>
          <w:hyperlink w:anchor="_Toc527364489" w:history="1">
            <w:r w:rsidRPr="00D00DD8">
              <w:rPr>
                <w:rStyle w:val="Hyperlink"/>
                <w:noProof/>
              </w:rPr>
              <w:t>7.2.3</w:t>
            </w:r>
            <w:r>
              <w:rPr>
                <w:rFonts w:eastAsiaTheme="minorEastAsia"/>
                <w:noProof/>
                <w:lang w:val="en-GB" w:eastAsia="en-GB"/>
              </w:rPr>
              <w:tab/>
            </w:r>
            <w:r w:rsidRPr="00D00DD8">
              <w:rPr>
                <w:rStyle w:val="Hyperlink"/>
                <w:noProof/>
              </w:rPr>
              <w:t>Cross Currency Swaps</w:t>
            </w:r>
            <w:r>
              <w:rPr>
                <w:noProof/>
                <w:webHidden/>
              </w:rPr>
              <w:tab/>
            </w:r>
            <w:r>
              <w:rPr>
                <w:noProof/>
                <w:webHidden/>
              </w:rPr>
              <w:fldChar w:fldCharType="begin"/>
            </w:r>
            <w:r>
              <w:rPr>
                <w:noProof/>
                <w:webHidden/>
              </w:rPr>
              <w:instrText xml:space="preserve"> PAGEREF _Toc527364489 \h </w:instrText>
            </w:r>
            <w:r>
              <w:rPr>
                <w:noProof/>
                <w:webHidden/>
              </w:rPr>
            </w:r>
            <w:r>
              <w:rPr>
                <w:noProof/>
                <w:webHidden/>
              </w:rPr>
              <w:fldChar w:fldCharType="separate"/>
            </w:r>
            <w:r>
              <w:rPr>
                <w:noProof/>
                <w:webHidden/>
              </w:rPr>
              <w:t>20</w:t>
            </w:r>
            <w:r>
              <w:rPr>
                <w:noProof/>
                <w:webHidden/>
              </w:rPr>
              <w:fldChar w:fldCharType="end"/>
            </w:r>
          </w:hyperlink>
        </w:p>
        <w:p w14:paraId="10F17AAF" w14:textId="22F949A7" w:rsidR="00903D74" w:rsidRDefault="00903D74">
          <w:pPr>
            <w:pStyle w:val="TOC2"/>
            <w:rPr>
              <w:rFonts w:eastAsiaTheme="minorEastAsia"/>
              <w:noProof/>
              <w:lang w:eastAsia="en-GB"/>
            </w:rPr>
          </w:pPr>
          <w:hyperlink w:anchor="_Toc527364490" w:history="1">
            <w:r w:rsidRPr="00D00DD8">
              <w:rPr>
                <w:rStyle w:val="Hyperlink"/>
                <w:noProof/>
              </w:rPr>
              <w:t>7.3</w:t>
            </w:r>
            <w:r>
              <w:rPr>
                <w:rFonts w:eastAsiaTheme="minorEastAsia"/>
                <w:noProof/>
                <w:lang w:eastAsia="en-GB"/>
              </w:rPr>
              <w:tab/>
            </w:r>
            <w:r w:rsidRPr="00D00DD8">
              <w:rPr>
                <w:rStyle w:val="Hyperlink"/>
                <w:noProof/>
              </w:rPr>
              <w:t>FX normalization</w:t>
            </w:r>
            <w:r>
              <w:rPr>
                <w:noProof/>
                <w:webHidden/>
              </w:rPr>
              <w:tab/>
            </w:r>
            <w:r>
              <w:rPr>
                <w:noProof/>
                <w:webHidden/>
              </w:rPr>
              <w:fldChar w:fldCharType="begin"/>
            </w:r>
            <w:r>
              <w:rPr>
                <w:noProof/>
                <w:webHidden/>
              </w:rPr>
              <w:instrText xml:space="preserve"> PAGEREF _Toc527364490 \h </w:instrText>
            </w:r>
            <w:r>
              <w:rPr>
                <w:noProof/>
                <w:webHidden/>
              </w:rPr>
            </w:r>
            <w:r>
              <w:rPr>
                <w:noProof/>
                <w:webHidden/>
              </w:rPr>
              <w:fldChar w:fldCharType="separate"/>
            </w:r>
            <w:r>
              <w:rPr>
                <w:noProof/>
                <w:webHidden/>
              </w:rPr>
              <w:t>21</w:t>
            </w:r>
            <w:r>
              <w:rPr>
                <w:noProof/>
                <w:webHidden/>
              </w:rPr>
              <w:fldChar w:fldCharType="end"/>
            </w:r>
          </w:hyperlink>
        </w:p>
        <w:p w14:paraId="1AFC5156" w14:textId="7523AC31" w:rsidR="00903D74" w:rsidRDefault="00903D74">
          <w:pPr>
            <w:pStyle w:val="TOC2"/>
            <w:rPr>
              <w:rFonts w:eastAsiaTheme="minorEastAsia"/>
              <w:noProof/>
              <w:lang w:eastAsia="en-GB"/>
            </w:rPr>
          </w:pPr>
          <w:hyperlink w:anchor="_Toc527364491" w:history="1">
            <w:r w:rsidRPr="00D00DD8">
              <w:rPr>
                <w:rStyle w:val="Hyperlink"/>
                <w:noProof/>
              </w:rPr>
              <w:t>7.4</w:t>
            </w:r>
            <w:r>
              <w:rPr>
                <w:rFonts w:eastAsiaTheme="minorEastAsia"/>
                <w:noProof/>
                <w:lang w:eastAsia="en-GB"/>
              </w:rPr>
              <w:tab/>
            </w:r>
            <w:r w:rsidRPr="00D00DD8">
              <w:rPr>
                <w:rStyle w:val="Hyperlink"/>
                <w:noProof/>
              </w:rPr>
              <w:t>FX Swap Normalization</w:t>
            </w:r>
            <w:r>
              <w:rPr>
                <w:noProof/>
                <w:webHidden/>
              </w:rPr>
              <w:tab/>
            </w:r>
            <w:r>
              <w:rPr>
                <w:noProof/>
                <w:webHidden/>
              </w:rPr>
              <w:fldChar w:fldCharType="begin"/>
            </w:r>
            <w:r>
              <w:rPr>
                <w:noProof/>
                <w:webHidden/>
              </w:rPr>
              <w:instrText xml:space="preserve"> PAGEREF _Toc527364491 \h </w:instrText>
            </w:r>
            <w:r>
              <w:rPr>
                <w:noProof/>
                <w:webHidden/>
              </w:rPr>
            </w:r>
            <w:r>
              <w:rPr>
                <w:noProof/>
                <w:webHidden/>
              </w:rPr>
              <w:fldChar w:fldCharType="separate"/>
            </w:r>
            <w:r>
              <w:rPr>
                <w:noProof/>
                <w:webHidden/>
              </w:rPr>
              <w:t>22</w:t>
            </w:r>
            <w:r>
              <w:rPr>
                <w:noProof/>
                <w:webHidden/>
              </w:rPr>
              <w:fldChar w:fldCharType="end"/>
            </w:r>
          </w:hyperlink>
        </w:p>
        <w:p w14:paraId="5CC907D6" w14:textId="5B3D068D" w:rsidR="00903D74" w:rsidRDefault="00903D74">
          <w:pPr>
            <w:pStyle w:val="TOC2"/>
            <w:rPr>
              <w:rFonts w:eastAsiaTheme="minorEastAsia"/>
              <w:noProof/>
              <w:lang w:eastAsia="en-GB"/>
            </w:rPr>
          </w:pPr>
          <w:hyperlink w:anchor="_Toc527364492" w:history="1">
            <w:r w:rsidRPr="00D00DD8">
              <w:rPr>
                <w:rStyle w:val="Hyperlink"/>
                <w:noProof/>
              </w:rPr>
              <w:t>7.5</w:t>
            </w:r>
            <w:r>
              <w:rPr>
                <w:rFonts w:eastAsiaTheme="minorEastAsia"/>
                <w:noProof/>
                <w:lang w:eastAsia="en-GB"/>
              </w:rPr>
              <w:tab/>
            </w:r>
            <w:r w:rsidRPr="00D00DD8">
              <w:rPr>
                <w:rStyle w:val="Hyperlink"/>
                <w:noProof/>
              </w:rPr>
              <w:t>Non-Deliverable FX Swap Normalization</w:t>
            </w:r>
            <w:r>
              <w:rPr>
                <w:noProof/>
                <w:webHidden/>
              </w:rPr>
              <w:tab/>
            </w:r>
            <w:r>
              <w:rPr>
                <w:noProof/>
                <w:webHidden/>
              </w:rPr>
              <w:fldChar w:fldCharType="begin"/>
            </w:r>
            <w:r>
              <w:rPr>
                <w:noProof/>
                <w:webHidden/>
              </w:rPr>
              <w:instrText xml:space="preserve"> PAGEREF _Toc527364492 \h </w:instrText>
            </w:r>
            <w:r>
              <w:rPr>
                <w:noProof/>
                <w:webHidden/>
              </w:rPr>
            </w:r>
            <w:r>
              <w:rPr>
                <w:noProof/>
                <w:webHidden/>
              </w:rPr>
              <w:fldChar w:fldCharType="separate"/>
            </w:r>
            <w:r>
              <w:rPr>
                <w:noProof/>
                <w:webHidden/>
              </w:rPr>
              <w:t>23</w:t>
            </w:r>
            <w:r>
              <w:rPr>
                <w:noProof/>
                <w:webHidden/>
              </w:rPr>
              <w:fldChar w:fldCharType="end"/>
            </w:r>
          </w:hyperlink>
        </w:p>
        <w:p w14:paraId="273E9468" w14:textId="7DC57DD6" w:rsidR="00903D74" w:rsidRDefault="00903D74">
          <w:pPr>
            <w:pStyle w:val="TOC2"/>
            <w:rPr>
              <w:rFonts w:eastAsiaTheme="minorEastAsia"/>
              <w:noProof/>
              <w:lang w:eastAsia="en-GB"/>
            </w:rPr>
          </w:pPr>
          <w:hyperlink w:anchor="_Toc527364493" w:history="1">
            <w:r w:rsidRPr="00D00DD8">
              <w:rPr>
                <w:rStyle w:val="Hyperlink"/>
                <w:noProof/>
              </w:rPr>
              <w:t>7.6</w:t>
            </w:r>
            <w:r>
              <w:rPr>
                <w:rFonts w:eastAsiaTheme="minorEastAsia"/>
                <w:noProof/>
                <w:lang w:eastAsia="en-GB"/>
              </w:rPr>
              <w:tab/>
            </w:r>
            <w:r w:rsidRPr="00D00DD8">
              <w:rPr>
                <w:rStyle w:val="Hyperlink"/>
                <w:noProof/>
              </w:rPr>
              <w:t>FX Option Normalization</w:t>
            </w:r>
            <w:r>
              <w:rPr>
                <w:noProof/>
                <w:webHidden/>
              </w:rPr>
              <w:tab/>
            </w:r>
            <w:r>
              <w:rPr>
                <w:noProof/>
                <w:webHidden/>
              </w:rPr>
              <w:fldChar w:fldCharType="begin"/>
            </w:r>
            <w:r>
              <w:rPr>
                <w:noProof/>
                <w:webHidden/>
              </w:rPr>
              <w:instrText xml:space="preserve"> PAGEREF _Toc527364493 \h </w:instrText>
            </w:r>
            <w:r>
              <w:rPr>
                <w:noProof/>
                <w:webHidden/>
              </w:rPr>
            </w:r>
            <w:r>
              <w:rPr>
                <w:noProof/>
                <w:webHidden/>
              </w:rPr>
              <w:fldChar w:fldCharType="separate"/>
            </w:r>
            <w:r>
              <w:rPr>
                <w:noProof/>
                <w:webHidden/>
              </w:rPr>
              <w:t>23</w:t>
            </w:r>
            <w:r>
              <w:rPr>
                <w:noProof/>
                <w:webHidden/>
              </w:rPr>
              <w:fldChar w:fldCharType="end"/>
            </w:r>
          </w:hyperlink>
        </w:p>
        <w:p w14:paraId="26D01055" w14:textId="099514CE" w:rsidR="00903D74" w:rsidRDefault="00903D74">
          <w:pPr>
            <w:pStyle w:val="TOC2"/>
            <w:rPr>
              <w:rFonts w:eastAsiaTheme="minorEastAsia"/>
              <w:noProof/>
              <w:lang w:eastAsia="en-GB"/>
            </w:rPr>
          </w:pPr>
          <w:hyperlink w:anchor="_Toc527364494" w:history="1">
            <w:r w:rsidRPr="00D00DD8">
              <w:rPr>
                <w:rStyle w:val="Hyperlink"/>
                <w:noProof/>
              </w:rPr>
              <w:t>7.7</w:t>
            </w:r>
            <w:r>
              <w:rPr>
                <w:rFonts w:eastAsiaTheme="minorEastAsia"/>
                <w:noProof/>
                <w:lang w:eastAsia="en-GB"/>
              </w:rPr>
              <w:tab/>
            </w:r>
            <w:r w:rsidRPr="00D00DD8">
              <w:rPr>
                <w:rStyle w:val="Hyperlink"/>
                <w:noProof/>
              </w:rPr>
              <w:t>Commodities Basis Normalization</w:t>
            </w:r>
            <w:r>
              <w:rPr>
                <w:noProof/>
                <w:webHidden/>
              </w:rPr>
              <w:tab/>
            </w:r>
            <w:r>
              <w:rPr>
                <w:noProof/>
                <w:webHidden/>
              </w:rPr>
              <w:fldChar w:fldCharType="begin"/>
            </w:r>
            <w:r>
              <w:rPr>
                <w:noProof/>
                <w:webHidden/>
              </w:rPr>
              <w:instrText xml:space="preserve"> PAGEREF _Toc527364494 \h </w:instrText>
            </w:r>
            <w:r>
              <w:rPr>
                <w:noProof/>
                <w:webHidden/>
              </w:rPr>
            </w:r>
            <w:r>
              <w:rPr>
                <w:noProof/>
                <w:webHidden/>
              </w:rPr>
              <w:fldChar w:fldCharType="separate"/>
            </w:r>
            <w:r>
              <w:rPr>
                <w:noProof/>
                <w:webHidden/>
              </w:rPr>
              <w:t>24</w:t>
            </w:r>
            <w:r>
              <w:rPr>
                <w:noProof/>
                <w:webHidden/>
              </w:rPr>
              <w:fldChar w:fldCharType="end"/>
            </w:r>
          </w:hyperlink>
        </w:p>
        <w:p w14:paraId="170F4959" w14:textId="6610B3D2" w:rsidR="00903D74" w:rsidRDefault="00903D74">
          <w:pPr>
            <w:pStyle w:val="TOC2"/>
            <w:rPr>
              <w:rFonts w:eastAsiaTheme="minorEastAsia"/>
              <w:noProof/>
              <w:lang w:eastAsia="en-GB"/>
            </w:rPr>
          </w:pPr>
          <w:hyperlink w:anchor="_Toc527364495" w:history="1">
            <w:r w:rsidRPr="00D00DD8">
              <w:rPr>
                <w:rStyle w:val="Hyperlink"/>
                <w:noProof/>
              </w:rPr>
              <w:t>7.8</w:t>
            </w:r>
            <w:r>
              <w:rPr>
                <w:rFonts w:eastAsiaTheme="minorEastAsia"/>
                <w:noProof/>
                <w:lang w:eastAsia="en-GB"/>
              </w:rPr>
              <w:tab/>
            </w:r>
            <w:r w:rsidRPr="00D00DD8">
              <w:rPr>
                <w:rStyle w:val="Hyperlink"/>
                <w:noProof/>
              </w:rPr>
              <w:t>Equity Index normalization</w:t>
            </w:r>
            <w:r>
              <w:rPr>
                <w:noProof/>
                <w:webHidden/>
              </w:rPr>
              <w:tab/>
            </w:r>
            <w:r>
              <w:rPr>
                <w:noProof/>
                <w:webHidden/>
              </w:rPr>
              <w:fldChar w:fldCharType="begin"/>
            </w:r>
            <w:r>
              <w:rPr>
                <w:noProof/>
                <w:webHidden/>
              </w:rPr>
              <w:instrText xml:space="preserve"> PAGEREF _Toc527364495 \h </w:instrText>
            </w:r>
            <w:r>
              <w:rPr>
                <w:noProof/>
                <w:webHidden/>
              </w:rPr>
            </w:r>
            <w:r>
              <w:rPr>
                <w:noProof/>
                <w:webHidden/>
              </w:rPr>
              <w:fldChar w:fldCharType="separate"/>
            </w:r>
            <w:r>
              <w:rPr>
                <w:noProof/>
                <w:webHidden/>
              </w:rPr>
              <w:t>25</w:t>
            </w:r>
            <w:r>
              <w:rPr>
                <w:noProof/>
                <w:webHidden/>
              </w:rPr>
              <w:fldChar w:fldCharType="end"/>
            </w:r>
          </w:hyperlink>
        </w:p>
        <w:p w14:paraId="407DA536" w14:textId="23DD6601" w:rsidR="00903D74" w:rsidRDefault="00903D74">
          <w:pPr>
            <w:pStyle w:val="TOC1"/>
            <w:tabs>
              <w:tab w:val="left" w:pos="440"/>
              <w:tab w:val="right" w:leader="dot" w:pos="9016"/>
            </w:tabs>
            <w:rPr>
              <w:rFonts w:eastAsiaTheme="minorEastAsia"/>
              <w:noProof/>
              <w:lang w:eastAsia="en-GB"/>
            </w:rPr>
          </w:pPr>
          <w:hyperlink w:anchor="_Toc527364496" w:history="1">
            <w:r w:rsidRPr="00D00DD8">
              <w:rPr>
                <w:rStyle w:val="Hyperlink"/>
                <w:noProof/>
              </w:rPr>
              <w:t>8</w:t>
            </w:r>
            <w:r>
              <w:rPr>
                <w:rFonts w:eastAsiaTheme="minorEastAsia"/>
                <w:noProof/>
                <w:lang w:eastAsia="en-GB"/>
              </w:rPr>
              <w:tab/>
            </w:r>
            <w:r w:rsidRPr="00D00DD8">
              <w:rPr>
                <w:rStyle w:val="Hyperlink"/>
                <w:noProof/>
              </w:rPr>
              <w:t>Appendix II - Validations</w:t>
            </w:r>
            <w:r>
              <w:rPr>
                <w:noProof/>
                <w:webHidden/>
              </w:rPr>
              <w:tab/>
            </w:r>
            <w:r>
              <w:rPr>
                <w:noProof/>
                <w:webHidden/>
              </w:rPr>
              <w:fldChar w:fldCharType="begin"/>
            </w:r>
            <w:r>
              <w:rPr>
                <w:noProof/>
                <w:webHidden/>
              </w:rPr>
              <w:instrText xml:space="preserve"> PAGEREF _Toc527364496 \h </w:instrText>
            </w:r>
            <w:r>
              <w:rPr>
                <w:noProof/>
                <w:webHidden/>
              </w:rPr>
            </w:r>
            <w:r>
              <w:rPr>
                <w:noProof/>
                <w:webHidden/>
              </w:rPr>
              <w:fldChar w:fldCharType="separate"/>
            </w:r>
            <w:r>
              <w:rPr>
                <w:noProof/>
                <w:webHidden/>
              </w:rPr>
              <w:t>26</w:t>
            </w:r>
            <w:r>
              <w:rPr>
                <w:noProof/>
                <w:webHidden/>
              </w:rPr>
              <w:fldChar w:fldCharType="end"/>
            </w:r>
          </w:hyperlink>
        </w:p>
        <w:p w14:paraId="2F37E634" w14:textId="11AD2C59" w:rsidR="00903D74" w:rsidRDefault="00903D74">
          <w:pPr>
            <w:pStyle w:val="TOC2"/>
            <w:rPr>
              <w:rFonts w:eastAsiaTheme="minorEastAsia"/>
              <w:noProof/>
              <w:lang w:eastAsia="en-GB"/>
            </w:rPr>
          </w:pPr>
          <w:hyperlink w:anchor="_Toc527364497" w:history="1">
            <w:r w:rsidRPr="00D00DD8">
              <w:rPr>
                <w:rStyle w:val="Hyperlink"/>
                <w:noProof/>
              </w:rPr>
              <w:t>8.1</w:t>
            </w:r>
            <w:r>
              <w:rPr>
                <w:rFonts w:eastAsiaTheme="minorEastAsia"/>
                <w:noProof/>
                <w:lang w:eastAsia="en-GB"/>
              </w:rPr>
              <w:tab/>
            </w:r>
            <w:r w:rsidRPr="00D00DD8">
              <w:rPr>
                <w:rStyle w:val="Hyperlink"/>
                <w:noProof/>
              </w:rPr>
              <w:t>General Validations</w:t>
            </w:r>
            <w:r>
              <w:rPr>
                <w:noProof/>
                <w:webHidden/>
              </w:rPr>
              <w:tab/>
            </w:r>
            <w:r>
              <w:rPr>
                <w:noProof/>
                <w:webHidden/>
              </w:rPr>
              <w:fldChar w:fldCharType="begin"/>
            </w:r>
            <w:r>
              <w:rPr>
                <w:noProof/>
                <w:webHidden/>
              </w:rPr>
              <w:instrText xml:space="preserve"> PAGEREF _Toc527364497 \h </w:instrText>
            </w:r>
            <w:r>
              <w:rPr>
                <w:noProof/>
                <w:webHidden/>
              </w:rPr>
            </w:r>
            <w:r>
              <w:rPr>
                <w:noProof/>
                <w:webHidden/>
              </w:rPr>
              <w:fldChar w:fldCharType="separate"/>
            </w:r>
            <w:r>
              <w:rPr>
                <w:noProof/>
                <w:webHidden/>
              </w:rPr>
              <w:t>26</w:t>
            </w:r>
            <w:r>
              <w:rPr>
                <w:noProof/>
                <w:webHidden/>
              </w:rPr>
              <w:fldChar w:fldCharType="end"/>
            </w:r>
          </w:hyperlink>
        </w:p>
        <w:p w14:paraId="0E872DB6" w14:textId="3D7D8F58" w:rsidR="00903D74" w:rsidRDefault="00903D74">
          <w:pPr>
            <w:pStyle w:val="TOC2"/>
            <w:rPr>
              <w:rFonts w:eastAsiaTheme="minorEastAsia"/>
              <w:noProof/>
              <w:lang w:eastAsia="en-GB"/>
            </w:rPr>
          </w:pPr>
          <w:hyperlink w:anchor="_Toc527364498" w:history="1">
            <w:r w:rsidRPr="00D00DD8">
              <w:rPr>
                <w:rStyle w:val="Hyperlink"/>
                <w:noProof/>
              </w:rPr>
              <w:t>8.2</w:t>
            </w:r>
            <w:r>
              <w:rPr>
                <w:rFonts w:eastAsiaTheme="minorEastAsia"/>
                <w:noProof/>
                <w:lang w:eastAsia="en-GB"/>
              </w:rPr>
              <w:tab/>
            </w:r>
            <w:r w:rsidRPr="00D00DD8">
              <w:rPr>
                <w:rStyle w:val="Hyperlink"/>
                <w:noProof/>
              </w:rPr>
              <w:t>Notional/Other Notional Currency</w:t>
            </w:r>
            <w:r>
              <w:rPr>
                <w:noProof/>
                <w:webHidden/>
              </w:rPr>
              <w:tab/>
            </w:r>
            <w:r>
              <w:rPr>
                <w:noProof/>
                <w:webHidden/>
              </w:rPr>
              <w:fldChar w:fldCharType="begin"/>
            </w:r>
            <w:r>
              <w:rPr>
                <w:noProof/>
                <w:webHidden/>
              </w:rPr>
              <w:instrText xml:space="preserve"> PAGEREF _Toc527364498 \h </w:instrText>
            </w:r>
            <w:r>
              <w:rPr>
                <w:noProof/>
                <w:webHidden/>
              </w:rPr>
            </w:r>
            <w:r>
              <w:rPr>
                <w:noProof/>
                <w:webHidden/>
              </w:rPr>
              <w:fldChar w:fldCharType="separate"/>
            </w:r>
            <w:r>
              <w:rPr>
                <w:noProof/>
                <w:webHidden/>
              </w:rPr>
              <w:t>26</w:t>
            </w:r>
            <w:r>
              <w:rPr>
                <w:noProof/>
                <w:webHidden/>
              </w:rPr>
              <w:fldChar w:fldCharType="end"/>
            </w:r>
          </w:hyperlink>
        </w:p>
        <w:p w14:paraId="72F16A44" w14:textId="4A3F1CDA" w:rsidR="00903D74" w:rsidRDefault="00903D74">
          <w:pPr>
            <w:pStyle w:val="TOC2"/>
            <w:rPr>
              <w:rFonts w:eastAsiaTheme="minorEastAsia"/>
              <w:noProof/>
              <w:lang w:eastAsia="en-GB"/>
            </w:rPr>
          </w:pPr>
          <w:hyperlink w:anchor="_Toc527364499" w:history="1">
            <w:r w:rsidRPr="00D00DD8">
              <w:rPr>
                <w:rStyle w:val="Hyperlink"/>
                <w:noProof/>
              </w:rPr>
              <w:t>8.3</w:t>
            </w:r>
            <w:r>
              <w:rPr>
                <w:rFonts w:eastAsiaTheme="minorEastAsia"/>
                <w:noProof/>
                <w:lang w:eastAsia="en-GB"/>
              </w:rPr>
              <w:tab/>
            </w:r>
            <w:r w:rsidRPr="00D00DD8">
              <w:rPr>
                <w:rStyle w:val="Hyperlink"/>
                <w:noProof/>
              </w:rPr>
              <w:t>FX Swap Validations</w:t>
            </w:r>
            <w:r>
              <w:rPr>
                <w:noProof/>
                <w:webHidden/>
              </w:rPr>
              <w:tab/>
            </w:r>
            <w:r>
              <w:rPr>
                <w:noProof/>
                <w:webHidden/>
              </w:rPr>
              <w:fldChar w:fldCharType="begin"/>
            </w:r>
            <w:r>
              <w:rPr>
                <w:noProof/>
                <w:webHidden/>
              </w:rPr>
              <w:instrText xml:space="preserve"> PAGEREF _Toc527364499 \h </w:instrText>
            </w:r>
            <w:r>
              <w:rPr>
                <w:noProof/>
                <w:webHidden/>
              </w:rPr>
            </w:r>
            <w:r>
              <w:rPr>
                <w:noProof/>
                <w:webHidden/>
              </w:rPr>
              <w:fldChar w:fldCharType="separate"/>
            </w:r>
            <w:r>
              <w:rPr>
                <w:noProof/>
                <w:webHidden/>
              </w:rPr>
              <w:t>27</w:t>
            </w:r>
            <w:r>
              <w:rPr>
                <w:noProof/>
                <w:webHidden/>
              </w:rPr>
              <w:fldChar w:fldCharType="end"/>
            </w:r>
          </w:hyperlink>
        </w:p>
        <w:p w14:paraId="3286BA06" w14:textId="7F6E19F4" w:rsidR="00903D74" w:rsidRDefault="00903D74">
          <w:pPr>
            <w:pStyle w:val="TOC2"/>
            <w:rPr>
              <w:rFonts w:eastAsiaTheme="minorEastAsia"/>
              <w:noProof/>
              <w:lang w:eastAsia="en-GB"/>
            </w:rPr>
          </w:pPr>
          <w:hyperlink w:anchor="_Toc527364500" w:history="1">
            <w:r w:rsidRPr="00D00DD8">
              <w:rPr>
                <w:rStyle w:val="Hyperlink"/>
                <w:noProof/>
              </w:rPr>
              <w:t>8.4</w:t>
            </w:r>
            <w:r>
              <w:rPr>
                <w:rFonts w:eastAsiaTheme="minorEastAsia"/>
                <w:noProof/>
                <w:lang w:eastAsia="en-GB"/>
              </w:rPr>
              <w:tab/>
            </w:r>
            <w:r w:rsidRPr="00D00DD8">
              <w:rPr>
                <w:rStyle w:val="Hyperlink"/>
                <w:noProof/>
              </w:rPr>
              <w:t>Non-Deliverable FX Swap Validations</w:t>
            </w:r>
            <w:r>
              <w:rPr>
                <w:noProof/>
                <w:webHidden/>
              </w:rPr>
              <w:tab/>
            </w:r>
            <w:r>
              <w:rPr>
                <w:noProof/>
                <w:webHidden/>
              </w:rPr>
              <w:fldChar w:fldCharType="begin"/>
            </w:r>
            <w:r>
              <w:rPr>
                <w:noProof/>
                <w:webHidden/>
              </w:rPr>
              <w:instrText xml:space="preserve"> PAGEREF _Toc527364500 \h </w:instrText>
            </w:r>
            <w:r>
              <w:rPr>
                <w:noProof/>
                <w:webHidden/>
              </w:rPr>
            </w:r>
            <w:r>
              <w:rPr>
                <w:noProof/>
                <w:webHidden/>
              </w:rPr>
              <w:fldChar w:fldCharType="separate"/>
            </w:r>
            <w:r>
              <w:rPr>
                <w:noProof/>
                <w:webHidden/>
              </w:rPr>
              <w:t>27</w:t>
            </w:r>
            <w:r>
              <w:rPr>
                <w:noProof/>
                <w:webHidden/>
              </w:rPr>
              <w:fldChar w:fldCharType="end"/>
            </w:r>
          </w:hyperlink>
        </w:p>
        <w:p w14:paraId="759B53D0" w14:textId="04BDBBE3" w:rsidR="00903D74" w:rsidRDefault="00903D74">
          <w:pPr>
            <w:pStyle w:val="TOC2"/>
            <w:rPr>
              <w:rFonts w:eastAsiaTheme="minorEastAsia"/>
              <w:noProof/>
              <w:lang w:eastAsia="en-GB"/>
            </w:rPr>
          </w:pPr>
          <w:hyperlink w:anchor="_Toc527364501" w:history="1">
            <w:r w:rsidRPr="00D00DD8">
              <w:rPr>
                <w:rStyle w:val="Hyperlink"/>
                <w:noProof/>
              </w:rPr>
              <w:t>8.5</w:t>
            </w:r>
            <w:r>
              <w:rPr>
                <w:rFonts w:eastAsiaTheme="minorEastAsia"/>
                <w:noProof/>
                <w:lang w:eastAsia="en-GB"/>
              </w:rPr>
              <w:tab/>
            </w:r>
            <w:r w:rsidRPr="00D00DD8">
              <w:rPr>
                <w:rStyle w:val="Hyperlink"/>
                <w:noProof/>
              </w:rPr>
              <w:t>FX Non-Deliverable Validations</w:t>
            </w:r>
            <w:r>
              <w:rPr>
                <w:noProof/>
                <w:webHidden/>
              </w:rPr>
              <w:tab/>
            </w:r>
            <w:r>
              <w:rPr>
                <w:noProof/>
                <w:webHidden/>
              </w:rPr>
              <w:fldChar w:fldCharType="begin"/>
            </w:r>
            <w:r>
              <w:rPr>
                <w:noProof/>
                <w:webHidden/>
              </w:rPr>
              <w:instrText xml:space="preserve"> PAGEREF _Toc527364501 \h </w:instrText>
            </w:r>
            <w:r>
              <w:rPr>
                <w:noProof/>
                <w:webHidden/>
              </w:rPr>
            </w:r>
            <w:r>
              <w:rPr>
                <w:noProof/>
                <w:webHidden/>
              </w:rPr>
              <w:fldChar w:fldCharType="separate"/>
            </w:r>
            <w:r>
              <w:rPr>
                <w:noProof/>
                <w:webHidden/>
              </w:rPr>
              <w:t>27</w:t>
            </w:r>
            <w:r>
              <w:rPr>
                <w:noProof/>
                <w:webHidden/>
              </w:rPr>
              <w:fldChar w:fldCharType="end"/>
            </w:r>
          </w:hyperlink>
        </w:p>
        <w:p w14:paraId="62EB5862" w14:textId="566DED70" w:rsidR="00903D74" w:rsidRDefault="00903D74">
          <w:pPr>
            <w:pStyle w:val="TOC2"/>
            <w:rPr>
              <w:rFonts w:eastAsiaTheme="minorEastAsia"/>
              <w:noProof/>
              <w:lang w:eastAsia="en-GB"/>
            </w:rPr>
          </w:pPr>
          <w:hyperlink w:anchor="_Toc527364502" w:history="1">
            <w:r w:rsidRPr="00D00DD8">
              <w:rPr>
                <w:rStyle w:val="Hyperlink"/>
                <w:noProof/>
              </w:rPr>
              <w:t>8.6</w:t>
            </w:r>
            <w:r>
              <w:rPr>
                <w:rFonts w:eastAsiaTheme="minorEastAsia"/>
                <w:noProof/>
                <w:lang w:eastAsia="en-GB"/>
              </w:rPr>
              <w:tab/>
            </w:r>
            <w:r w:rsidRPr="00D00DD8">
              <w:rPr>
                <w:rStyle w:val="Hyperlink"/>
                <w:noProof/>
              </w:rPr>
              <w:t>Commodities Basis Swap</w:t>
            </w:r>
            <w:r>
              <w:rPr>
                <w:noProof/>
                <w:webHidden/>
              </w:rPr>
              <w:tab/>
            </w:r>
            <w:r>
              <w:rPr>
                <w:noProof/>
                <w:webHidden/>
              </w:rPr>
              <w:fldChar w:fldCharType="begin"/>
            </w:r>
            <w:r>
              <w:rPr>
                <w:noProof/>
                <w:webHidden/>
              </w:rPr>
              <w:instrText xml:space="preserve"> PAGEREF _Toc527364502 \h </w:instrText>
            </w:r>
            <w:r>
              <w:rPr>
                <w:noProof/>
                <w:webHidden/>
              </w:rPr>
            </w:r>
            <w:r>
              <w:rPr>
                <w:noProof/>
                <w:webHidden/>
              </w:rPr>
              <w:fldChar w:fldCharType="separate"/>
            </w:r>
            <w:r>
              <w:rPr>
                <w:noProof/>
                <w:webHidden/>
              </w:rPr>
              <w:t>27</w:t>
            </w:r>
            <w:r>
              <w:rPr>
                <w:noProof/>
                <w:webHidden/>
              </w:rPr>
              <w:fldChar w:fldCharType="end"/>
            </w:r>
          </w:hyperlink>
        </w:p>
        <w:p w14:paraId="79AA9152" w14:textId="24B5C4A3" w:rsidR="00903D74" w:rsidRDefault="00903D74">
          <w:pPr>
            <w:pStyle w:val="TOC2"/>
            <w:rPr>
              <w:rFonts w:eastAsiaTheme="minorEastAsia"/>
              <w:noProof/>
              <w:lang w:eastAsia="en-GB"/>
            </w:rPr>
          </w:pPr>
          <w:hyperlink w:anchor="_Toc527364503" w:history="1">
            <w:r w:rsidRPr="00D00DD8">
              <w:rPr>
                <w:rStyle w:val="Hyperlink"/>
                <w:noProof/>
              </w:rPr>
              <w:t>8.7</w:t>
            </w:r>
            <w:r>
              <w:rPr>
                <w:rFonts w:eastAsiaTheme="minorEastAsia"/>
                <w:noProof/>
                <w:lang w:eastAsia="en-GB"/>
              </w:rPr>
              <w:tab/>
            </w:r>
            <w:r w:rsidRPr="00D00DD8">
              <w:rPr>
                <w:rStyle w:val="Hyperlink"/>
                <w:noProof/>
              </w:rPr>
              <w:t>Underlying Instrument Index Prop</w:t>
            </w:r>
            <w:r>
              <w:rPr>
                <w:noProof/>
                <w:webHidden/>
              </w:rPr>
              <w:tab/>
            </w:r>
            <w:r>
              <w:rPr>
                <w:noProof/>
                <w:webHidden/>
              </w:rPr>
              <w:fldChar w:fldCharType="begin"/>
            </w:r>
            <w:r>
              <w:rPr>
                <w:noProof/>
                <w:webHidden/>
              </w:rPr>
              <w:instrText xml:space="preserve"> PAGEREF _Toc527364503 \h </w:instrText>
            </w:r>
            <w:r>
              <w:rPr>
                <w:noProof/>
                <w:webHidden/>
              </w:rPr>
            </w:r>
            <w:r>
              <w:rPr>
                <w:noProof/>
                <w:webHidden/>
              </w:rPr>
              <w:fldChar w:fldCharType="separate"/>
            </w:r>
            <w:r>
              <w:rPr>
                <w:noProof/>
                <w:webHidden/>
              </w:rPr>
              <w:t>27</w:t>
            </w:r>
            <w:r>
              <w:rPr>
                <w:noProof/>
                <w:webHidden/>
              </w:rPr>
              <w:fldChar w:fldCharType="end"/>
            </w:r>
          </w:hyperlink>
        </w:p>
        <w:p w14:paraId="1F96024F" w14:textId="166F9E70" w:rsidR="00903D74" w:rsidRDefault="00903D74">
          <w:pPr>
            <w:pStyle w:val="TOC2"/>
            <w:rPr>
              <w:rFonts w:eastAsiaTheme="minorEastAsia"/>
              <w:noProof/>
              <w:lang w:eastAsia="en-GB"/>
            </w:rPr>
          </w:pPr>
          <w:hyperlink w:anchor="_Toc527364504" w:history="1">
            <w:r w:rsidRPr="00D00DD8">
              <w:rPr>
                <w:rStyle w:val="Hyperlink"/>
                <w:noProof/>
              </w:rPr>
              <w:t>8.8</w:t>
            </w:r>
            <w:r>
              <w:rPr>
                <w:rFonts w:eastAsiaTheme="minorEastAsia"/>
                <w:noProof/>
                <w:lang w:eastAsia="en-GB"/>
              </w:rPr>
              <w:tab/>
            </w:r>
            <w:r w:rsidRPr="00D00DD8">
              <w:rPr>
                <w:rStyle w:val="Hyperlink"/>
                <w:noProof/>
              </w:rPr>
              <w:t>Debt Seniority – Credit Product Definitions</w:t>
            </w:r>
            <w:r>
              <w:rPr>
                <w:noProof/>
                <w:webHidden/>
              </w:rPr>
              <w:tab/>
            </w:r>
            <w:r>
              <w:rPr>
                <w:noProof/>
                <w:webHidden/>
              </w:rPr>
              <w:fldChar w:fldCharType="begin"/>
            </w:r>
            <w:r>
              <w:rPr>
                <w:noProof/>
                <w:webHidden/>
              </w:rPr>
              <w:instrText xml:space="preserve"> PAGEREF _Toc527364504 \h </w:instrText>
            </w:r>
            <w:r>
              <w:rPr>
                <w:noProof/>
                <w:webHidden/>
              </w:rPr>
            </w:r>
            <w:r>
              <w:rPr>
                <w:noProof/>
                <w:webHidden/>
              </w:rPr>
              <w:fldChar w:fldCharType="separate"/>
            </w:r>
            <w:r>
              <w:rPr>
                <w:noProof/>
                <w:webHidden/>
              </w:rPr>
              <w:t>27</w:t>
            </w:r>
            <w:r>
              <w:rPr>
                <w:noProof/>
                <w:webHidden/>
              </w:rPr>
              <w:fldChar w:fldCharType="end"/>
            </w:r>
          </w:hyperlink>
        </w:p>
        <w:p w14:paraId="58E34C91" w14:textId="2806FE5F" w:rsidR="00903D74" w:rsidRDefault="00903D74">
          <w:pPr>
            <w:pStyle w:val="TOC2"/>
            <w:rPr>
              <w:rFonts w:eastAsiaTheme="minorEastAsia"/>
              <w:noProof/>
              <w:lang w:eastAsia="en-GB"/>
            </w:rPr>
          </w:pPr>
          <w:hyperlink w:anchor="_Toc527364505" w:history="1">
            <w:r w:rsidRPr="00D00DD8">
              <w:rPr>
                <w:rStyle w:val="Hyperlink"/>
                <w:noProof/>
              </w:rPr>
              <w:t>8.9</w:t>
            </w:r>
            <w:r>
              <w:rPr>
                <w:rFonts w:eastAsiaTheme="minorEastAsia"/>
                <w:noProof/>
                <w:lang w:eastAsia="en-GB"/>
              </w:rPr>
              <w:tab/>
            </w:r>
            <w:r w:rsidRPr="00D00DD8">
              <w:rPr>
                <w:rStyle w:val="Hyperlink"/>
                <w:noProof/>
              </w:rPr>
              <w:t>Credit Index Term Value, Series &amp; Version</w:t>
            </w:r>
            <w:r>
              <w:rPr>
                <w:noProof/>
                <w:webHidden/>
              </w:rPr>
              <w:tab/>
            </w:r>
            <w:r>
              <w:rPr>
                <w:noProof/>
                <w:webHidden/>
              </w:rPr>
              <w:fldChar w:fldCharType="begin"/>
            </w:r>
            <w:r>
              <w:rPr>
                <w:noProof/>
                <w:webHidden/>
              </w:rPr>
              <w:instrText xml:space="preserve"> PAGEREF _Toc527364505 \h </w:instrText>
            </w:r>
            <w:r>
              <w:rPr>
                <w:noProof/>
                <w:webHidden/>
              </w:rPr>
            </w:r>
            <w:r>
              <w:rPr>
                <w:noProof/>
                <w:webHidden/>
              </w:rPr>
              <w:fldChar w:fldCharType="separate"/>
            </w:r>
            <w:r>
              <w:rPr>
                <w:noProof/>
                <w:webHidden/>
              </w:rPr>
              <w:t>27</w:t>
            </w:r>
            <w:r>
              <w:rPr>
                <w:noProof/>
                <w:webHidden/>
              </w:rPr>
              <w:fldChar w:fldCharType="end"/>
            </w:r>
          </w:hyperlink>
        </w:p>
        <w:p w14:paraId="22FD3589" w14:textId="32070998" w:rsidR="00903D74" w:rsidRDefault="00903D74">
          <w:pPr>
            <w:pStyle w:val="TOC2"/>
            <w:rPr>
              <w:rFonts w:eastAsiaTheme="minorEastAsia"/>
              <w:noProof/>
              <w:lang w:eastAsia="en-GB"/>
            </w:rPr>
          </w:pPr>
          <w:hyperlink w:anchor="_Toc527364506" w:history="1">
            <w:r w:rsidRPr="00D00DD8">
              <w:rPr>
                <w:rStyle w:val="Hyperlink"/>
                <w:noProof/>
              </w:rPr>
              <w:t>8.10</w:t>
            </w:r>
            <w:r>
              <w:rPr>
                <w:rFonts w:eastAsiaTheme="minorEastAsia"/>
                <w:noProof/>
                <w:lang w:eastAsia="en-GB"/>
              </w:rPr>
              <w:tab/>
            </w:r>
            <w:r w:rsidRPr="00D00DD8">
              <w:rPr>
                <w:rStyle w:val="Hyperlink"/>
                <w:noProof/>
              </w:rPr>
              <w:t>Credit Non-Standard SWAP Validations</w:t>
            </w:r>
            <w:r>
              <w:rPr>
                <w:noProof/>
                <w:webHidden/>
              </w:rPr>
              <w:tab/>
            </w:r>
            <w:r>
              <w:rPr>
                <w:noProof/>
                <w:webHidden/>
              </w:rPr>
              <w:fldChar w:fldCharType="begin"/>
            </w:r>
            <w:r>
              <w:rPr>
                <w:noProof/>
                <w:webHidden/>
              </w:rPr>
              <w:instrText xml:space="preserve"> PAGEREF _Toc527364506 \h </w:instrText>
            </w:r>
            <w:r>
              <w:rPr>
                <w:noProof/>
                <w:webHidden/>
              </w:rPr>
            </w:r>
            <w:r>
              <w:rPr>
                <w:noProof/>
                <w:webHidden/>
              </w:rPr>
              <w:fldChar w:fldCharType="separate"/>
            </w:r>
            <w:r>
              <w:rPr>
                <w:noProof/>
                <w:webHidden/>
              </w:rPr>
              <w:t>28</w:t>
            </w:r>
            <w:r>
              <w:rPr>
                <w:noProof/>
                <w:webHidden/>
              </w:rPr>
              <w:fldChar w:fldCharType="end"/>
            </w:r>
          </w:hyperlink>
        </w:p>
        <w:p w14:paraId="66FBA0F5" w14:textId="30499033" w:rsidR="00903D74" w:rsidRDefault="00903D74">
          <w:pPr>
            <w:pStyle w:val="TOC2"/>
            <w:rPr>
              <w:rFonts w:eastAsiaTheme="minorEastAsia"/>
              <w:noProof/>
              <w:lang w:eastAsia="en-GB"/>
            </w:rPr>
          </w:pPr>
          <w:hyperlink w:anchor="_Toc527364507" w:history="1">
            <w:r w:rsidRPr="00D00DD8">
              <w:rPr>
                <w:rStyle w:val="Hyperlink"/>
                <w:noProof/>
              </w:rPr>
              <w:t>8.11</w:t>
            </w:r>
            <w:r>
              <w:rPr>
                <w:rFonts w:eastAsiaTheme="minorEastAsia"/>
                <w:noProof/>
                <w:lang w:eastAsia="en-GB"/>
              </w:rPr>
              <w:tab/>
            </w:r>
            <w:r w:rsidRPr="00D00DD8">
              <w:rPr>
                <w:rStyle w:val="Hyperlink"/>
                <w:noProof/>
              </w:rPr>
              <w:t>Credit Non-Standard OPTION Validations</w:t>
            </w:r>
            <w:r>
              <w:rPr>
                <w:noProof/>
                <w:webHidden/>
              </w:rPr>
              <w:tab/>
            </w:r>
            <w:r>
              <w:rPr>
                <w:noProof/>
                <w:webHidden/>
              </w:rPr>
              <w:fldChar w:fldCharType="begin"/>
            </w:r>
            <w:r>
              <w:rPr>
                <w:noProof/>
                <w:webHidden/>
              </w:rPr>
              <w:instrText xml:space="preserve"> PAGEREF _Toc527364507 \h </w:instrText>
            </w:r>
            <w:r>
              <w:rPr>
                <w:noProof/>
                <w:webHidden/>
              </w:rPr>
            </w:r>
            <w:r>
              <w:rPr>
                <w:noProof/>
                <w:webHidden/>
              </w:rPr>
              <w:fldChar w:fldCharType="separate"/>
            </w:r>
            <w:r>
              <w:rPr>
                <w:noProof/>
                <w:webHidden/>
              </w:rPr>
              <w:t>28</w:t>
            </w:r>
            <w:r>
              <w:rPr>
                <w:noProof/>
                <w:webHidden/>
              </w:rPr>
              <w:fldChar w:fldCharType="end"/>
            </w:r>
          </w:hyperlink>
        </w:p>
        <w:p w14:paraId="5E5ACF30" w14:textId="6BE1B35F" w:rsidR="00903D74" w:rsidRDefault="00903D74">
          <w:pPr>
            <w:pStyle w:val="TOC2"/>
            <w:rPr>
              <w:rFonts w:eastAsiaTheme="minorEastAsia"/>
              <w:noProof/>
              <w:lang w:eastAsia="en-GB"/>
            </w:rPr>
          </w:pPr>
          <w:hyperlink w:anchor="_Toc527364508" w:history="1">
            <w:r w:rsidRPr="00D00DD8">
              <w:rPr>
                <w:rStyle w:val="Hyperlink"/>
                <w:noProof/>
              </w:rPr>
              <w:t>8.12</w:t>
            </w:r>
            <w:r>
              <w:rPr>
                <w:rFonts w:eastAsiaTheme="minorEastAsia"/>
                <w:noProof/>
                <w:lang w:eastAsia="en-GB"/>
              </w:rPr>
              <w:tab/>
            </w:r>
            <w:r w:rsidRPr="00D00DD8">
              <w:rPr>
                <w:rStyle w:val="Hyperlink"/>
                <w:noProof/>
              </w:rPr>
              <w:t>Equity Non-Standard SWAP Validations</w:t>
            </w:r>
            <w:r>
              <w:rPr>
                <w:noProof/>
                <w:webHidden/>
              </w:rPr>
              <w:tab/>
            </w:r>
            <w:r>
              <w:rPr>
                <w:noProof/>
                <w:webHidden/>
              </w:rPr>
              <w:fldChar w:fldCharType="begin"/>
            </w:r>
            <w:r>
              <w:rPr>
                <w:noProof/>
                <w:webHidden/>
              </w:rPr>
              <w:instrText xml:space="preserve"> PAGEREF _Toc527364508 \h </w:instrText>
            </w:r>
            <w:r>
              <w:rPr>
                <w:noProof/>
                <w:webHidden/>
              </w:rPr>
            </w:r>
            <w:r>
              <w:rPr>
                <w:noProof/>
                <w:webHidden/>
              </w:rPr>
              <w:fldChar w:fldCharType="separate"/>
            </w:r>
            <w:r>
              <w:rPr>
                <w:noProof/>
                <w:webHidden/>
              </w:rPr>
              <w:t>29</w:t>
            </w:r>
            <w:r>
              <w:rPr>
                <w:noProof/>
                <w:webHidden/>
              </w:rPr>
              <w:fldChar w:fldCharType="end"/>
            </w:r>
          </w:hyperlink>
        </w:p>
        <w:p w14:paraId="5CCB4BC3" w14:textId="689A01F2" w:rsidR="00903D74" w:rsidRDefault="00903D74">
          <w:pPr>
            <w:pStyle w:val="TOC2"/>
            <w:rPr>
              <w:rFonts w:eastAsiaTheme="minorEastAsia"/>
              <w:noProof/>
              <w:lang w:eastAsia="en-GB"/>
            </w:rPr>
          </w:pPr>
          <w:hyperlink w:anchor="_Toc527364509" w:history="1">
            <w:r w:rsidRPr="00D00DD8">
              <w:rPr>
                <w:rStyle w:val="Hyperlink"/>
                <w:noProof/>
              </w:rPr>
              <w:t>8.13</w:t>
            </w:r>
            <w:r>
              <w:rPr>
                <w:rFonts w:eastAsiaTheme="minorEastAsia"/>
                <w:noProof/>
                <w:lang w:eastAsia="en-GB"/>
              </w:rPr>
              <w:tab/>
            </w:r>
            <w:r w:rsidRPr="00D00DD8">
              <w:rPr>
                <w:rStyle w:val="Hyperlink"/>
                <w:noProof/>
              </w:rPr>
              <w:t>Equity Non-Standard OPTION Validations</w:t>
            </w:r>
            <w:r>
              <w:rPr>
                <w:noProof/>
                <w:webHidden/>
              </w:rPr>
              <w:tab/>
            </w:r>
            <w:r>
              <w:rPr>
                <w:noProof/>
                <w:webHidden/>
              </w:rPr>
              <w:fldChar w:fldCharType="begin"/>
            </w:r>
            <w:r>
              <w:rPr>
                <w:noProof/>
                <w:webHidden/>
              </w:rPr>
              <w:instrText xml:space="preserve"> PAGEREF _Toc527364509 \h </w:instrText>
            </w:r>
            <w:r>
              <w:rPr>
                <w:noProof/>
                <w:webHidden/>
              </w:rPr>
            </w:r>
            <w:r>
              <w:rPr>
                <w:noProof/>
                <w:webHidden/>
              </w:rPr>
              <w:fldChar w:fldCharType="separate"/>
            </w:r>
            <w:r>
              <w:rPr>
                <w:noProof/>
                <w:webHidden/>
              </w:rPr>
              <w:t>30</w:t>
            </w:r>
            <w:r>
              <w:rPr>
                <w:noProof/>
                <w:webHidden/>
              </w:rPr>
              <w:fldChar w:fldCharType="end"/>
            </w:r>
          </w:hyperlink>
        </w:p>
        <w:p w14:paraId="7E26642F" w14:textId="18C23B74" w:rsidR="00903D74" w:rsidRDefault="00903D74">
          <w:pPr>
            <w:pStyle w:val="TOC2"/>
            <w:rPr>
              <w:rFonts w:eastAsiaTheme="minorEastAsia"/>
              <w:noProof/>
              <w:lang w:eastAsia="en-GB"/>
            </w:rPr>
          </w:pPr>
          <w:hyperlink w:anchor="_Toc527364510" w:history="1">
            <w:r w:rsidRPr="00D00DD8">
              <w:rPr>
                <w:rStyle w:val="Hyperlink"/>
                <w:noProof/>
              </w:rPr>
              <w:t>8.14</w:t>
            </w:r>
            <w:r>
              <w:rPr>
                <w:rFonts w:eastAsiaTheme="minorEastAsia"/>
                <w:noProof/>
                <w:lang w:eastAsia="en-GB"/>
              </w:rPr>
              <w:tab/>
            </w:r>
            <w:r w:rsidRPr="00D00DD8">
              <w:rPr>
                <w:rStyle w:val="Hyperlink"/>
                <w:noProof/>
              </w:rPr>
              <w:t>Equity Non-Standard FORWARD Validations</w:t>
            </w:r>
            <w:r>
              <w:rPr>
                <w:noProof/>
                <w:webHidden/>
              </w:rPr>
              <w:tab/>
            </w:r>
            <w:r>
              <w:rPr>
                <w:noProof/>
                <w:webHidden/>
              </w:rPr>
              <w:fldChar w:fldCharType="begin"/>
            </w:r>
            <w:r>
              <w:rPr>
                <w:noProof/>
                <w:webHidden/>
              </w:rPr>
              <w:instrText xml:space="preserve"> PAGEREF _Toc527364510 \h </w:instrText>
            </w:r>
            <w:r>
              <w:rPr>
                <w:noProof/>
                <w:webHidden/>
              </w:rPr>
            </w:r>
            <w:r>
              <w:rPr>
                <w:noProof/>
                <w:webHidden/>
              </w:rPr>
              <w:fldChar w:fldCharType="separate"/>
            </w:r>
            <w:r>
              <w:rPr>
                <w:noProof/>
                <w:webHidden/>
              </w:rPr>
              <w:t>30</w:t>
            </w:r>
            <w:r>
              <w:rPr>
                <w:noProof/>
                <w:webHidden/>
              </w:rPr>
              <w:fldChar w:fldCharType="end"/>
            </w:r>
          </w:hyperlink>
        </w:p>
        <w:p w14:paraId="21DE51F1" w14:textId="3C14A144" w:rsidR="00903D74" w:rsidRDefault="00903D74">
          <w:pPr>
            <w:pStyle w:val="TOC2"/>
            <w:rPr>
              <w:rFonts w:eastAsiaTheme="minorEastAsia"/>
              <w:noProof/>
              <w:lang w:eastAsia="en-GB"/>
            </w:rPr>
          </w:pPr>
          <w:hyperlink w:anchor="_Toc527364511" w:history="1">
            <w:r w:rsidRPr="00D00DD8">
              <w:rPr>
                <w:rStyle w:val="Hyperlink"/>
                <w:noProof/>
              </w:rPr>
              <w:t>8.15</w:t>
            </w:r>
            <w:r>
              <w:rPr>
                <w:rFonts w:eastAsiaTheme="minorEastAsia"/>
                <w:noProof/>
                <w:lang w:eastAsia="en-GB"/>
              </w:rPr>
              <w:tab/>
            </w:r>
            <w:r w:rsidRPr="00D00DD8">
              <w:rPr>
                <w:rStyle w:val="Hyperlink"/>
                <w:noProof/>
              </w:rPr>
              <w:t>Rates - Reference Rate or Other Leg Reference Rate Validations</w:t>
            </w:r>
            <w:r>
              <w:rPr>
                <w:noProof/>
                <w:webHidden/>
              </w:rPr>
              <w:tab/>
            </w:r>
            <w:r>
              <w:rPr>
                <w:noProof/>
                <w:webHidden/>
              </w:rPr>
              <w:fldChar w:fldCharType="begin"/>
            </w:r>
            <w:r>
              <w:rPr>
                <w:noProof/>
                <w:webHidden/>
              </w:rPr>
              <w:instrText xml:space="preserve"> PAGEREF _Toc527364511 \h </w:instrText>
            </w:r>
            <w:r>
              <w:rPr>
                <w:noProof/>
                <w:webHidden/>
              </w:rPr>
            </w:r>
            <w:r>
              <w:rPr>
                <w:noProof/>
                <w:webHidden/>
              </w:rPr>
              <w:fldChar w:fldCharType="separate"/>
            </w:r>
            <w:r>
              <w:rPr>
                <w:noProof/>
                <w:webHidden/>
              </w:rPr>
              <w:t>31</w:t>
            </w:r>
            <w:r>
              <w:rPr>
                <w:noProof/>
                <w:webHidden/>
              </w:rPr>
              <w:fldChar w:fldCharType="end"/>
            </w:r>
          </w:hyperlink>
        </w:p>
        <w:p w14:paraId="68FA4F8F" w14:textId="0252862B" w:rsidR="00903D74" w:rsidRDefault="00903D74">
          <w:pPr>
            <w:pStyle w:val="TOC2"/>
            <w:rPr>
              <w:rFonts w:eastAsiaTheme="minorEastAsia"/>
              <w:noProof/>
              <w:lang w:eastAsia="en-GB"/>
            </w:rPr>
          </w:pPr>
          <w:hyperlink w:anchor="_Toc527364512" w:history="1">
            <w:r w:rsidRPr="00D00DD8">
              <w:rPr>
                <w:rStyle w:val="Hyperlink"/>
                <w:noProof/>
              </w:rPr>
              <w:t>8.16</w:t>
            </w:r>
            <w:r>
              <w:rPr>
                <w:rFonts w:eastAsiaTheme="minorEastAsia"/>
                <w:noProof/>
                <w:lang w:eastAsia="en-GB"/>
              </w:rPr>
              <w:tab/>
            </w:r>
            <w:r w:rsidRPr="00D00DD8">
              <w:rPr>
                <w:rStyle w:val="Hyperlink"/>
                <w:noProof/>
              </w:rPr>
              <w:t>Rates CapFloor – Underlying Instrument Index</w:t>
            </w:r>
            <w:r>
              <w:rPr>
                <w:noProof/>
                <w:webHidden/>
              </w:rPr>
              <w:tab/>
            </w:r>
            <w:r>
              <w:rPr>
                <w:noProof/>
                <w:webHidden/>
              </w:rPr>
              <w:fldChar w:fldCharType="begin"/>
            </w:r>
            <w:r>
              <w:rPr>
                <w:noProof/>
                <w:webHidden/>
              </w:rPr>
              <w:instrText xml:space="preserve"> PAGEREF _Toc527364512 \h </w:instrText>
            </w:r>
            <w:r>
              <w:rPr>
                <w:noProof/>
                <w:webHidden/>
              </w:rPr>
            </w:r>
            <w:r>
              <w:rPr>
                <w:noProof/>
                <w:webHidden/>
              </w:rPr>
              <w:fldChar w:fldCharType="separate"/>
            </w:r>
            <w:r>
              <w:rPr>
                <w:noProof/>
                <w:webHidden/>
              </w:rPr>
              <w:t>31</w:t>
            </w:r>
            <w:r>
              <w:rPr>
                <w:noProof/>
                <w:webHidden/>
              </w:rPr>
              <w:fldChar w:fldCharType="end"/>
            </w:r>
          </w:hyperlink>
        </w:p>
        <w:p w14:paraId="65CB05F3" w14:textId="57F97344" w:rsidR="00903D74" w:rsidRDefault="00903D74">
          <w:pPr>
            <w:pStyle w:val="TOC2"/>
            <w:rPr>
              <w:rFonts w:eastAsiaTheme="minorEastAsia"/>
              <w:noProof/>
              <w:lang w:eastAsia="en-GB"/>
            </w:rPr>
          </w:pPr>
          <w:hyperlink w:anchor="_Toc527364513" w:history="1">
            <w:r w:rsidRPr="00D00DD8">
              <w:rPr>
                <w:rStyle w:val="Hyperlink"/>
                <w:noProof/>
              </w:rPr>
              <w:t>8.17</w:t>
            </w:r>
            <w:r>
              <w:rPr>
                <w:rFonts w:eastAsiaTheme="minorEastAsia"/>
                <w:noProof/>
                <w:lang w:eastAsia="en-GB"/>
              </w:rPr>
              <w:tab/>
            </w:r>
            <w:r w:rsidRPr="00D00DD8">
              <w:rPr>
                <w:rStyle w:val="Hyperlink"/>
                <w:noProof/>
              </w:rPr>
              <w:t>New ISO 4217 Currency code validation</w:t>
            </w:r>
            <w:r>
              <w:rPr>
                <w:noProof/>
                <w:webHidden/>
              </w:rPr>
              <w:tab/>
            </w:r>
            <w:r>
              <w:rPr>
                <w:noProof/>
                <w:webHidden/>
              </w:rPr>
              <w:fldChar w:fldCharType="begin"/>
            </w:r>
            <w:r>
              <w:rPr>
                <w:noProof/>
                <w:webHidden/>
              </w:rPr>
              <w:instrText xml:space="preserve"> PAGEREF _Toc527364513 \h </w:instrText>
            </w:r>
            <w:r>
              <w:rPr>
                <w:noProof/>
                <w:webHidden/>
              </w:rPr>
            </w:r>
            <w:r>
              <w:rPr>
                <w:noProof/>
                <w:webHidden/>
              </w:rPr>
              <w:fldChar w:fldCharType="separate"/>
            </w:r>
            <w:r>
              <w:rPr>
                <w:noProof/>
                <w:webHidden/>
              </w:rPr>
              <w:t>31</w:t>
            </w:r>
            <w:r>
              <w:rPr>
                <w:noProof/>
                <w:webHidden/>
              </w:rPr>
              <w:fldChar w:fldCharType="end"/>
            </w:r>
          </w:hyperlink>
        </w:p>
        <w:p w14:paraId="38B035C9" w14:textId="5211ECB6" w:rsidR="00903D74" w:rsidRDefault="00903D74">
          <w:pPr>
            <w:pStyle w:val="TOC2"/>
            <w:rPr>
              <w:rFonts w:eastAsiaTheme="minorEastAsia"/>
              <w:noProof/>
              <w:lang w:eastAsia="en-GB"/>
            </w:rPr>
          </w:pPr>
          <w:hyperlink w:anchor="_Toc527364514" w:history="1">
            <w:r w:rsidRPr="00D00DD8">
              <w:rPr>
                <w:rStyle w:val="Hyperlink"/>
                <w:noProof/>
              </w:rPr>
              <w:t>8.18</w:t>
            </w:r>
            <w:r>
              <w:rPr>
                <w:rFonts w:eastAsiaTheme="minorEastAsia"/>
                <w:noProof/>
                <w:lang w:eastAsia="en-GB"/>
              </w:rPr>
              <w:tab/>
            </w:r>
            <w:r w:rsidRPr="00D00DD8">
              <w:rPr>
                <w:rStyle w:val="Hyperlink"/>
                <w:noProof/>
              </w:rPr>
              <w:t>Commodities : Multi-Exotic Swap, Option or Forward Underlying Assets</w:t>
            </w:r>
            <w:r>
              <w:rPr>
                <w:noProof/>
                <w:webHidden/>
              </w:rPr>
              <w:tab/>
            </w:r>
            <w:r>
              <w:rPr>
                <w:noProof/>
                <w:webHidden/>
              </w:rPr>
              <w:fldChar w:fldCharType="begin"/>
            </w:r>
            <w:r>
              <w:rPr>
                <w:noProof/>
                <w:webHidden/>
              </w:rPr>
              <w:instrText xml:space="preserve"> PAGEREF _Toc527364514 \h </w:instrText>
            </w:r>
            <w:r>
              <w:rPr>
                <w:noProof/>
                <w:webHidden/>
              </w:rPr>
            </w:r>
            <w:r>
              <w:rPr>
                <w:noProof/>
                <w:webHidden/>
              </w:rPr>
              <w:fldChar w:fldCharType="separate"/>
            </w:r>
            <w:r>
              <w:rPr>
                <w:noProof/>
                <w:webHidden/>
              </w:rPr>
              <w:t>32</w:t>
            </w:r>
            <w:r>
              <w:rPr>
                <w:noProof/>
                <w:webHidden/>
              </w:rPr>
              <w:fldChar w:fldCharType="end"/>
            </w:r>
          </w:hyperlink>
        </w:p>
        <w:p w14:paraId="5B0C392F" w14:textId="253428AE" w:rsidR="00903D74" w:rsidRDefault="00903D74">
          <w:pPr>
            <w:pStyle w:val="TOC1"/>
            <w:tabs>
              <w:tab w:val="left" w:pos="440"/>
              <w:tab w:val="right" w:leader="dot" w:pos="9016"/>
            </w:tabs>
            <w:rPr>
              <w:rFonts w:eastAsiaTheme="minorEastAsia"/>
              <w:noProof/>
              <w:lang w:eastAsia="en-GB"/>
            </w:rPr>
          </w:pPr>
          <w:hyperlink w:anchor="_Toc527364515" w:history="1">
            <w:r w:rsidRPr="00D00DD8">
              <w:rPr>
                <w:rStyle w:val="Hyperlink"/>
                <w:noProof/>
              </w:rPr>
              <w:t>9</w:t>
            </w:r>
            <w:r>
              <w:rPr>
                <w:rFonts w:eastAsiaTheme="minorEastAsia"/>
                <w:noProof/>
                <w:lang w:eastAsia="en-GB"/>
              </w:rPr>
              <w:tab/>
            </w:r>
            <w:r w:rsidRPr="00D00DD8">
              <w:rPr>
                <w:rStyle w:val="Hyperlink"/>
                <w:noProof/>
              </w:rPr>
              <w:t>Appendix III: Licensing</w:t>
            </w:r>
            <w:r>
              <w:rPr>
                <w:noProof/>
                <w:webHidden/>
              </w:rPr>
              <w:tab/>
            </w:r>
            <w:r>
              <w:rPr>
                <w:noProof/>
                <w:webHidden/>
              </w:rPr>
              <w:fldChar w:fldCharType="begin"/>
            </w:r>
            <w:r>
              <w:rPr>
                <w:noProof/>
                <w:webHidden/>
              </w:rPr>
              <w:instrText xml:space="preserve"> PAGEREF _Toc527364515 \h </w:instrText>
            </w:r>
            <w:r>
              <w:rPr>
                <w:noProof/>
                <w:webHidden/>
              </w:rPr>
            </w:r>
            <w:r>
              <w:rPr>
                <w:noProof/>
                <w:webHidden/>
              </w:rPr>
              <w:fldChar w:fldCharType="separate"/>
            </w:r>
            <w:r>
              <w:rPr>
                <w:noProof/>
                <w:webHidden/>
              </w:rPr>
              <w:t>33</w:t>
            </w:r>
            <w:r>
              <w:rPr>
                <w:noProof/>
                <w:webHidden/>
              </w:rPr>
              <w:fldChar w:fldCharType="end"/>
            </w:r>
          </w:hyperlink>
        </w:p>
        <w:p w14:paraId="7EFA9FC1" w14:textId="323038FA" w:rsidR="00903D74" w:rsidRDefault="00903D74">
          <w:pPr>
            <w:pStyle w:val="TOC2"/>
            <w:rPr>
              <w:rFonts w:eastAsiaTheme="minorEastAsia"/>
              <w:noProof/>
              <w:lang w:eastAsia="en-GB"/>
            </w:rPr>
          </w:pPr>
          <w:hyperlink w:anchor="_Toc527364516" w:history="1">
            <w:r w:rsidRPr="00D00DD8">
              <w:rPr>
                <w:rStyle w:val="Hyperlink"/>
                <w:noProof/>
              </w:rPr>
              <w:t>9.1</w:t>
            </w:r>
            <w:r>
              <w:rPr>
                <w:rFonts w:eastAsiaTheme="minorEastAsia"/>
                <w:noProof/>
                <w:lang w:eastAsia="en-GB"/>
              </w:rPr>
              <w:tab/>
            </w:r>
            <w:r w:rsidRPr="00D00DD8">
              <w:rPr>
                <w:rStyle w:val="Hyperlink"/>
                <w:noProof/>
              </w:rPr>
              <w:t>FpML Exhibit A</w:t>
            </w:r>
            <w:r>
              <w:rPr>
                <w:noProof/>
                <w:webHidden/>
              </w:rPr>
              <w:tab/>
            </w:r>
            <w:r>
              <w:rPr>
                <w:noProof/>
                <w:webHidden/>
              </w:rPr>
              <w:fldChar w:fldCharType="begin"/>
            </w:r>
            <w:r>
              <w:rPr>
                <w:noProof/>
                <w:webHidden/>
              </w:rPr>
              <w:instrText xml:space="preserve"> PAGEREF _Toc527364516 \h </w:instrText>
            </w:r>
            <w:r>
              <w:rPr>
                <w:noProof/>
                <w:webHidden/>
              </w:rPr>
            </w:r>
            <w:r>
              <w:rPr>
                <w:noProof/>
                <w:webHidden/>
              </w:rPr>
              <w:fldChar w:fldCharType="separate"/>
            </w:r>
            <w:r>
              <w:rPr>
                <w:noProof/>
                <w:webHidden/>
              </w:rPr>
              <w:t>33</w:t>
            </w:r>
            <w:r>
              <w:rPr>
                <w:noProof/>
                <w:webHidden/>
              </w:rPr>
              <w:fldChar w:fldCharType="end"/>
            </w:r>
          </w:hyperlink>
        </w:p>
        <w:p w14:paraId="1970A8B4" w14:textId="3244DF18" w:rsidR="00D16C68" w:rsidRDefault="00D16C68" w:rsidP="00D16C68">
          <w:pPr>
            <w:rPr>
              <w:b/>
              <w:bCs/>
              <w:noProof/>
            </w:rPr>
          </w:pPr>
          <w:r>
            <w:rPr>
              <w:b/>
              <w:bCs/>
              <w:noProof/>
            </w:rPr>
            <w:fldChar w:fldCharType="end"/>
          </w:r>
        </w:p>
      </w:sdtContent>
    </w:sdt>
    <w:p w14:paraId="7D276F11" w14:textId="280703C4" w:rsidR="00473A2C" w:rsidRDefault="00473A2C">
      <w:pPr>
        <w:rPr>
          <w:rFonts w:asciiTheme="majorHAnsi" w:eastAsiaTheme="majorEastAsia" w:hAnsiTheme="majorHAnsi" w:cstheme="majorBidi"/>
          <w:color w:val="2E74B5" w:themeColor="accent1" w:themeShade="BF"/>
          <w:sz w:val="32"/>
          <w:szCs w:val="32"/>
        </w:rPr>
      </w:pPr>
      <w:r>
        <w:br w:type="page"/>
      </w:r>
    </w:p>
    <w:p w14:paraId="432C9DB0" w14:textId="3EDB465F" w:rsidR="009B0482" w:rsidRDefault="009B0482" w:rsidP="00F92429">
      <w:pPr>
        <w:pStyle w:val="Heading1"/>
      </w:pPr>
      <w:bookmarkStart w:id="4" w:name="_Toc527364471"/>
      <w:r>
        <w:lastRenderedPageBreak/>
        <w:t>Organization of this report</w:t>
      </w:r>
      <w:bookmarkEnd w:id="4"/>
    </w:p>
    <w:p w14:paraId="0FD73DF2" w14:textId="77777777" w:rsidR="00286406" w:rsidRDefault="00286406" w:rsidP="000A459A"/>
    <w:p w14:paraId="2E7B6EB5" w14:textId="2D81059E" w:rsidR="000A459A" w:rsidRDefault="000C4B76" w:rsidP="000A459A">
      <w:r>
        <w:t>The document is organized as follows</w:t>
      </w:r>
      <w:r w:rsidR="00151860">
        <w:t>:</w:t>
      </w:r>
    </w:p>
    <w:p w14:paraId="5A9CDEF8" w14:textId="77777777" w:rsidR="00964925" w:rsidRDefault="00964925" w:rsidP="000A459A"/>
    <w:p w14:paraId="26633C31" w14:textId="689E046E" w:rsidR="008458A1" w:rsidRDefault="00C76C56" w:rsidP="00E01C95">
      <w:pPr>
        <w:pStyle w:val="ListParagraph"/>
        <w:numPr>
          <w:ilvl w:val="0"/>
          <w:numId w:val="2"/>
        </w:numPr>
      </w:pPr>
      <w:r w:rsidRPr="00F92429">
        <w:t xml:space="preserve">Section </w:t>
      </w:r>
      <w:r w:rsidR="006F09FB">
        <w:t>3</w:t>
      </w:r>
      <w:r w:rsidRPr="00F92429">
        <w:t xml:space="preserve"> </w:t>
      </w:r>
      <w:r w:rsidR="00F92429" w:rsidRPr="00F92429">
        <w:t xml:space="preserve">outlines the structure and attributes contained within the </w:t>
      </w:r>
      <w:r w:rsidR="008458A1">
        <w:t>Product Definitions</w:t>
      </w:r>
    </w:p>
    <w:p w14:paraId="260984BE" w14:textId="53587F7F" w:rsidR="000332F3" w:rsidRPr="00F92429" w:rsidRDefault="006F09FB" w:rsidP="00E01C95">
      <w:pPr>
        <w:pStyle w:val="ListParagraph"/>
        <w:numPr>
          <w:ilvl w:val="0"/>
          <w:numId w:val="2"/>
        </w:numPr>
      </w:pPr>
      <w:r>
        <w:t>Section 4</w:t>
      </w:r>
      <w:r w:rsidR="000332F3" w:rsidRPr="00F92429">
        <w:t xml:space="preserve"> outlines the </w:t>
      </w:r>
      <w:r w:rsidR="00F92429" w:rsidRPr="00F92429">
        <w:t>enumerations</w:t>
      </w:r>
      <w:r w:rsidR="003A1574">
        <w:t xml:space="preserve"> and validations, where applicable,</w:t>
      </w:r>
      <w:r w:rsidR="00F92429" w:rsidRPr="00F92429">
        <w:t xml:space="preserve"> of each </w:t>
      </w:r>
      <w:r w:rsidR="003A1574">
        <w:t xml:space="preserve">of the </w:t>
      </w:r>
      <w:r w:rsidR="00F92429" w:rsidRPr="00F92429">
        <w:t>a</w:t>
      </w:r>
      <w:r w:rsidR="008458A1">
        <w:t xml:space="preserve">ttributes contained within the </w:t>
      </w:r>
      <w:r w:rsidR="00F82D9A">
        <w:t xml:space="preserve">provisional </w:t>
      </w:r>
      <w:r w:rsidR="008458A1">
        <w:t>Product Definitions</w:t>
      </w:r>
    </w:p>
    <w:p w14:paraId="70564D9E" w14:textId="3D82DEA7" w:rsidR="008458A1" w:rsidRDefault="00276804" w:rsidP="002B776F">
      <w:pPr>
        <w:pStyle w:val="Heading1"/>
      </w:pPr>
      <w:bookmarkStart w:id="5" w:name="_Toc478047990"/>
      <w:bookmarkStart w:id="6" w:name="_Toc527364472"/>
      <w:r>
        <w:t xml:space="preserve">Provisional </w:t>
      </w:r>
      <w:r w:rsidR="008458A1">
        <w:t>Product Definitions</w:t>
      </w:r>
      <w:bookmarkEnd w:id="5"/>
      <w:bookmarkEnd w:id="6"/>
    </w:p>
    <w:p w14:paraId="39EC8B07" w14:textId="77777777" w:rsidR="008458A1" w:rsidRDefault="008458A1" w:rsidP="008458A1"/>
    <w:p w14:paraId="429E6349" w14:textId="3F9E656E" w:rsidR="008458A1" w:rsidRDefault="008458A1" w:rsidP="008458A1">
      <w:r>
        <w:t xml:space="preserve">A Product Definition is a unique representation of the population of attributes applicable to a specific OTC Derivative </w:t>
      </w:r>
      <w:r w:rsidR="002D1D75">
        <w:t>product</w:t>
      </w:r>
      <w:r>
        <w:t xml:space="preserve"> within an asset class. </w:t>
      </w:r>
    </w:p>
    <w:p w14:paraId="5153B5E5" w14:textId="77777777" w:rsidR="008458A1" w:rsidRDefault="008458A1" w:rsidP="008458A1"/>
    <w:p w14:paraId="1375EBE2" w14:textId="16082E22" w:rsidR="008458A1" w:rsidRDefault="008458A1" w:rsidP="008458A1">
      <w:r>
        <w:t>Each Product Definition</w:t>
      </w:r>
      <w:r w:rsidRPr="00BF751E">
        <w:t xml:space="preserve"> </w:t>
      </w:r>
      <w:r>
        <w:t xml:space="preserve">has been </w:t>
      </w:r>
      <w:r w:rsidR="00CD1191">
        <w:t>grouped</w:t>
      </w:r>
      <w:r w:rsidR="007C078E">
        <w:t xml:space="preserve"> into four</w:t>
      </w:r>
      <w:r>
        <w:t xml:space="preserve"> distinct sections:</w:t>
      </w:r>
    </w:p>
    <w:p w14:paraId="2DE700D7" w14:textId="77777777" w:rsidR="008458A1" w:rsidRDefault="008458A1" w:rsidP="008458A1"/>
    <w:p w14:paraId="1217F360" w14:textId="09EA41AB" w:rsidR="008458A1" w:rsidRDefault="009854F4" w:rsidP="00E01C95">
      <w:pPr>
        <w:pStyle w:val="ListParagraph"/>
        <w:numPr>
          <w:ilvl w:val="0"/>
          <w:numId w:val="3"/>
        </w:numPr>
      </w:pPr>
      <w:r>
        <w:rPr>
          <w:noProof/>
          <w:lang w:val="en-GB" w:eastAsia="en-GB"/>
        </w:rPr>
        <mc:AlternateContent>
          <mc:Choice Requires="wps">
            <w:drawing>
              <wp:anchor distT="0" distB="0" distL="114300" distR="114300" simplePos="0" relativeHeight="251655168" behindDoc="0" locked="0" layoutInCell="1" allowOverlap="1" wp14:anchorId="0635545E" wp14:editId="7854BD2D">
                <wp:simplePos x="0" y="0"/>
                <wp:positionH relativeFrom="column">
                  <wp:posOffset>3733800</wp:posOffset>
                </wp:positionH>
                <wp:positionV relativeFrom="paragraph">
                  <wp:posOffset>206375</wp:posOffset>
                </wp:positionV>
                <wp:extent cx="371475" cy="123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71475" cy="123825"/>
                        </a:xfrm>
                        <a:prstGeom prst="rect">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0C6FA" id="Rectangle 1" o:spid="_x0000_s1026" style="position:absolute;margin-left:294pt;margin-top:16.25pt;width:29.25pt;height:9.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" fillcolor="#00b050" strokecolor="black [3213]" strokeweight="1pt"/>
            </w:pict>
          </mc:Fallback>
        </mc:AlternateContent>
      </w:r>
      <w:r w:rsidR="008458A1">
        <w:t xml:space="preserve">Product Definition Selection: Set of fields to identify the </w:t>
      </w:r>
      <w:r w:rsidR="003A1574">
        <w:t>product</w:t>
      </w:r>
      <w:r w:rsidR="008458A1">
        <w:t xml:space="preserve"> specific schema. This schema defines the full set o</w:t>
      </w:r>
      <w:r w:rsidR="003A1574">
        <w:t>f attributes for that product</w:t>
      </w:r>
      <w:r w:rsidR="008458A1">
        <w:t xml:space="preserve"> </w:t>
      </w:r>
      <w:r>
        <w:t xml:space="preserve">       </w:t>
      </w:r>
    </w:p>
    <w:p w14:paraId="3BE0775A" w14:textId="2B59C370" w:rsidR="008458A1" w:rsidRDefault="009854F4" w:rsidP="00E01C95">
      <w:pPr>
        <w:pStyle w:val="ListParagraph"/>
        <w:numPr>
          <w:ilvl w:val="0"/>
          <w:numId w:val="3"/>
        </w:numPr>
      </w:pPr>
      <w:r>
        <w:rPr>
          <w:noProof/>
          <w:lang w:val="en-GB" w:eastAsia="en-GB"/>
        </w:rPr>
        <mc:AlternateContent>
          <mc:Choice Requires="wps">
            <w:drawing>
              <wp:anchor distT="0" distB="0" distL="114300" distR="114300" simplePos="0" relativeHeight="251657216" behindDoc="0" locked="0" layoutInCell="1" allowOverlap="1" wp14:anchorId="107AE3DE" wp14:editId="232BE6B4">
                <wp:simplePos x="0" y="0"/>
                <wp:positionH relativeFrom="column">
                  <wp:posOffset>3505200</wp:posOffset>
                </wp:positionH>
                <wp:positionV relativeFrom="paragraph">
                  <wp:posOffset>37465</wp:posOffset>
                </wp:positionV>
                <wp:extent cx="371475" cy="123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71475" cy="123825"/>
                        </a:xfrm>
                        <a:prstGeom prst="rect">
                          <a:avLst/>
                        </a:prstGeom>
                        <a:solidFill>
                          <a:schemeClr val="accent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96045" id="Rectangle 2" o:spid="_x0000_s1026" style="position:absolute;margin-left:276pt;margin-top:2.95pt;width:29.25pt;height: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" fillcolor="#70ad47 [3209]" strokecolor="black [3213]" strokeweight="1pt"/>
            </w:pict>
          </mc:Fallback>
        </mc:AlternateContent>
      </w:r>
      <w:r w:rsidR="008458A1">
        <w:t xml:space="preserve">Product Definition Input Attributes: User input fields </w:t>
      </w:r>
      <w:r>
        <w:t xml:space="preserve">            </w:t>
      </w:r>
    </w:p>
    <w:p w14:paraId="2FD3A8E8" w14:textId="007BD266" w:rsidR="00CF63F2" w:rsidRPr="00CF63F2" w:rsidRDefault="00CF63F2" w:rsidP="00E01C95">
      <w:pPr>
        <w:pStyle w:val="ListParagraph"/>
        <w:numPr>
          <w:ilvl w:val="0"/>
          <w:numId w:val="3"/>
        </w:numPr>
      </w:pPr>
      <w:r>
        <w:rPr>
          <w:noProof/>
          <w:lang w:val="en-GB" w:eastAsia="en-GB"/>
        </w:rPr>
        <mc:AlternateContent>
          <mc:Choice Requires="wps">
            <w:drawing>
              <wp:anchor distT="0" distB="0" distL="114300" distR="114300" simplePos="0" relativeHeight="251661312" behindDoc="0" locked="0" layoutInCell="1" allowOverlap="1" wp14:anchorId="148E5BD7" wp14:editId="6A66784E">
                <wp:simplePos x="0" y="0"/>
                <wp:positionH relativeFrom="column">
                  <wp:posOffset>1019175</wp:posOffset>
                </wp:positionH>
                <wp:positionV relativeFrom="paragraph">
                  <wp:posOffset>367665</wp:posOffset>
                </wp:positionV>
                <wp:extent cx="371475" cy="1238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71475" cy="123825"/>
                        </a:xfrm>
                        <a:prstGeom prst="rect">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AA06B" id="Rectangle 5" o:spid="_x0000_s1026" style="position:absolute;margin-left:80.25pt;margin-top:28.95pt;width:29.25pt;height: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" fillcolor="#bf8f00 [2407]" strokecolor="black [3213]" strokeweight="1pt"/>
            </w:pict>
          </mc:Fallback>
        </mc:AlternateContent>
      </w:r>
      <w:r w:rsidRPr="00CF63F2">
        <w:t>Product Definition Defaulted Input: The set of attributes that contain defaulted values which are valid for ISIN creation however the user can engage and select a different value if required</w:t>
      </w:r>
      <w:r>
        <w:t xml:space="preserve"> </w:t>
      </w:r>
    </w:p>
    <w:p w14:paraId="2D4F8A7E" w14:textId="3A213063" w:rsidR="008458A1" w:rsidRDefault="00F2686E" w:rsidP="00E01C95">
      <w:pPr>
        <w:pStyle w:val="ListParagraph"/>
        <w:numPr>
          <w:ilvl w:val="0"/>
          <w:numId w:val="3"/>
        </w:numPr>
      </w:pPr>
      <w:r>
        <w:rPr>
          <w:noProof/>
          <w:lang w:val="en-GB" w:eastAsia="en-GB"/>
        </w:rPr>
        <mc:AlternateContent>
          <mc:Choice Requires="wps">
            <w:drawing>
              <wp:anchor distT="0" distB="0" distL="114300" distR="114300" simplePos="0" relativeHeight="251659264" behindDoc="0" locked="0" layoutInCell="1" allowOverlap="1" wp14:anchorId="1A4D2F68" wp14:editId="42E273B3">
                <wp:simplePos x="0" y="0"/>
                <wp:positionH relativeFrom="column">
                  <wp:posOffset>2638425</wp:posOffset>
                </wp:positionH>
                <wp:positionV relativeFrom="paragraph">
                  <wp:posOffset>365760</wp:posOffset>
                </wp:positionV>
                <wp:extent cx="371475" cy="123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71475" cy="123825"/>
                        </a:xfrm>
                        <a:prstGeom prst="rect">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A6F4AB" id="Rectangle 3" o:spid="_x0000_s1026" style="position:absolute;margin-left:207.75pt;margin-top:28.8pt;width:29.25pt;height: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" fillcolor="#ffd966 [1943]" strokecolor="black [3213]" strokeweight="1pt"/>
            </w:pict>
          </mc:Fallback>
        </mc:AlternateContent>
      </w:r>
      <w:r w:rsidR="008458A1">
        <w:t>Product Definition Derived Attributes: Attributes that will be inferred by the combination of Product Definition Selection &amp; Product Definition Input Attributes and will be returned to the user a</w:t>
      </w:r>
      <w:r>
        <w:t xml:space="preserve">s part of the full ISIN record </w:t>
      </w:r>
    </w:p>
    <w:p w14:paraId="5F80D299" w14:textId="77777777" w:rsidR="008458A1" w:rsidRDefault="008458A1" w:rsidP="008458A1"/>
    <w:p w14:paraId="0C53A838" w14:textId="671EBB54" w:rsidR="008458A1" w:rsidRDefault="006F09FB">
      <w:r>
        <w:t>The combination of the above 4</w:t>
      </w:r>
      <w:r w:rsidR="008458A1">
        <w:t xml:space="preserve"> sections comprise the record of the ISIN that will be returned to the requester. </w:t>
      </w:r>
    </w:p>
    <w:p w14:paraId="71115CA6" w14:textId="77777777" w:rsidR="00F9250B" w:rsidRDefault="00F9250B"/>
    <w:p w14:paraId="00692A04" w14:textId="77777777" w:rsidR="008458A1" w:rsidRPr="000E7A1C" w:rsidRDefault="008458A1" w:rsidP="002B776F">
      <w:pPr>
        <w:pStyle w:val="Heading2"/>
        <w:ind w:left="567"/>
      </w:pPr>
      <w:bookmarkStart w:id="7" w:name="_Toc478047991"/>
      <w:bookmarkStart w:id="8" w:name="_Toc527364473"/>
      <w:r>
        <w:t>Product Definition Selection</w:t>
      </w:r>
      <w:bookmarkEnd w:id="7"/>
      <w:bookmarkEnd w:id="8"/>
    </w:p>
    <w:p w14:paraId="5D7D7B5F" w14:textId="77777777" w:rsidR="008458A1" w:rsidRDefault="008458A1" w:rsidP="008458A1"/>
    <w:p w14:paraId="31F2D3E4" w14:textId="55BACF75" w:rsidR="008458A1" w:rsidRDefault="008458A1" w:rsidP="008458A1">
      <w:r>
        <w:t xml:space="preserve">The Product Definition Selection </w:t>
      </w:r>
      <w:r w:rsidR="000574D8">
        <w:t xml:space="preserve">fields will identify the </w:t>
      </w:r>
      <w:r w:rsidR="00F2686E">
        <w:t>product</w:t>
      </w:r>
      <w:r w:rsidR="000574D8">
        <w:t xml:space="preserve"> specific schema. This schema defines the full set o</w:t>
      </w:r>
      <w:r w:rsidR="00F2686E">
        <w:t>f attributes for that product</w:t>
      </w:r>
      <w:r>
        <w:t>.</w:t>
      </w:r>
    </w:p>
    <w:p w14:paraId="4BB794AA" w14:textId="77777777" w:rsidR="008458A1" w:rsidRDefault="008458A1" w:rsidP="008458A1"/>
    <w:p w14:paraId="5CCF187F" w14:textId="77777777" w:rsidR="008458A1" w:rsidRDefault="008458A1" w:rsidP="008458A1">
      <w:r>
        <w:t>Product Definition selection interface is comprised of the below fields:</w:t>
      </w:r>
    </w:p>
    <w:p w14:paraId="0FEB98B5" w14:textId="77777777" w:rsidR="008458A1" w:rsidRDefault="008458A1" w:rsidP="008458A1"/>
    <w:p w14:paraId="5C4DFFB0" w14:textId="77777777" w:rsidR="008458A1" w:rsidRDefault="008458A1" w:rsidP="00E01C95">
      <w:pPr>
        <w:pStyle w:val="ListParagraph"/>
        <w:numPr>
          <w:ilvl w:val="0"/>
          <w:numId w:val="5"/>
        </w:numPr>
      </w:pPr>
      <w:r>
        <w:t>Asset Class: ISO 10962 CFI Letter #2</w:t>
      </w:r>
    </w:p>
    <w:p w14:paraId="3756FC06" w14:textId="77777777" w:rsidR="008458A1" w:rsidRDefault="008458A1" w:rsidP="00E01C95">
      <w:pPr>
        <w:pStyle w:val="ListParagraph"/>
        <w:numPr>
          <w:ilvl w:val="0"/>
          <w:numId w:val="5"/>
        </w:numPr>
      </w:pPr>
      <w:r>
        <w:t>Instrument Type: ISO 10962 CFI #1</w:t>
      </w:r>
    </w:p>
    <w:p w14:paraId="1F0F3A0A" w14:textId="6B4115C2" w:rsidR="008458A1" w:rsidRDefault="00BD76F8" w:rsidP="00E01C95">
      <w:pPr>
        <w:pStyle w:val="ListParagraph"/>
        <w:numPr>
          <w:ilvl w:val="0"/>
          <w:numId w:val="5"/>
        </w:numPr>
      </w:pPr>
      <w:r>
        <w:t>Product</w:t>
      </w:r>
      <w:r w:rsidR="008458A1">
        <w:t>: Unique human readable label that defines the product (this is based on the ISDA 2.0 Taxonomy combination of Sub product and Transaction Type</w:t>
      </w:r>
      <w:r w:rsidR="00276804">
        <w:t>, where applicable</w:t>
      </w:r>
      <w:r w:rsidR="008458A1">
        <w:t>)</w:t>
      </w:r>
    </w:p>
    <w:p w14:paraId="72AEA80A" w14:textId="2DD23615" w:rsidR="008458A1" w:rsidRDefault="000574D8" w:rsidP="00E01C95">
      <w:pPr>
        <w:pStyle w:val="ListParagraph"/>
        <w:numPr>
          <w:ilvl w:val="0"/>
          <w:numId w:val="5"/>
        </w:numPr>
      </w:pPr>
      <w:r>
        <w:t xml:space="preserve">Level: Label assigned to the ISIN to describe its level in the hierarchy </w:t>
      </w:r>
      <w:r w:rsidR="008458A1">
        <w:t xml:space="preserve">– the day 1 </w:t>
      </w:r>
      <w:r>
        <w:t>level will</w:t>
      </w:r>
      <w:r w:rsidR="008458A1">
        <w:t xml:space="preserve"> </w:t>
      </w:r>
      <w:r w:rsidR="00AE4B2A">
        <w:t>be ‘</w:t>
      </w:r>
      <w:proofErr w:type="spellStart"/>
      <w:r w:rsidR="00AE4B2A">
        <w:t>InstRefDataReporting</w:t>
      </w:r>
      <w:proofErr w:type="spellEnd"/>
      <w:r w:rsidR="00AE4B2A">
        <w:t xml:space="preserve">’ to </w:t>
      </w:r>
      <w:r w:rsidR="008458A1">
        <w:t xml:space="preserve">satisfy </w:t>
      </w:r>
      <w:r w:rsidR="00CF0764">
        <w:t xml:space="preserve">the technical requirements articulated by MiFID II / MiFIR RTS 23 Annex 1 </w:t>
      </w:r>
      <w:r w:rsidR="000C193F">
        <w:t>while bearing in mind the requirements for future</w:t>
      </w:r>
      <w:r w:rsidR="00CF0764">
        <w:t xml:space="preserve"> implementation of CPMI-IOSCO’s UPI</w:t>
      </w:r>
    </w:p>
    <w:p w14:paraId="7D99F902" w14:textId="77777777" w:rsidR="000574D8" w:rsidRDefault="000574D8" w:rsidP="000574D8">
      <w:pPr>
        <w:pStyle w:val="ListParagraph"/>
      </w:pPr>
    </w:p>
    <w:p w14:paraId="0F74D759" w14:textId="77777777" w:rsidR="008458A1" w:rsidRDefault="008458A1" w:rsidP="002B776F">
      <w:pPr>
        <w:pStyle w:val="Heading2"/>
        <w:ind w:left="567"/>
      </w:pPr>
      <w:bookmarkStart w:id="9" w:name="_Toc478047993"/>
      <w:bookmarkStart w:id="10" w:name="_Toc527364474"/>
      <w:r>
        <w:t>Product Definition Input Attributes</w:t>
      </w:r>
      <w:bookmarkEnd w:id="9"/>
      <w:bookmarkEnd w:id="10"/>
    </w:p>
    <w:p w14:paraId="10763BF7" w14:textId="77777777" w:rsidR="008458A1" w:rsidRDefault="008458A1" w:rsidP="008458A1"/>
    <w:p w14:paraId="22E722E9" w14:textId="77777777" w:rsidR="008458A1" w:rsidRDefault="008458A1" w:rsidP="008458A1">
      <w:r>
        <w:t xml:space="preserve">Product Definition Input Attributes are the population of attributes that require user input when requesting an ISIN. </w:t>
      </w:r>
    </w:p>
    <w:p w14:paraId="1833169E" w14:textId="77777777" w:rsidR="008458A1" w:rsidRDefault="008458A1" w:rsidP="008458A1"/>
    <w:p w14:paraId="7AF77A4B" w14:textId="06A51C8B" w:rsidR="008458A1" w:rsidRDefault="008458A1" w:rsidP="008458A1">
      <w:r>
        <w:lastRenderedPageBreak/>
        <w:t xml:space="preserve">Attributes can be populated by either selecting a value from an enumerated list </w:t>
      </w:r>
      <w:proofErr w:type="spellStart"/>
      <w:r>
        <w:t>e.g</w:t>
      </w:r>
      <w:proofErr w:type="spellEnd"/>
      <w:r>
        <w:t xml:space="preserve"> FpML Floating Rate Index List or entering text in a specific format e.g. Expiry date YYYYMMDD. The full list of attributes and their enumer</w:t>
      </w:r>
      <w:r w:rsidR="00AE4B2A">
        <w:t>ations can be found in section 4</w:t>
      </w:r>
      <w:r>
        <w:t xml:space="preserve"> below.</w:t>
      </w:r>
    </w:p>
    <w:p w14:paraId="33432EAD" w14:textId="77777777" w:rsidR="00EE2BE3" w:rsidRDefault="00EE2BE3" w:rsidP="008458A1"/>
    <w:p w14:paraId="142285EF" w14:textId="77777777" w:rsidR="00EE2BE3" w:rsidRDefault="00EE2BE3" w:rsidP="002B776F">
      <w:pPr>
        <w:pStyle w:val="Heading2"/>
        <w:ind w:left="567"/>
      </w:pPr>
      <w:bookmarkStart w:id="11" w:name="_Toc478047992"/>
      <w:bookmarkStart w:id="12" w:name="_Toc527364475"/>
      <w:r>
        <w:t>Product Definition Derived Attributes</w:t>
      </w:r>
      <w:bookmarkEnd w:id="11"/>
      <w:bookmarkEnd w:id="12"/>
    </w:p>
    <w:p w14:paraId="0B78ED35" w14:textId="77777777" w:rsidR="00EE2BE3" w:rsidRDefault="00EE2BE3" w:rsidP="00EE2BE3"/>
    <w:p w14:paraId="3930B364" w14:textId="77777777" w:rsidR="00EE2BE3" w:rsidRDefault="00EE2BE3" w:rsidP="00EE2BE3">
      <w:r>
        <w:t xml:space="preserve">Product Definition Derived Attributes are those which are inferred by the combination of Product Definition Selection &amp; Product Definition Input Attributes. These will be auto populated by the DSB ISIN engine and returned to the user as part of the ISIN record. </w:t>
      </w:r>
    </w:p>
    <w:p w14:paraId="43120440" w14:textId="77777777" w:rsidR="00850D10" w:rsidRDefault="00850D10" w:rsidP="00A65CBB"/>
    <w:p w14:paraId="38D6DD17" w14:textId="3EC03A62" w:rsidR="006D2A86" w:rsidRDefault="00013524" w:rsidP="002B776F">
      <w:pPr>
        <w:pStyle w:val="Heading2"/>
        <w:ind w:left="567"/>
      </w:pPr>
      <w:bookmarkStart w:id="13" w:name="_Toc527364476"/>
      <w:r>
        <w:t>Asset Class Product Definition Annexes</w:t>
      </w:r>
      <w:bookmarkEnd w:id="13"/>
    </w:p>
    <w:p w14:paraId="2E74D360" w14:textId="77777777" w:rsidR="006D2A86" w:rsidRDefault="006D2A86" w:rsidP="006D2A86"/>
    <w:p w14:paraId="185E24C6" w14:textId="222BE791" w:rsidR="006D2A86" w:rsidRDefault="00013524" w:rsidP="006D2A86">
      <w:r>
        <w:t xml:space="preserve">A Product Definition annex </w:t>
      </w:r>
      <w:r w:rsidR="00AE4B2A">
        <w:t>is</w:t>
      </w:r>
      <w:r>
        <w:t xml:space="preserve"> available for each asset class containing the population of products implemented </w:t>
      </w:r>
      <w:r w:rsidR="00D33B69">
        <w:t>PROD</w:t>
      </w:r>
      <w:r>
        <w:t>. These will</w:t>
      </w:r>
      <w:r w:rsidR="002B776F">
        <w:t xml:space="preserve"> be </w:t>
      </w:r>
      <w:r>
        <w:t xml:space="preserve">made available to users </w:t>
      </w:r>
      <w:r w:rsidR="002B776F">
        <w:t>per the schedule below:</w:t>
      </w:r>
    </w:p>
    <w:p w14:paraId="11BE8BE6" w14:textId="0F134C75" w:rsidR="007765CD" w:rsidRDefault="007765CD" w:rsidP="006D2A86"/>
    <w:tbl>
      <w:tblPr>
        <w:tblStyle w:val="TableGrid"/>
        <w:tblW w:w="0" w:type="auto"/>
        <w:tblLook w:val="04A0" w:firstRow="1" w:lastRow="0" w:firstColumn="1" w:lastColumn="0" w:noHBand="0" w:noVBand="1"/>
      </w:tblPr>
      <w:tblGrid>
        <w:gridCol w:w="750"/>
        <w:gridCol w:w="2080"/>
        <w:gridCol w:w="3006"/>
      </w:tblGrid>
      <w:tr w:rsidR="002B776F" w:rsidRPr="002B776F" w14:paraId="7773AC81" w14:textId="77777777" w:rsidTr="002B776F">
        <w:tc>
          <w:tcPr>
            <w:tcW w:w="750" w:type="dxa"/>
            <w:shd w:val="clear" w:color="auto" w:fill="0070C0"/>
          </w:tcPr>
          <w:p w14:paraId="7DF82118" w14:textId="77777777" w:rsidR="002B776F" w:rsidRPr="002B776F" w:rsidRDefault="002B776F" w:rsidP="00465AD7">
            <w:pPr>
              <w:jc w:val="center"/>
              <w:rPr>
                <w:b/>
                <w:color w:val="FFFFFF" w:themeColor="background1"/>
              </w:rPr>
            </w:pPr>
            <w:r w:rsidRPr="002B776F">
              <w:rPr>
                <w:b/>
                <w:color w:val="FFFFFF" w:themeColor="background1"/>
              </w:rPr>
              <w:t>Order</w:t>
            </w:r>
          </w:p>
        </w:tc>
        <w:tc>
          <w:tcPr>
            <w:tcW w:w="2080" w:type="dxa"/>
            <w:shd w:val="clear" w:color="auto" w:fill="0070C0"/>
          </w:tcPr>
          <w:p w14:paraId="331AA415" w14:textId="06E584F8" w:rsidR="002B776F" w:rsidRPr="002B776F" w:rsidRDefault="002B776F" w:rsidP="00465AD7">
            <w:pPr>
              <w:rPr>
                <w:b/>
                <w:color w:val="FFFFFF" w:themeColor="background1"/>
              </w:rPr>
            </w:pPr>
            <w:r w:rsidRPr="002B776F">
              <w:rPr>
                <w:b/>
                <w:color w:val="FFFFFF" w:themeColor="background1"/>
              </w:rPr>
              <w:t>Asset Class</w:t>
            </w:r>
            <w:r>
              <w:rPr>
                <w:b/>
                <w:color w:val="FFFFFF" w:themeColor="background1"/>
              </w:rPr>
              <w:t xml:space="preserve"> Annex</w:t>
            </w:r>
          </w:p>
        </w:tc>
        <w:tc>
          <w:tcPr>
            <w:tcW w:w="3006" w:type="dxa"/>
            <w:shd w:val="clear" w:color="auto" w:fill="0070C0"/>
          </w:tcPr>
          <w:p w14:paraId="201597F7" w14:textId="3D45E0ED" w:rsidR="002B776F" w:rsidRPr="002B776F" w:rsidRDefault="002B776F" w:rsidP="00465AD7">
            <w:pPr>
              <w:jc w:val="center"/>
              <w:rPr>
                <w:b/>
                <w:color w:val="FFFFFF" w:themeColor="background1"/>
              </w:rPr>
            </w:pPr>
            <w:r w:rsidRPr="002B776F">
              <w:rPr>
                <w:b/>
                <w:color w:val="FFFFFF" w:themeColor="background1"/>
              </w:rPr>
              <w:t xml:space="preserve">Date of </w:t>
            </w:r>
            <w:r>
              <w:rPr>
                <w:b/>
                <w:color w:val="FFFFFF" w:themeColor="background1"/>
              </w:rPr>
              <w:t>Annex publication</w:t>
            </w:r>
          </w:p>
        </w:tc>
      </w:tr>
      <w:tr w:rsidR="002B776F" w14:paraId="036FB361" w14:textId="77777777" w:rsidTr="002B776F">
        <w:tc>
          <w:tcPr>
            <w:tcW w:w="750" w:type="dxa"/>
          </w:tcPr>
          <w:p w14:paraId="2BADBF89" w14:textId="77777777" w:rsidR="002B776F" w:rsidRDefault="002B776F" w:rsidP="00465AD7">
            <w:pPr>
              <w:jc w:val="center"/>
            </w:pPr>
            <w:r>
              <w:t>1</w:t>
            </w:r>
          </w:p>
        </w:tc>
        <w:tc>
          <w:tcPr>
            <w:tcW w:w="2080" w:type="dxa"/>
          </w:tcPr>
          <w:p w14:paraId="4399A92F" w14:textId="77777777" w:rsidR="002B776F" w:rsidRDefault="002B776F" w:rsidP="00465AD7">
            <w:r>
              <w:t>Rates</w:t>
            </w:r>
          </w:p>
        </w:tc>
        <w:tc>
          <w:tcPr>
            <w:tcW w:w="3006" w:type="dxa"/>
          </w:tcPr>
          <w:p w14:paraId="78FC55AD" w14:textId="1CD2271E" w:rsidR="002B776F" w:rsidRDefault="00AE4B2A" w:rsidP="00AE4B2A">
            <w:pPr>
              <w:jc w:val="center"/>
            </w:pPr>
            <w:r>
              <w:t>2</w:t>
            </w:r>
            <w:r w:rsidR="00F12EDD">
              <w:t>5</w:t>
            </w:r>
            <w:r>
              <w:t>-09-2017</w:t>
            </w:r>
          </w:p>
        </w:tc>
      </w:tr>
      <w:tr w:rsidR="00BC76DF" w14:paraId="364952E5" w14:textId="77777777" w:rsidTr="002B776F">
        <w:tc>
          <w:tcPr>
            <w:tcW w:w="750" w:type="dxa"/>
          </w:tcPr>
          <w:p w14:paraId="6F414882" w14:textId="77777777" w:rsidR="00BC76DF" w:rsidRDefault="00BC76DF" w:rsidP="00BC76DF">
            <w:pPr>
              <w:jc w:val="center"/>
            </w:pPr>
            <w:r>
              <w:t>2</w:t>
            </w:r>
          </w:p>
        </w:tc>
        <w:tc>
          <w:tcPr>
            <w:tcW w:w="2080" w:type="dxa"/>
          </w:tcPr>
          <w:p w14:paraId="36878CE0" w14:textId="77777777" w:rsidR="00BC76DF" w:rsidRDefault="00BC76DF" w:rsidP="00BC76DF">
            <w:r>
              <w:t>Credit</w:t>
            </w:r>
          </w:p>
        </w:tc>
        <w:tc>
          <w:tcPr>
            <w:tcW w:w="3006" w:type="dxa"/>
          </w:tcPr>
          <w:p w14:paraId="09344BB7" w14:textId="11398B09" w:rsidR="00BC76DF" w:rsidRDefault="00AE4B2A" w:rsidP="00BC76DF">
            <w:pPr>
              <w:jc w:val="center"/>
            </w:pPr>
            <w:r>
              <w:t>25-09-2017</w:t>
            </w:r>
          </w:p>
        </w:tc>
      </w:tr>
      <w:tr w:rsidR="00BC76DF" w14:paraId="1D67F550" w14:textId="77777777" w:rsidTr="002B776F">
        <w:tc>
          <w:tcPr>
            <w:tcW w:w="750" w:type="dxa"/>
          </w:tcPr>
          <w:p w14:paraId="35FDE380" w14:textId="580EA121" w:rsidR="00BC76DF" w:rsidRDefault="00BC76DF" w:rsidP="00BC76DF">
            <w:pPr>
              <w:jc w:val="center"/>
            </w:pPr>
            <w:r>
              <w:t>3</w:t>
            </w:r>
          </w:p>
        </w:tc>
        <w:tc>
          <w:tcPr>
            <w:tcW w:w="2080" w:type="dxa"/>
          </w:tcPr>
          <w:p w14:paraId="680D63D7" w14:textId="77777777" w:rsidR="00BC76DF" w:rsidRDefault="00BC76DF" w:rsidP="00BC76DF">
            <w:r>
              <w:t>FX</w:t>
            </w:r>
          </w:p>
        </w:tc>
        <w:tc>
          <w:tcPr>
            <w:tcW w:w="3006" w:type="dxa"/>
          </w:tcPr>
          <w:p w14:paraId="64BC0DBD" w14:textId="539CB1F3" w:rsidR="00BC76DF" w:rsidRPr="00AE4B2A" w:rsidRDefault="00AE4B2A" w:rsidP="00BC76DF">
            <w:pPr>
              <w:jc w:val="center"/>
            </w:pPr>
            <w:r>
              <w:t>25-09-2017</w:t>
            </w:r>
          </w:p>
        </w:tc>
      </w:tr>
      <w:tr w:rsidR="00BC76DF" w14:paraId="560EAF0E" w14:textId="77777777" w:rsidTr="002B776F">
        <w:tc>
          <w:tcPr>
            <w:tcW w:w="750" w:type="dxa"/>
          </w:tcPr>
          <w:p w14:paraId="383AB5E3" w14:textId="610768DE" w:rsidR="00BC76DF" w:rsidRDefault="00BC76DF" w:rsidP="00BC76DF">
            <w:pPr>
              <w:jc w:val="center"/>
            </w:pPr>
            <w:r>
              <w:t>4</w:t>
            </w:r>
          </w:p>
        </w:tc>
        <w:tc>
          <w:tcPr>
            <w:tcW w:w="2080" w:type="dxa"/>
          </w:tcPr>
          <w:p w14:paraId="3F60854E" w14:textId="77777777" w:rsidR="00BC76DF" w:rsidRDefault="00BC76DF" w:rsidP="00BC76DF">
            <w:r>
              <w:t>Equity</w:t>
            </w:r>
          </w:p>
        </w:tc>
        <w:tc>
          <w:tcPr>
            <w:tcW w:w="3006" w:type="dxa"/>
          </w:tcPr>
          <w:p w14:paraId="74E6D1E2" w14:textId="541C7B7C" w:rsidR="00BC76DF" w:rsidRDefault="00AE4B2A" w:rsidP="00BC76DF">
            <w:pPr>
              <w:jc w:val="center"/>
            </w:pPr>
            <w:r>
              <w:t>25-09-2017</w:t>
            </w:r>
          </w:p>
        </w:tc>
      </w:tr>
      <w:tr w:rsidR="00BC76DF" w14:paraId="7AB021AB" w14:textId="77777777" w:rsidTr="002B776F">
        <w:tc>
          <w:tcPr>
            <w:tcW w:w="750" w:type="dxa"/>
          </w:tcPr>
          <w:p w14:paraId="0C5E91EB" w14:textId="1380C8EC" w:rsidR="00BC76DF" w:rsidRDefault="00BC76DF" w:rsidP="00BC76DF">
            <w:pPr>
              <w:jc w:val="center"/>
            </w:pPr>
            <w:r>
              <w:t>5</w:t>
            </w:r>
          </w:p>
        </w:tc>
        <w:tc>
          <w:tcPr>
            <w:tcW w:w="2080" w:type="dxa"/>
          </w:tcPr>
          <w:p w14:paraId="23109214" w14:textId="77777777" w:rsidR="00BC76DF" w:rsidRDefault="00BC76DF" w:rsidP="00BC76DF">
            <w:r>
              <w:t>Commodities</w:t>
            </w:r>
          </w:p>
        </w:tc>
        <w:tc>
          <w:tcPr>
            <w:tcW w:w="3006" w:type="dxa"/>
          </w:tcPr>
          <w:p w14:paraId="4DC0DB76" w14:textId="0B8AE385" w:rsidR="00BC76DF" w:rsidRDefault="00AE4B2A" w:rsidP="00BC76DF">
            <w:pPr>
              <w:jc w:val="center"/>
            </w:pPr>
            <w:r>
              <w:t>25-09-2017</w:t>
            </w:r>
          </w:p>
        </w:tc>
      </w:tr>
    </w:tbl>
    <w:p w14:paraId="1F7C9C35" w14:textId="4E8DABA6" w:rsidR="00AD77B0" w:rsidRPr="00AD77B0" w:rsidRDefault="00AD77B0" w:rsidP="00AD77B0"/>
    <w:p w14:paraId="0289FB37" w14:textId="7D9716B7" w:rsidR="00AD77B0" w:rsidRDefault="000108B3" w:rsidP="002B776F">
      <w:pPr>
        <w:pStyle w:val="Heading2"/>
        <w:ind w:left="567"/>
      </w:pPr>
      <w:bookmarkStart w:id="14" w:name="_Toc527364477"/>
      <w:r>
        <w:t>PROD</w:t>
      </w:r>
      <w:r w:rsidR="00AD77B0">
        <w:t xml:space="preserve"> </w:t>
      </w:r>
      <w:r w:rsidR="003E7FAC">
        <w:t>Implementation</w:t>
      </w:r>
      <w:bookmarkEnd w:id="14"/>
    </w:p>
    <w:p w14:paraId="3EA69BFA" w14:textId="176C4822" w:rsidR="00AD77B0" w:rsidRDefault="00AD77B0" w:rsidP="00AD77B0"/>
    <w:p w14:paraId="3363D88E" w14:textId="6074847C" w:rsidR="00AD77B0" w:rsidRDefault="003E7FAC" w:rsidP="00AD77B0">
      <w:r>
        <w:t xml:space="preserve">The </w:t>
      </w:r>
      <w:r w:rsidR="000108B3">
        <w:t xml:space="preserve">following </w:t>
      </w:r>
      <w:r>
        <w:t xml:space="preserve">product definitions </w:t>
      </w:r>
      <w:r w:rsidR="00BD4AF4">
        <w:t xml:space="preserve">for all asset classes </w:t>
      </w:r>
      <w:r w:rsidR="008D2AAB">
        <w:t>have been</w:t>
      </w:r>
      <w:r>
        <w:t xml:space="preserve"> implemented into </w:t>
      </w:r>
      <w:r w:rsidR="00F24BBC">
        <w:t>PROD</w:t>
      </w:r>
      <w:r>
        <w:t xml:space="preserve"> environment </w:t>
      </w:r>
      <w:r w:rsidR="008D2AAB">
        <w:t>at the date of this revision</w:t>
      </w:r>
      <w:r>
        <w:t>.</w:t>
      </w:r>
    </w:p>
    <w:p w14:paraId="3C185BA8" w14:textId="3C543205" w:rsidR="00F24BBC" w:rsidRDefault="00F24BBC" w:rsidP="00AD77B0"/>
    <w:p w14:paraId="06FF3D69" w14:textId="77777777" w:rsidR="008D2AAB" w:rsidRPr="00F24BBC" w:rsidRDefault="008D2AAB" w:rsidP="008D2AAB">
      <w:pPr>
        <w:rPr>
          <w:b/>
        </w:rPr>
      </w:pPr>
      <w:r w:rsidRPr="00F24BBC">
        <w:rPr>
          <w:b/>
        </w:rPr>
        <w:t>Rates:</w:t>
      </w:r>
    </w:p>
    <w:p w14:paraId="7A02F28C" w14:textId="77777777" w:rsidR="008D2AAB" w:rsidRDefault="008D2AAB" w:rsidP="008D2AAB">
      <w:proofErr w:type="gramStart"/>
      <w:r>
        <w:t>Rates.Swap.Basis.InstRefDataReporting</w:t>
      </w:r>
      <w:proofErr w:type="gramEnd"/>
      <w:r>
        <w:t>.V1.json</w:t>
      </w:r>
    </w:p>
    <w:p w14:paraId="5E1FCDFB" w14:textId="77777777" w:rsidR="008D2AAB" w:rsidRDefault="008D2AAB" w:rsidP="008D2AAB">
      <w:proofErr w:type="gramStart"/>
      <w:r>
        <w:t>Rates.Swap.Basis</w:t>
      </w:r>
      <w:proofErr w:type="gramEnd"/>
      <w:r>
        <w:t>_OIS.InstRefDataReporting.V1.json</w:t>
      </w:r>
    </w:p>
    <w:p w14:paraId="052E1065" w14:textId="77777777" w:rsidR="008D2AAB" w:rsidRDefault="008D2AAB" w:rsidP="008D2AAB">
      <w:proofErr w:type="gramStart"/>
      <w:r>
        <w:t>Rates.Swap.Cross</w:t>
      </w:r>
      <w:proofErr w:type="gramEnd"/>
      <w:r>
        <w:t>_Currency_Basis.InstRefDataReporting.V1.json</w:t>
      </w:r>
    </w:p>
    <w:p w14:paraId="5337AFFB" w14:textId="77777777" w:rsidR="008D2AAB" w:rsidRDefault="008D2AAB" w:rsidP="008D2AAB">
      <w:proofErr w:type="gramStart"/>
      <w:r>
        <w:t>Rates.Swap.Cross</w:t>
      </w:r>
      <w:proofErr w:type="gramEnd"/>
      <w:r>
        <w:t>_Currency_Fixed_Fixed.InstRefDataReporting.V1.json</w:t>
      </w:r>
    </w:p>
    <w:p w14:paraId="1A67205B" w14:textId="77777777" w:rsidR="008D2AAB" w:rsidRDefault="008D2AAB" w:rsidP="008D2AAB">
      <w:proofErr w:type="gramStart"/>
      <w:r>
        <w:t>Rates.Swap.Cross</w:t>
      </w:r>
      <w:proofErr w:type="gramEnd"/>
      <w:r>
        <w:t>_Currency_Fixed_Float.InstRefDataReporting.V1.json</w:t>
      </w:r>
    </w:p>
    <w:p w14:paraId="0150F351" w14:textId="77777777" w:rsidR="008D2AAB" w:rsidRDefault="008D2AAB" w:rsidP="008D2AAB">
      <w:proofErr w:type="gramStart"/>
      <w:r>
        <w:t>Rates.Swap.Cross</w:t>
      </w:r>
      <w:proofErr w:type="gramEnd"/>
      <w:r>
        <w:t>_Currency_Fixed_Float_NDS.InstRefDataReporting.V1.json</w:t>
      </w:r>
    </w:p>
    <w:p w14:paraId="7C87F9DE" w14:textId="5AFC0FA2" w:rsidR="00062CAA" w:rsidRDefault="00062CAA" w:rsidP="008D2AAB">
      <w:proofErr w:type="gramStart"/>
      <w:r w:rsidRPr="00062CAA">
        <w:t>Rates.Swap.Cross</w:t>
      </w:r>
      <w:proofErr w:type="gramEnd"/>
      <w:r w:rsidRPr="00062CAA">
        <w:t>_Currency_Inflation_Swap.InstRefDataReporting</w:t>
      </w:r>
      <w:r>
        <w:t>.V1.json</w:t>
      </w:r>
    </w:p>
    <w:p w14:paraId="19931D01" w14:textId="3E026275" w:rsidR="008D2AAB" w:rsidRDefault="008D2AAB" w:rsidP="008D2AAB">
      <w:proofErr w:type="gramStart"/>
      <w:r>
        <w:t>Rates.Swap.Cross</w:t>
      </w:r>
      <w:proofErr w:type="gramEnd"/>
      <w:r>
        <w:t>_Currency_Zero_Coupon.InstRefDataReporting.V1.json</w:t>
      </w:r>
    </w:p>
    <w:p w14:paraId="3BCC7A25" w14:textId="77777777" w:rsidR="008D2AAB" w:rsidRDefault="008D2AAB" w:rsidP="008D2AAB">
      <w:proofErr w:type="gramStart"/>
      <w:r>
        <w:t>Rates.Swap.Fixed</w:t>
      </w:r>
      <w:proofErr w:type="gramEnd"/>
      <w:r>
        <w:t>_Fixed.InstRefDataReporting.V1.json</w:t>
      </w:r>
    </w:p>
    <w:p w14:paraId="2E76A70F" w14:textId="77777777" w:rsidR="008D2AAB" w:rsidRDefault="008D2AAB" w:rsidP="008D2AAB">
      <w:proofErr w:type="gramStart"/>
      <w:r>
        <w:t>Rates.Swap.Fixed</w:t>
      </w:r>
      <w:proofErr w:type="gramEnd"/>
      <w:r>
        <w:t>_Float.InstRefDataReporting.V1.json</w:t>
      </w:r>
    </w:p>
    <w:p w14:paraId="18F3C2DE" w14:textId="77777777" w:rsidR="008D2AAB" w:rsidRDefault="008D2AAB" w:rsidP="008D2AAB">
      <w:proofErr w:type="gramStart"/>
      <w:r>
        <w:t>Rates.Swap.Fixed</w:t>
      </w:r>
      <w:proofErr w:type="gramEnd"/>
      <w:r>
        <w:t>_Float_OIS.InstRefDataReporting.V1.json</w:t>
      </w:r>
    </w:p>
    <w:p w14:paraId="5A877F03" w14:textId="77777777" w:rsidR="008D2AAB" w:rsidRDefault="008D2AAB" w:rsidP="008D2AAB">
      <w:proofErr w:type="gramStart"/>
      <w:r>
        <w:t>Rates.Swap.Fixed</w:t>
      </w:r>
      <w:proofErr w:type="gramEnd"/>
      <w:r>
        <w:t>_Float_Zero_Coupon.InstRefDataReporting.V1.json</w:t>
      </w:r>
    </w:p>
    <w:p w14:paraId="1B20710E" w14:textId="77777777" w:rsidR="008D2AAB" w:rsidRDefault="008D2AAB" w:rsidP="008D2AAB">
      <w:proofErr w:type="gramStart"/>
      <w:r>
        <w:t>Rates.Swap.Inflation</w:t>
      </w:r>
      <w:proofErr w:type="gramEnd"/>
      <w:r>
        <w:t>_Basis_Zero_Coupon.InstRefDataReporting.V1.json</w:t>
      </w:r>
    </w:p>
    <w:p w14:paraId="469DED31" w14:textId="77777777" w:rsidR="008D2AAB" w:rsidRDefault="008D2AAB" w:rsidP="008D2AAB">
      <w:proofErr w:type="gramStart"/>
      <w:r>
        <w:t>Rates.Swap.Inflation</w:t>
      </w:r>
      <w:proofErr w:type="gramEnd"/>
      <w:r>
        <w:t>_Fixed_Float_YoY.InstRefDataReporting.V1.json</w:t>
      </w:r>
    </w:p>
    <w:p w14:paraId="33A1591A" w14:textId="77777777" w:rsidR="008D2AAB" w:rsidRDefault="008D2AAB" w:rsidP="008D2AAB">
      <w:proofErr w:type="gramStart"/>
      <w:r>
        <w:t>Rates.Swap.Inflation</w:t>
      </w:r>
      <w:proofErr w:type="gramEnd"/>
      <w:r>
        <w:t>_Swap.InstRefDataReporting.V1.json</w:t>
      </w:r>
    </w:p>
    <w:p w14:paraId="46BFDEAF" w14:textId="6411265A" w:rsidR="00D05F87" w:rsidRDefault="00D05F87" w:rsidP="00D05F87">
      <w:proofErr w:type="gramStart"/>
      <w:r>
        <w:t>Rates.Option.CapFloor.InstRefDataReporting</w:t>
      </w:r>
      <w:proofErr w:type="gramEnd"/>
      <w:r>
        <w:t>.V1.json</w:t>
      </w:r>
    </w:p>
    <w:p w14:paraId="49CECCBF" w14:textId="77777777" w:rsidR="00D05F87" w:rsidRDefault="00D05F87" w:rsidP="00D05F87">
      <w:proofErr w:type="gramStart"/>
      <w:r>
        <w:t>Rates.Option.Debt</w:t>
      </w:r>
      <w:proofErr w:type="gramEnd"/>
      <w:r>
        <w:t>_Option.InstRefDataReporting.V1.json</w:t>
      </w:r>
    </w:p>
    <w:p w14:paraId="1D9187D1" w14:textId="77777777" w:rsidR="00D05F87" w:rsidRDefault="00D05F87" w:rsidP="00D05F87">
      <w:proofErr w:type="gramStart"/>
      <w:r>
        <w:t>Rates.Option.Swaption.InstRefDataReporting</w:t>
      </w:r>
      <w:proofErr w:type="gramEnd"/>
      <w:r>
        <w:t>.V1.json</w:t>
      </w:r>
    </w:p>
    <w:p w14:paraId="236E183B" w14:textId="77777777" w:rsidR="00D05F87" w:rsidRDefault="00D05F87" w:rsidP="00D05F87">
      <w:r>
        <w:t>Rates.Forward.FRA_</w:t>
      </w:r>
      <w:proofErr w:type="gramStart"/>
      <w:r>
        <w:t>Index.InstRefDataReporting.V</w:t>
      </w:r>
      <w:proofErr w:type="gramEnd"/>
      <w:r>
        <w:t>1.json</w:t>
      </w:r>
    </w:p>
    <w:p w14:paraId="51A45784" w14:textId="77777777" w:rsidR="00D05F87" w:rsidRDefault="00D05F87" w:rsidP="00D05F87">
      <w:r>
        <w:t>Rates.Forward.FRA_</w:t>
      </w:r>
      <w:proofErr w:type="gramStart"/>
      <w:r>
        <w:t>Other.InstRefDataReporting.V</w:t>
      </w:r>
      <w:proofErr w:type="gramEnd"/>
      <w:r>
        <w:t>1.json</w:t>
      </w:r>
    </w:p>
    <w:p w14:paraId="050FB68C" w14:textId="77777777" w:rsidR="008D2AAB" w:rsidRDefault="008D2AAB" w:rsidP="00AD77B0"/>
    <w:p w14:paraId="0C2ADF47" w14:textId="77777777" w:rsidR="00062CAA" w:rsidRPr="00F24BBC" w:rsidRDefault="00062CAA" w:rsidP="00062CAA">
      <w:pPr>
        <w:rPr>
          <w:b/>
        </w:rPr>
      </w:pPr>
      <w:r w:rsidRPr="00F24BBC">
        <w:rPr>
          <w:b/>
        </w:rPr>
        <w:t>Credit:</w:t>
      </w:r>
    </w:p>
    <w:p w14:paraId="77D0C47B" w14:textId="77777777" w:rsidR="00062CAA" w:rsidRDefault="00062CAA" w:rsidP="00062CAA">
      <w:proofErr w:type="gramStart"/>
      <w:r>
        <w:t>Credit.Swap.ABS.InstRefDataReporting.V</w:t>
      </w:r>
      <w:proofErr w:type="gramEnd"/>
      <w:r>
        <w:t>1.json</w:t>
      </w:r>
    </w:p>
    <w:p w14:paraId="1F0E8C43" w14:textId="77777777" w:rsidR="00062CAA" w:rsidRDefault="00062CAA" w:rsidP="00062CAA">
      <w:proofErr w:type="gramStart"/>
      <w:r>
        <w:lastRenderedPageBreak/>
        <w:t>Credit.Swap.Corporate.InstRefDataReporting</w:t>
      </w:r>
      <w:proofErr w:type="gramEnd"/>
      <w:r>
        <w:t>.V1.json</w:t>
      </w:r>
    </w:p>
    <w:p w14:paraId="707B299B" w14:textId="77777777" w:rsidR="00062CAA" w:rsidRDefault="00062CAA" w:rsidP="00062CAA">
      <w:proofErr w:type="gramStart"/>
      <w:r>
        <w:t>Credit.Swap.Loan.InstRefDataReporting</w:t>
      </w:r>
      <w:proofErr w:type="gramEnd"/>
      <w:r>
        <w:t>.V1.json</w:t>
      </w:r>
    </w:p>
    <w:p w14:paraId="0C279746" w14:textId="73F76D91" w:rsidR="00062CAA" w:rsidRDefault="00062CAA" w:rsidP="00062CAA">
      <w:proofErr w:type="gramStart"/>
      <w:r>
        <w:t>Credit.Swap.Municipal.InstRefDataReporting</w:t>
      </w:r>
      <w:proofErr w:type="gramEnd"/>
      <w:r>
        <w:t>.V1.json</w:t>
      </w:r>
    </w:p>
    <w:p w14:paraId="65E2FCFE" w14:textId="4A5307DF" w:rsidR="00062CAA" w:rsidRDefault="00062CAA" w:rsidP="00062CAA">
      <w:proofErr w:type="gramStart"/>
      <w:r>
        <w:t>Credit.Swap.Sovereign.InstRefDataReporting</w:t>
      </w:r>
      <w:proofErr w:type="gramEnd"/>
      <w:r>
        <w:t>.V1.json</w:t>
      </w:r>
    </w:p>
    <w:p w14:paraId="507D5785" w14:textId="39FBD358" w:rsidR="006B1F0C" w:rsidRDefault="006B1F0C" w:rsidP="006B1F0C">
      <w:proofErr w:type="gramStart"/>
      <w:r>
        <w:t>Credit.Swap.Index.InstRefDataReporting</w:t>
      </w:r>
      <w:proofErr w:type="gramEnd"/>
      <w:r>
        <w:t>.V1.json</w:t>
      </w:r>
    </w:p>
    <w:p w14:paraId="2DCEB15E" w14:textId="73C8701B" w:rsidR="006B1F0C" w:rsidRDefault="006B1F0C" w:rsidP="006B1F0C">
      <w:proofErr w:type="gramStart"/>
      <w:r>
        <w:t>Credit.Swap.Index</w:t>
      </w:r>
      <w:proofErr w:type="gramEnd"/>
      <w:r>
        <w:t>_Tranche.InstRefDataReporting.V1.json</w:t>
      </w:r>
    </w:p>
    <w:p w14:paraId="687340B1" w14:textId="05D5F320" w:rsidR="006B1F0C" w:rsidRDefault="006B1F0C" w:rsidP="006B1F0C">
      <w:proofErr w:type="gramStart"/>
      <w:r>
        <w:t>Credit.Swap.Total</w:t>
      </w:r>
      <w:proofErr w:type="gramEnd"/>
      <w:r>
        <w:t>_Return_Swap.InstRefDataReporting.V1.json</w:t>
      </w:r>
    </w:p>
    <w:p w14:paraId="6DAAE178" w14:textId="77777777" w:rsidR="00D05F87" w:rsidRDefault="00D05F87" w:rsidP="00D05F87">
      <w:proofErr w:type="gramStart"/>
      <w:r>
        <w:t>Credit.Option.Index</w:t>
      </w:r>
      <w:proofErr w:type="gramEnd"/>
      <w:r>
        <w:t>_Swaption.InstRefDataReporting.V1.json</w:t>
      </w:r>
    </w:p>
    <w:p w14:paraId="4F98A769" w14:textId="77777777" w:rsidR="00D05F87" w:rsidRDefault="00D05F87" w:rsidP="00D05F87">
      <w:proofErr w:type="gramStart"/>
      <w:r>
        <w:t>Credit.Option.Single</w:t>
      </w:r>
      <w:proofErr w:type="gramEnd"/>
      <w:r>
        <w:t>_Name_Swaption.InstRefDataReporting.V1.json</w:t>
      </w:r>
    </w:p>
    <w:p w14:paraId="51884635" w14:textId="77777777" w:rsidR="00062CAA" w:rsidRDefault="00062CAA" w:rsidP="00F24BBC">
      <w:pPr>
        <w:rPr>
          <w:b/>
        </w:rPr>
      </w:pPr>
    </w:p>
    <w:p w14:paraId="0B121B55" w14:textId="77777777" w:rsidR="00062CAA" w:rsidRPr="00F24BBC" w:rsidRDefault="00062CAA" w:rsidP="00062CAA">
      <w:pPr>
        <w:rPr>
          <w:b/>
        </w:rPr>
      </w:pPr>
      <w:r w:rsidRPr="00F24BBC">
        <w:rPr>
          <w:b/>
        </w:rPr>
        <w:t>FX:</w:t>
      </w:r>
    </w:p>
    <w:p w14:paraId="06B55711" w14:textId="77777777" w:rsidR="00D05F87" w:rsidRDefault="00D05F87" w:rsidP="00D05F87">
      <w:r w:rsidRPr="00062CAA">
        <w:t>Foreign_Exchange.Swap.FX_</w:t>
      </w:r>
      <w:proofErr w:type="gramStart"/>
      <w:r w:rsidRPr="00062CAA">
        <w:t>Swap.InstRefDataReporting</w:t>
      </w:r>
      <w:r>
        <w:t>.V</w:t>
      </w:r>
      <w:proofErr w:type="gramEnd"/>
      <w:r>
        <w:t>1.json</w:t>
      </w:r>
    </w:p>
    <w:p w14:paraId="14EA2E75" w14:textId="77777777" w:rsidR="00D05F87" w:rsidRDefault="00D05F87" w:rsidP="00D05F87">
      <w:r>
        <w:t>Foreign_</w:t>
      </w:r>
      <w:proofErr w:type="gramStart"/>
      <w:r>
        <w:t>Exchange.Option.Barrier</w:t>
      </w:r>
      <w:proofErr w:type="gramEnd"/>
      <w:r>
        <w:t>_Option.InstRefDataReporting.V1.json</w:t>
      </w:r>
    </w:p>
    <w:p w14:paraId="77050B3A" w14:textId="77777777" w:rsidR="00D05F87" w:rsidRDefault="00D05F87" w:rsidP="00D05F87">
      <w:r>
        <w:t>Foreign_</w:t>
      </w:r>
      <w:proofErr w:type="gramStart"/>
      <w:r>
        <w:t>Exchange.Option.Digital</w:t>
      </w:r>
      <w:proofErr w:type="gramEnd"/>
      <w:r>
        <w:t>_Option.InstRefDataReporting.V1.json</w:t>
      </w:r>
    </w:p>
    <w:p w14:paraId="178CB047" w14:textId="77777777" w:rsidR="00D05F87" w:rsidRDefault="00D05F87" w:rsidP="00D05F87">
      <w:r>
        <w:t>Foreign_</w:t>
      </w:r>
      <w:proofErr w:type="gramStart"/>
      <w:r>
        <w:t>Exchange.Option.Forward</w:t>
      </w:r>
      <w:proofErr w:type="gramEnd"/>
      <w:r>
        <w:t>_Vol_Agreement.InstRefDataReporting.V1.json</w:t>
      </w:r>
    </w:p>
    <w:p w14:paraId="0B533F2E" w14:textId="77777777" w:rsidR="00D05F87" w:rsidRDefault="00D05F87" w:rsidP="00D05F87">
      <w:proofErr w:type="gramStart"/>
      <w:r>
        <w:t>Foreign_Exchange.Option.NDO.InstRefDataReporting.V</w:t>
      </w:r>
      <w:proofErr w:type="gramEnd"/>
      <w:r>
        <w:t>1.json</w:t>
      </w:r>
    </w:p>
    <w:p w14:paraId="13AB81B5" w14:textId="77777777" w:rsidR="00D05F87" w:rsidRDefault="00D05F87" w:rsidP="00D05F87">
      <w:r>
        <w:t>Foreign_</w:t>
      </w:r>
      <w:proofErr w:type="gramStart"/>
      <w:r>
        <w:t>Exchange.Option.Target</w:t>
      </w:r>
      <w:proofErr w:type="gramEnd"/>
      <w:r>
        <w:t>_Option.InstRefDataReporting.V1.json</w:t>
      </w:r>
    </w:p>
    <w:p w14:paraId="359BC6DC" w14:textId="77777777" w:rsidR="00D05F87" w:rsidRDefault="00D05F87" w:rsidP="00D05F87">
      <w:r>
        <w:t>Foreign_</w:t>
      </w:r>
      <w:proofErr w:type="gramStart"/>
      <w:r>
        <w:t>Exchange.Option.Vanilla</w:t>
      </w:r>
      <w:proofErr w:type="gramEnd"/>
      <w:r>
        <w:t>_Option.InstRefDataReporting.V1.json</w:t>
      </w:r>
    </w:p>
    <w:p w14:paraId="50AF38B4" w14:textId="2925BF1A" w:rsidR="00062CAA" w:rsidRDefault="00062CAA" w:rsidP="00062CAA">
      <w:r>
        <w:t>Foreign_</w:t>
      </w:r>
      <w:proofErr w:type="gramStart"/>
      <w:r>
        <w:t>Exchange.Forward.Contract</w:t>
      </w:r>
      <w:proofErr w:type="gramEnd"/>
      <w:r>
        <w:t>_For_Difference.InstRefDataReporting.V1.json</w:t>
      </w:r>
    </w:p>
    <w:p w14:paraId="6D1F3B35" w14:textId="77777777" w:rsidR="00062CAA" w:rsidRDefault="00062CAA" w:rsidP="00062CAA">
      <w:r>
        <w:t>Foreign_</w:t>
      </w:r>
      <w:proofErr w:type="gramStart"/>
      <w:r>
        <w:t>Exchange.Forward.Forward.InstRefDataReporting</w:t>
      </w:r>
      <w:proofErr w:type="gramEnd"/>
      <w:r>
        <w:t>.V1.json</w:t>
      </w:r>
    </w:p>
    <w:p w14:paraId="622F4482" w14:textId="77777777" w:rsidR="00062CAA" w:rsidRDefault="00062CAA" w:rsidP="00062CAA">
      <w:proofErr w:type="gramStart"/>
      <w:r>
        <w:t>Foreign_Exchange.Forward.NDF.InstRefDataReporting.V</w:t>
      </w:r>
      <w:proofErr w:type="gramEnd"/>
      <w:r>
        <w:t>1.json</w:t>
      </w:r>
    </w:p>
    <w:p w14:paraId="4A640A90" w14:textId="77777777" w:rsidR="00062CAA" w:rsidRDefault="00062CAA" w:rsidP="00062CAA">
      <w:r>
        <w:t>Foreign_</w:t>
      </w:r>
      <w:proofErr w:type="gramStart"/>
      <w:r>
        <w:t>Exchange.Forward.Rolling</w:t>
      </w:r>
      <w:proofErr w:type="gramEnd"/>
      <w:r>
        <w:t>_Spot.InstRefDataReporting.V1.json</w:t>
      </w:r>
    </w:p>
    <w:p w14:paraId="7AF62042" w14:textId="77777777" w:rsidR="00062CAA" w:rsidRDefault="00062CAA" w:rsidP="00062CAA">
      <w:r>
        <w:t>Foreign_</w:t>
      </w:r>
      <w:proofErr w:type="gramStart"/>
      <w:r>
        <w:t>Exchange.Forward.Spreadbet.InstRefDataReporting</w:t>
      </w:r>
      <w:proofErr w:type="gramEnd"/>
      <w:r>
        <w:t>.V1.json</w:t>
      </w:r>
    </w:p>
    <w:p w14:paraId="4F407E09" w14:textId="3BC1821A" w:rsidR="00062CAA" w:rsidRDefault="00062CAA" w:rsidP="00062CAA">
      <w:r>
        <w:t>Foreign_</w:t>
      </w:r>
      <w:proofErr w:type="gramStart"/>
      <w:r>
        <w:t>Exchange.Forward.Vol</w:t>
      </w:r>
      <w:proofErr w:type="gramEnd"/>
      <w:r>
        <w:t>_Var.InstRefDataReporting.V1.json</w:t>
      </w:r>
    </w:p>
    <w:p w14:paraId="330B7035" w14:textId="7488A13D" w:rsidR="007742BA" w:rsidRDefault="007742BA" w:rsidP="007742BA">
      <w:proofErr w:type="gramStart"/>
      <w:r w:rsidRPr="00062CAA">
        <w:t>Foreign_Exchange.Swap.</w:t>
      </w:r>
      <w:r>
        <w:t>NDS</w:t>
      </w:r>
      <w:r w:rsidRPr="00062CAA">
        <w:t>.InstRefDataReporting</w:t>
      </w:r>
      <w:r>
        <w:t>.V</w:t>
      </w:r>
      <w:proofErr w:type="gramEnd"/>
      <w:r>
        <w:t>1.json</w:t>
      </w:r>
    </w:p>
    <w:p w14:paraId="1EDEA27F" w14:textId="77777777" w:rsidR="00062CAA" w:rsidRDefault="00062CAA" w:rsidP="00F24BBC">
      <w:pPr>
        <w:rPr>
          <w:b/>
        </w:rPr>
      </w:pPr>
    </w:p>
    <w:p w14:paraId="6F137B2B" w14:textId="0146B1F3" w:rsidR="00F24BBC" w:rsidRPr="00F24BBC" w:rsidRDefault="00F24BBC" w:rsidP="00F24BBC">
      <w:pPr>
        <w:rPr>
          <w:b/>
        </w:rPr>
      </w:pPr>
      <w:r w:rsidRPr="00F24BBC">
        <w:rPr>
          <w:b/>
        </w:rPr>
        <w:t>Equities:</w:t>
      </w:r>
    </w:p>
    <w:p w14:paraId="36EF7DA2" w14:textId="77777777" w:rsidR="00F24BBC" w:rsidRDefault="00F24BBC" w:rsidP="00F24BBC">
      <w:proofErr w:type="gramStart"/>
      <w:r>
        <w:t>Equity.Swap.Price</w:t>
      </w:r>
      <w:proofErr w:type="gramEnd"/>
      <w:r>
        <w:t>_Return_Basic_Performance_Single_Name.InstRefDataReporting.V1.json</w:t>
      </w:r>
    </w:p>
    <w:p w14:paraId="63D56E55" w14:textId="1058E0A3" w:rsidR="0081519C" w:rsidRDefault="0081519C" w:rsidP="0081519C">
      <w:proofErr w:type="gramStart"/>
      <w:r>
        <w:t>Equity.</w:t>
      </w:r>
      <w:r w:rsidR="00D05F87">
        <w:t>Swap.</w:t>
      </w:r>
      <w:r>
        <w:t>Price</w:t>
      </w:r>
      <w:proofErr w:type="gramEnd"/>
      <w:r>
        <w:t>_Return_Basic_Performance_Single_Index.InstRefDataReporting.V1.json</w:t>
      </w:r>
    </w:p>
    <w:p w14:paraId="0DF68F7E" w14:textId="20FC9CBB" w:rsidR="0081519C" w:rsidRDefault="0081519C" w:rsidP="0081519C">
      <w:proofErr w:type="gramStart"/>
      <w:r>
        <w:t>Equity.</w:t>
      </w:r>
      <w:r w:rsidR="00D05F87">
        <w:t>Swap.</w:t>
      </w:r>
      <w:r>
        <w:t>Price</w:t>
      </w:r>
      <w:proofErr w:type="gramEnd"/>
      <w:r>
        <w:t>_Return_Basic_Performance_Basket.InstRefDataReporting.V1.json</w:t>
      </w:r>
    </w:p>
    <w:p w14:paraId="1C1EAE67" w14:textId="77777777" w:rsidR="00D05F87" w:rsidRDefault="00D05F87" w:rsidP="0081519C">
      <w:proofErr w:type="gramStart"/>
      <w:r>
        <w:t>Equity.Swap.Parameter</w:t>
      </w:r>
      <w:proofErr w:type="gramEnd"/>
      <w:r>
        <w:t xml:space="preserve">_Return_Dividend_Single_Name.InstRefDataReporting.V1.json </w:t>
      </w:r>
    </w:p>
    <w:p w14:paraId="46EB9BBB" w14:textId="48CC4484" w:rsidR="0081519C" w:rsidRDefault="0081519C" w:rsidP="0081519C">
      <w:proofErr w:type="gramStart"/>
      <w:r>
        <w:t>Equity.</w:t>
      </w:r>
      <w:r w:rsidR="00D05F87">
        <w:t>Swap.</w:t>
      </w:r>
      <w:r>
        <w:t>Parameter</w:t>
      </w:r>
      <w:proofErr w:type="gramEnd"/>
      <w:r>
        <w:t>_Return_Dividend_Single_Index.InstRefDataReporting.V1.json</w:t>
      </w:r>
    </w:p>
    <w:p w14:paraId="57C22F4C" w14:textId="6C2EE7F2" w:rsidR="0081519C" w:rsidRDefault="0081519C" w:rsidP="0081519C">
      <w:r>
        <w:t>Equity.</w:t>
      </w:r>
      <w:r w:rsidR="00D05F87" w:rsidRPr="00D05F87">
        <w:t xml:space="preserve"> </w:t>
      </w:r>
      <w:r w:rsidR="00D05F87">
        <w:t>Swap.</w:t>
      </w:r>
      <w:r>
        <w:t>Parameter_Return_Dividend_</w:t>
      </w:r>
      <w:proofErr w:type="gramStart"/>
      <w:r>
        <w:t>Basket.InstRefDataReporting.V</w:t>
      </w:r>
      <w:proofErr w:type="gramEnd"/>
      <w:r>
        <w:t>1.json</w:t>
      </w:r>
    </w:p>
    <w:p w14:paraId="0F425787" w14:textId="77777777" w:rsidR="00D05F87" w:rsidRDefault="00D05F87" w:rsidP="00D05F87">
      <w:proofErr w:type="gramStart"/>
      <w:r>
        <w:t>Equity.Swap.Parameter</w:t>
      </w:r>
      <w:proofErr w:type="gramEnd"/>
      <w:r>
        <w:t>_Return_Variance_Single_Name.InstRefDataReporting.V1.json</w:t>
      </w:r>
    </w:p>
    <w:p w14:paraId="4F9D52B2" w14:textId="132CBB26" w:rsidR="0081519C" w:rsidRDefault="0081519C" w:rsidP="0081519C">
      <w:r>
        <w:t>Equity.</w:t>
      </w:r>
      <w:r w:rsidR="00D05F87" w:rsidRPr="00D05F87">
        <w:t xml:space="preserve"> </w:t>
      </w:r>
      <w:r w:rsidR="00D05F87">
        <w:t>Swap.</w:t>
      </w:r>
      <w:r>
        <w:t>Parameter_Return_Variance_Single_</w:t>
      </w:r>
      <w:proofErr w:type="gramStart"/>
      <w:r>
        <w:t>Index.InstRefDataReporting.V</w:t>
      </w:r>
      <w:proofErr w:type="gramEnd"/>
      <w:r>
        <w:t>1.json</w:t>
      </w:r>
    </w:p>
    <w:p w14:paraId="617A5991" w14:textId="35F2865C" w:rsidR="0081519C" w:rsidRDefault="0081519C" w:rsidP="0081519C">
      <w:r>
        <w:t>Equity.</w:t>
      </w:r>
      <w:r w:rsidR="00D05F87" w:rsidRPr="00D05F87">
        <w:t xml:space="preserve"> </w:t>
      </w:r>
      <w:r w:rsidR="00D05F87">
        <w:t>Swap.</w:t>
      </w:r>
      <w:r>
        <w:t>Parameter_Return_Variance_</w:t>
      </w:r>
      <w:proofErr w:type="gramStart"/>
      <w:r>
        <w:t>Basket.InstRefDataReporting.V</w:t>
      </w:r>
      <w:proofErr w:type="gramEnd"/>
      <w:r>
        <w:t>1.json</w:t>
      </w:r>
    </w:p>
    <w:p w14:paraId="6D242EB9" w14:textId="77777777" w:rsidR="00D05F87" w:rsidRDefault="00D05F87" w:rsidP="00D05F87">
      <w:proofErr w:type="gramStart"/>
      <w:r>
        <w:t>Equity.Swap.Parameter</w:t>
      </w:r>
      <w:proofErr w:type="gramEnd"/>
      <w:r>
        <w:t>_Return_Volatility_Single_Name.InstRefDataReporting.V1.json</w:t>
      </w:r>
    </w:p>
    <w:p w14:paraId="2DCB06E3" w14:textId="4C3E47C4" w:rsidR="0081519C" w:rsidRDefault="0081519C" w:rsidP="0081519C">
      <w:r>
        <w:t>Equity.</w:t>
      </w:r>
      <w:r w:rsidR="00D05F87" w:rsidRPr="00D05F87">
        <w:t xml:space="preserve"> </w:t>
      </w:r>
      <w:r w:rsidR="00D05F87">
        <w:t>Swap.</w:t>
      </w:r>
      <w:r>
        <w:t>Parameter_Return_Volatility_Single_</w:t>
      </w:r>
      <w:proofErr w:type="gramStart"/>
      <w:r>
        <w:t>Index.InstRefDataReporting.V</w:t>
      </w:r>
      <w:proofErr w:type="gramEnd"/>
      <w:r>
        <w:t>1.json</w:t>
      </w:r>
    </w:p>
    <w:p w14:paraId="60D40BED" w14:textId="75C706D2" w:rsidR="0081519C" w:rsidRDefault="0081519C" w:rsidP="0081519C">
      <w:r>
        <w:t>Equity.</w:t>
      </w:r>
      <w:r w:rsidR="00D05F87" w:rsidRPr="00D05F87">
        <w:t xml:space="preserve"> </w:t>
      </w:r>
      <w:r w:rsidR="00D05F87">
        <w:t>Swap.</w:t>
      </w:r>
      <w:r>
        <w:t>Parameter_Return_Volatility_</w:t>
      </w:r>
      <w:proofErr w:type="gramStart"/>
      <w:r>
        <w:t>Basket.InstRefDataReporting.V</w:t>
      </w:r>
      <w:proofErr w:type="gramEnd"/>
      <w:r>
        <w:t>1.json</w:t>
      </w:r>
    </w:p>
    <w:p w14:paraId="41DA7EA8" w14:textId="21BD5850" w:rsidR="0081519C" w:rsidRDefault="00D05F87" w:rsidP="0081519C">
      <w:proofErr w:type="gramStart"/>
      <w:r>
        <w:t>Equity.Swap.Price</w:t>
      </w:r>
      <w:proofErr w:type="gramEnd"/>
      <w:r>
        <w:t xml:space="preserve">_Return_Basic_Performance_Single_Name_CFD.InstRefDataReporting.V1.json        </w:t>
      </w:r>
      <w:r w:rsidR="0081519C">
        <w:t>Equity.</w:t>
      </w:r>
      <w:r w:rsidRPr="00D05F87">
        <w:t xml:space="preserve"> </w:t>
      </w:r>
      <w:r>
        <w:t>Swap.</w:t>
      </w:r>
      <w:r w:rsidR="0081519C">
        <w:t>Price_Return_Basic_Performance_Single_Index_</w:t>
      </w:r>
      <w:proofErr w:type="gramStart"/>
      <w:r w:rsidR="0081519C">
        <w:t>CFD.InstRefDataReporting.V</w:t>
      </w:r>
      <w:proofErr w:type="gramEnd"/>
      <w:r w:rsidR="0081519C">
        <w:t>1.json</w:t>
      </w:r>
    </w:p>
    <w:p w14:paraId="7639BAA9" w14:textId="701B6C47" w:rsidR="0081519C" w:rsidRDefault="0081519C" w:rsidP="0081519C">
      <w:r>
        <w:t>Equity.</w:t>
      </w:r>
      <w:r w:rsidR="00D05F87" w:rsidRPr="00D05F87">
        <w:t xml:space="preserve"> </w:t>
      </w:r>
      <w:r w:rsidR="00D05F87">
        <w:t>Swap.</w:t>
      </w:r>
      <w:r>
        <w:t>Price_Return_Basic_Performance_Basket_</w:t>
      </w:r>
      <w:proofErr w:type="gramStart"/>
      <w:r>
        <w:t>CFD.InstRefDataReporting.V</w:t>
      </w:r>
      <w:proofErr w:type="gramEnd"/>
      <w:r>
        <w:t>1.json</w:t>
      </w:r>
    </w:p>
    <w:p w14:paraId="2FF4B673" w14:textId="77777777" w:rsidR="00AD5B3B" w:rsidRDefault="00AD5B3B" w:rsidP="00AD5B3B">
      <w:r>
        <w:t>Equity.Portfolio_</w:t>
      </w:r>
      <w:proofErr w:type="gramStart"/>
      <w:r>
        <w:t>Swap.InstRefDataReporting.V</w:t>
      </w:r>
      <w:proofErr w:type="gramEnd"/>
      <w:r>
        <w:t>1.json</w:t>
      </w:r>
    </w:p>
    <w:p w14:paraId="23EF7036" w14:textId="6D5308AB" w:rsidR="00D05F87" w:rsidRDefault="00D05F87" w:rsidP="00AD5B3B">
      <w:proofErr w:type="gramStart"/>
      <w:r>
        <w:t>Equity.Option.Single</w:t>
      </w:r>
      <w:proofErr w:type="gramEnd"/>
      <w:r>
        <w:t>_Name.InstRefDataReporting.V1.json</w:t>
      </w:r>
    </w:p>
    <w:p w14:paraId="7BBC328D" w14:textId="022F21FB" w:rsidR="0081519C" w:rsidRDefault="0081519C" w:rsidP="0081519C">
      <w:proofErr w:type="gramStart"/>
      <w:r>
        <w:t>Equity.Option.Single</w:t>
      </w:r>
      <w:proofErr w:type="gramEnd"/>
      <w:r>
        <w:t>_Index.InstRefDataReporting.V1.json</w:t>
      </w:r>
    </w:p>
    <w:p w14:paraId="7DEC44FA" w14:textId="43004176" w:rsidR="0081519C" w:rsidRDefault="0081519C" w:rsidP="0081519C">
      <w:proofErr w:type="gramStart"/>
      <w:r>
        <w:t>Equity.Option.Basket.InstRefDataReporting</w:t>
      </w:r>
      <w:proofErr w:type="gramEnd"/>
      <w:r>
        <w:t>.V1.json</w:t>
      </w:r>
    </w:p>
    <w:p w14:paraId="0F6BB13D" w14:textId="77777777" w:rsidR="00D05F87" w:rsidRDefault="00D05F87" w:rsidP="00D05F87">
      <w:proofErr w:type="gramStart"/>
      <w:r>
        <w:t>Equity.Forward.Price</w:t>
      </w:r>
      <w:proofErr w:type="gramEnd"/>
      <w:r>
        <w:t>_Return_Basic_Performance_Single_Name.InstRefDataReporting.V1.json</w:t>
      </w:r>
    </w:p>
    <w:p w14:paraId="317B363F" w14:textId="77777777" w:rsidR="00D05F87" w:rsidRDefault="00D05F87" w:rsidP="00D05F87">
      <w:proofErr w:type="gramStart"/>
      <w:r>
        <w:t>Equity.Forward.Price</w:t>
      </w:r>
      <w:proofErr w:type="gramEnd"/>
      <w:r>
        <w:t>_Return_Basic_Performance_Single_Name_CFD.InstRefDataReporting.V1.json</w:t>
      </w:r>
    </w:p>
    <w:p w14:paraId="6C1F3177" w14:textId="15E3E493" w:rsidR="0081519C" w:rsidRDefault="0081519C" w:rsidP="0081519C">
      <w:proofErr w:type="gramStart"/>
      <w:r>
        <w:t>Equity.Forward.Price</w:t>
      </w:r>
      <w:proofErr w:type="gramEnd"/>
      <w:r>
        <w:t>_Return_Basic_Performance_Single_Index.InstRefDataReporting.V1.json</w:t>
      </w:r>
    </w:p>
    <w:p w14:paraId="03B98BCF" w14:textId="6AF14439" w:rsidR="0081519C" w:rsidRDefault="00D05F87" w:rsidP="0081519C">
      <w:proofErr w:type="gramStart"/>
      <w:r>
        <w:t>Equity.Forward.Price</w:t>
      </w:r>
      <w:proofErr w:type="gramEnd"/>
      <w:r>
        <w:t xml:space="preserve">_Return_Basic_Performance_Single_Index_CFD.InstRefDataReporting.V1.json </w:t>
      </w:r>
      <w:r w:rsidR="0081519C">
        <w:t>Equity.Forward.Price_Return_Basic_Performance_Basket.InstRefDataReporting.V1.json</w:t>
      </w:r>
    </w:p>
    <w:p w14:paraId="2B18869E" w14:textId="5469E3B1" w:rsidR="00F24BBC" w:rsidRDefault="00D05F87" w:rsidP="0081519C">
      <w:proofErr w:type="gramStart"/>
      <w:r>
        <w:t>Equity.Forward.Price</w:t>
      </w:r>
      <w:proofErr w:type="gramEnd"/>
      <w:r>
        <w:t xml:space="preserve">_Return_Basic_Performance_Basket_CFD.InstRefDataReporting.V1.json </w:t>
      </w:r>
    </w:p>
    <w:p w14:paraId="43EBE9C8" w14:textId="1A32643C" w:rsidR="006B1F0C" w:rsidRDefault="006B1F0C" w:rsidP="0081519C"/>
    <w:p w14:paraId="0AAEF394" w14:textId="77777777" w:rsidR="00D05F87" w:rsidRPr="00F24BBC" w:rsidRDefault="00D05F87" w:rsidP="00D05F87">
      <w:pPr>
        <w:rPr>
          <w:b/>
        </w:rPr>
      </w:pPr>
      <w:r w:rsidRPr="00F24BBC">
        <w:rPr>
          <w:b/>
        </w:rPr>
        <w:t xml:space="preserve">Commodities: </w:t>
      </w:r>
    </w:p>
    <w:p w14:paraId="3CB9D252" w14:textId="77777777" w:rsidR="00D05F87" w:rsidRDefault="00D05F87" w:rsidP="00D05F87">
      <w:proofErr w:type="gramStart"/>
      <w:r>
        <w:t>Commodities.Swap.Swap.InstRefDataReporting</w:t>
      </w:r>
      <w:proofErr w:type="gramEnd"/>
      <w:r>
        <w:t>.V1.json</w:t>
      </w:r>
    </w:p>
    <w:p w14:paraId="3FC66829" w14:textId="77777777" w:rsidR="00D05F87" w:rsidRDefault="00D05F87" w:rsidP="00D05F87">
      <w:proofErr w:type="gramStart"/>
      <w:r>
        <w:t>Commodities.Swap.Basis</w:t>
      </w:r>
      <w:proofErr w:type="gramEnd"/>
      <w:r>
        <w:t>_Swap.InstRefDataReporting.V1.json</w:t>
      </w:r>
    </w:p>
    <w:p w14:paraId="00868632" w14:textId="77777777" w:rsidR="00D05F87" w:rsidRDefault="00D05F87" w:rsidP="00D05F87">
      <w:proofErr w:type="gramStart"/>
      <w:r>
        <w:t>Commodities.Option.Option.InstRefDataReporting</w:t>
      </w:r>
      <w:proofErr w:type="gramEnd"/>
      <w:r>
        <w:t>.V1.json</w:t>
      </w:r>
    </w:p>
    <w:p w14:paraId="43D6E256" w14:textId="77777777" w:rsidR="00D05F87" w:rsidRDefault="00D05F87" w:rsidP="00D05F87">
      <w:proofErr w:type="gramStart"/>
      <w:r>
        <w:t>Commodities.Option.Swaption.InstRefDataReporting</w:t>
      </w:r>
      <w:proofErr w:type="gramEnd"/>
      <w:r>
        <w:t>.V1.json</w:t>
      </w:r>
    </w:p>
    <w:p w14:paraId="05430BC2" w14:textId="633B6044" w:rsidR="00D05F87" w:rsidRDefault="00D05F87" w:rsidP="00D05F87">
      <w:proofErr w:type="gramStart"/>
      <w:r>
        <w:t>Commodities.Forward.Forward.InstRefDataReporting</w:t>
      </w:r>
      <w:proofErr w:type="gramEnd"/>
      <w:r>
        <w:t>.V1.json</w:t>
      </w:r>
    </w:p>
    <w:p w14:paraId="11295420" w14:textId="77777777" w:rsidR="00A57D79" w:rsidRDefault="00A57D79" w:rsidP="00A57D79">
      <w:proofErr w:type="gramStart"/>
      <w:r>
        <w:t>Commodities.Swap.Multi</w:t>
      </w:r>
      <w:proofErr w:type="gramEnd"/>
      <w:r>
        <w:t>_Exotic_Swap.InstRefDataReporting.V1.json</w:t>
      </w:r>
    </w:p>
    <w:p w14:paraId="798CFA2E" w14:textId="77777777" w:rsidR="00A57D79" w:rsidRDefault="00A57D79" w:rsidP="00A57D79">
      <w:proofErr w:type="gramStart"/>
      <w:r>
        <w:t>Commodities.Option.Multi</w:t>
      </w:r>
      <w:proofErr w:type="gramEnd"/>
      <w:r>
        <w:t>_Exotic_Option.InstRefDataReporting.V1.json</w:t>
      </w:r>
    </w:p>
    <w:p w14:paraId="3066BD82" w14:textId="77777777" w:rsidR="00A57D79" w:rsidRDefault="00A57D79" w:rsidP="00A57D79">
      <w:proofErr w:type="gramStart"/>
      <w:r>
        <w:t>Commodities.Forward.Multi</w:t>
      </w:r>
      <w:proofErr w:type="gramEnd"/>
      <w:r>
        <w:t>_Exotic_Forward.InstRefDataReporting.V1.json</w:t>
      </w:r>
    </w:p>
    <w:p w14:paraId="77E90A89" w14:textId="77777777" w:rsidR="00A57D79" w:rsidRDefault="00A57D79" w:rsidP="00D05F87"/>
    <w:p w14:paraId="24DA3438" w14:textId="3F61AD3E" w:rsidR="00D05F87" w:rsidRDefault="00D05F87" w:rsidP="00D05F87">
      <w:pPr>
        <w:rPr>
          <w:b/>
        </w:rPr>
      </w:pPr>
    </w:p>
    <w:p w14:paraId="1A3C12C3" w14:textId="703B0FCE" w:rsidR="006B1F0C" w:rsidRPr="006B1F0C" w:rsidRDefault="006B1F0C" w:rsidP="00D05F87">
      <w:pPr>
        <w:rPr>
          <w:b/>
        </w:rPr>
      </w:pPr>
      <w:r w:rsidRPr="006B1F0C">
        <w:rPr>
          <w:b/>
        </w:rPr>
        <w:t>Non-Standard</w:t>
      </w:r>
      <w:r>
        <w:rPr>
          <w:b/>
        </w:rPr>
        <w:t>:</w:t>
      </w:r>
    </w:p>
    <w:p w14:paraId="7953F1F3" w14:textId="1B04A94F" w:rsidR="006B1F0C" w:rsidRDefault="00D05F87" w:rsidP="006B1F0C">
      <w:proofErr w:type="gramStart"/>
      <w:r>
        <w:t>Rates.Swap.Non</w:t>
      </w:r>
      <w:proofErr w:type="gramEnd"/>
      <w:r>
        <w:t xml:space="preserve">_Standard.InstRefDataReporting.V1.json </w:t>
      </w:r>
      <w:r w:rsidR="006B1F0C">
        <w:t>Rates.Option.Non_Standard.InstRefDataReporting.V1.json</w:t>
      </w:r>
    </w:p>
    <w:p w14:paraId="4D1344A8" w14:textId="77777777" w:rsidR="00D05F87" w:rsidRDefault="00D05F87" w:rsidP="00D05F87">
      <w:proofErr w:type="gramStart"/>
      <w:r>
        <w:t>Credit.Swap.Non</w:t>
      </w:r>
      <w:proofErr w:type="gramEnd"/>
      <w:r>
        <w:t>_Standard.InstRefDataReporting.V1.json</w:t>
      </w:r>
    </w:p>
    <w:p w14:paraId="461B4341" w14:textId="58C06F9A" w:rsidR="006B1F0C" w:rsidRDefault="006B1F0C" w:rsidP="006B1F0C">
      <w:proofErr w:type="gramStart"/>
      <w:r>
        <w:t>Credit.Option.Non</w:t>
      </w:r>
      <w:proofErr w:type="gramEnd"/>
      <w:r>
        <w:t>_Standard.InstRefDataReporting.V1.json</w:t>
      </w:r>
    </w:p>
    <w:p w14:paraId="60BE3ADD" w14:textId="3B490B81" w:rsidR="00D05F87" w:rsidRDefault="00D05F87" w:rsidP="00D05F87">
      <w:r w:rsidRPr="00062CAA">
        <w:t>Foreign_</w:t>
      </w:r>
      <w:proofErr w:type="gramStart"/>
      <w:r w:rsidRPr="00062CAA">
        <w:t>Exchange</w:t>
      </w:r>
      <w:r>
        <w:t>.Option.Non</w:t>
      </w:r>
      <w:proofErr w:type="gramEnd"/>
      <w:r>
        <w:t>_Standard.InstRefDataReporting.V1.json</w:t>
      </w:r>
    </w:p>
    <w:p w14:paraId="7CE52399" w14:textId="684126CD" w:rsidR="00D05F87" w:rsidRDefault="00D05F87" w:rsidP="00D05F87">
      <w:r w:rsidRPr="00062CAA">
        <w:t>Foreign_</w:t>
      </w:r>
      <w:proofErr w:type="gramStart"/>
      <w:r w:rsidRPr="00062CAA">
        <w:t>Exchange</w:t>
      </w:r>
      <w:r>
        <w:t>.Forward.Non</w:t>
      </w:r>
      <w:proofErr w:type="gramEnd"/>
      <w:r>
        <w:t>_Standard.InstRefDataReporting.V1.json</w:t>
      </w:r>
    </w:p>
    <w:p w14:paraId="5761B19C" w14:textId="48BA7BC6" w:rsidR="00D05F87" w:rsidRDefault="00D05F87" w:rsidP="00D05F87">
      <w:proofErr w:type="gramStart"/>
      <w:r>
        <w:t>Equity.Swap.Non</w:t>
      </w:r>
      <w:proofErr w:type="gramEnd"/>
      <w:r>
        <w:t>_Standard.InstRefDataReporting.V1.json</w:t>
      </w:r>
    </w:p>
    <w:p w14:paraId="0E26D32E" w14:textId="75D605B3" w:rsidR="00D05F87" w:rsidRDefault="00D05F87" w:rsidP="00D05F87">
      <w:proofErr w:type="gramStart"/>
      <w:r>
        <w:t>Equity.Option.Non</w:t>
      </w:r>
      <w:proofErr w:type="gramEnd"/>
      <w:r>
        <w:t>_Standard.InstRefDataReporting.V1.json</w:t>
      </w:r>
    </w:p>
    <w:p w14:paraId="24CC58E6" w14:textId="4285D170" w:rsidR="00D05F87" w:rsidRDefault="00D05F87" w:rsidP="00D05F87">
      <w:proofErr w:type="gramStart"/>
      <w:r>
        <w:t>Equity.Forward.Non</w:t>
      </w:r>
      <w:proofErr w:type="gramEnd"/>
      <w:r>
        <w:t>_Standard.InstRefDataReporting.V1.json</w:t>
      </w:r>
    </w:p>
    <w:p w14:paraId="4E7B4413" w14:textId="647AA739" w:rsidR="00D05F87" w:rsidRDefault="00D05F87" w:rsidP="00D05F87"/>
    <w:p w14:paraId="57748AAF" w14:textId="77777777" w:rsidR="002B776F" w:rsidRDefault="002B776F" w:rsidP="00AD77B0"/>
    <w:p w14:paraId="687DCE55" w14:textId="2024070F" w:rsidR="00D05F87" w:rsidRDefault="00D05F87" w:rsidP="00D05F87">
      <w:pPr>
        <w:pStyle w:val="Heading2"/>
        <w:ind w:left="567"/>
      </w:pPr>
      <w:bookmarkStart w:id="15" w:name="_Toc527364478"/>
      <w:r>
        <w:t>PROD Implementation for remaining Products</w:t>
      </w:r>
      <w:bookmarkEnd w:id="15"/>
    </w:p>
    <w:p w14:paraId="212F8139" w14:textId="6459D1B5" w:rsidR="00D05F87" w:rsidRDefault="00D05F87" w:rsidP="00D05F87"/>
    <w:p w14:paraId="64CF0589" w14:textId="14BAD013" w:rsidR="00D05F87" w:rsidRPr="00D05F87" w:rsidRDefault="00D05F87" w:rsidP="00D05F87">
      <w:r>
        <w:t>The following Product Definitions will be implemented into PRODUCTION in 2018 (implementation timeline to be advised):</w:t>
      </w:r>
    </w:p>
    <w:p w14:paraId="6A46A42A" w14:textId="77777777" w:rsidR="00D05F87" w:rsidRDefault="00D05F87"/>
    <w:p w14:paraId="16FF9EF2" w14:textId="77777777" w:rsidR="00D05F87" w:rsidRPr="006B1F0C" w:rsidRDefault="00D05F87" w:rsidP="00D05F87">
      <w:pPr>
        <w:rPr>
          <w:b/>
        </w:rPr>
      </w:pPr>
      <w:r w:rsidRPr="006B1F0C">
        <w:rPr>
          <w:b/>
        </w:rPr>
        <w:t>Non-Standard</w:t>
      </w:r>
      <w:r>
        <w:rPr>
          <w:b/>
        </w:rPr>
        <w:t>:</w:t>
      </w:r>
    </w:p>
    <w:p w14:paraId="0319161E" w14:textId="648557DE" w:rsidR="00AD5B3B" w:rsidRDefault="00AD5B3B" w:rsidP="00D05F87">
      <w:r>
        <w:t>Other.</w:t>
      </w:r>
      <w:r w:rsidR="00D05F87">
        <w:t>Non_Standard</w:t>
      </w:r>
      <w:r>
        <w:t>_</w:t>
      </w:r>
      <w:proofErr w:type="gramStart"/>
      <w:r>
        <w:t>Swap</w:t>
      </w:r>
      <w:r w:rsidR="00D05F87">
        <w:t>.InstRefDataReporting.V</w:t>
      </w:r>
      <w:proofErr w:type="gramEnd"/>
      <w:r w:rsidR="00D05F87">
        <w:t xml:space="preserve">1.json </w:t>
      </w:r>
    </w:p>
    <w:p w14:paraId="1CBFC484" w14:textId="705929CA" w:rsidR="00AD5B3B" w:rsidRDefault="00AD5B3B" w:rsidP="00AD5B3B">
      <w:r>
        <w:t>Other.Non_Standard_</w:t>
      </w:r>
      <w:proofErr w:type="gramStart"/>
      <w:r w:rsidR="008077BC">
        <w:t>Option</w:t>
      </w:r>
      <w:r>
        <w:t>.InstRefDataReporting.V</w:t>
      </w:r>
      <w:proofErr w:type="gramEnd"/>
      <w:r>
        <w:t>1.json</w:t>
      </w:r>
    </w:p>
    <w:p w14:paraId="1672A933" w14:textId="77777777" w:rsidR="00451D35" w:rsidRPr="00451D35" w:rsidRDefault="00451D35" w:rsidP="00451D35">
      <w:pPr>
        <w:rPr>
          <w:bCs/>
        </w:rPr>
      </w:pPr>
      <w:r w:rsidRPr="00451D35">
        <w:rPr>
          <w:bCs/>
        </w:rPr>
        <w:t>Other.Non_Standard_</w:t>
      </w:r>
      <w:proofErr w:type="gramStart"/>
      <w:r w:rsidRPr="00451D35">
        <w:rPr>
          <w:bCs/>
        </w:rPr>
        <w:t>Other.InstRefDataReporting.V</w:t>
      </w:r>
      <w:proofErr w:type="gramEnd"/>
      <w:r w:rsidRPr="00451D35">
        <w:rPr>
          <w:bCs/>
        </w:rPr>
        <w:t>1.json</w:t>
      </w:r>
    </w:p>
    <w:p w14:paraId="7DC45193" w14:textId="77777777" w:rsidR="00AD5B3B" w:rsidRDefault="00AD5B3B" w:rsidP="00AD5B3B"/>
    <w:p w14:paraId="00E8F720" w14:textId="77777777" w:rsidR="00AD5B3B" w:rsidRDefault="00AD5B3B">
      <w:r>
        <w:br w:type="page"/>
      </w:r>
    </w:p>
    <w:p w14:paraId="2EB5F0DB" w14:textId="77777777" w:rsidR="00AD5B3B" w:rsidRDefault="00AD5B3B" w:rsidP="00AD5B3B">
      <w:pPr>
        <w:pStyle w:val="Heading1"/>
      </w:pPr>
      <w:bookmarkStart w:id="16" w:name="_Toc500926766"/>
      <w:bookmarkStart w:id="17" w:name="_Toc527364479"/>
      <w:r>
        <w:lastRenderedPageBreak/>
        <w:t>Attribute Data Dictionary</w:t>
      </w:r>
      <w:bookmarkEnd w:id="16"/>
      <w:bookmarkEnd w:id="17"/>
    </w:p>
    <w:p w14:paraId="14E5C54C" w14:textId="77777777" w:rsidR="00AD5B3B" w:rsidRDefault="00AD5B3B" w:rsidP="00AD5B3B">
      <w:pPr>
        <w:rPr>
          <w:b/>
        </w:rPr>
      </w:pPr>
    </w:p>
    <w:p w14:paraId="4DCEAFE1" w14:textId="77777777" w:rsidR="00AD5B3B" w:rsidRDefault="00AD5B3B" w:rsidP="00AD5B3B">
      <w:pPr>
        <w:pStyle w:val="ListParagraph"/>
        <w:numPr>
          <w:ilvl w:val="0"/>
          <w:numId w:val="15"/>
        </w:numPr>
      </w:pPr>
      <w:r>
        <w:t>Alongside each attribute in the table below, the Source has been assigned which specifies the exact reference (where applicable) of that attribute within the respective taxonomy</w:t>
      </w:r>
      <w:r>
        <w:rPr>
          <w:rStyle w:val="FootnoteReference"/>
        </w:rPr>
        <w:footnoteReference w:id="2"/>
      </w:r>
      <w:r>
        <w:t xml:space="preserve">. </w:t>
      </w:r>
    </w:p>
    <w:p w14:paraId="0D3E1838" w14:textId="77777777" w:rsidR="00AD5B3B" w:rsidRDefault="00AD5B3B" w:rsidP="00AD5B3B">
      <w:pPr>
        <w:pStyle w:val="ListParagraph"/>
        <w:numPr>
          <w:ilvl w:val="0"/>
          <w:numId w:val="15"/>
        </w:numPr>
      </w:pPr>
      <w:r>
        <w:t>The Data type specific to that attribute is also provided and aligns with the ISO standard</w:t>
      </w:r>
    </w:p>
    <w:p w14:paraId="2233C8C7" w14:textId="77777777" w:rsidR="00AD5B3B" w:rsidRDefault="00AD5B3B" w:rsidP="00AD5B3B">
      <w:pPr>
        <w:pStyle w:val="ListParagraph"/>
        <w:numPr>
          <w:ilvl w:val="0"/>
          <w:numId w:val="15"/>
        </w:numPr>
      </w:pPr>
      <w:r>
        <w:t>These attributes will be presented in UAT as enumerated lists where applicable.</w:t>
      </w:r>
    </w:p>
    <w:p w14:paraId="37AA491E" w14:textId="77777777" w:rsidR="00AD5B3B" w:rsidRDefault="00AD5B3B" w:rsidP="00AD5B3B">
      <w:pPr>
        <w:pStyle w:val="ListParagraph"/>
        <w:numPr>
          <w:ilvl w:val="0"/>
          <w:numId w:val="15"/>
        </w:numPr>
      </w:pPr>
      <w:r>
        <w:t>It should be noted that the JSON messaging schema the DSB is employing will contain all attributes listed below and their associated enumerations.</w:t>
      </w:r>
    </w:p>
    <w:p w14:paraId="1AC3E109" w14:textId="77777777" w:rsidR="00AD5B3B" w:rsidRDefault="00AD5B3B" w:rsidP="00AD5B3B"/>
    <w:tbl>
      <w:tblPr>
        <w:tblStyle w:val="TableGrid"/>
        <w:tblW w:w="10485" w:type="dxa"/>
        <w:jc w:val="center"/>
        <w:tblLayout w:type="fixed"/>
        <w:tblLook w:val="04A0" w:firstRow="1" w:lastRow="0" w:firstColumn="1" w:lastColumn="0" w:noHBand="0" w:noVBand="1"/>
      </w:tblPr>
      <w:tblGrid>
        <w:gridCol w:w="3114"/>
        <w:gridCol w:w="4394"/>
        <w:gridCol w:w="2977"/>
      </w:tblGrid>
      <w:tr w:rsidR="00AD5B3B" w:rsidRPr="00C531AA" w14:paraId="3A38653C" w14:textId="77777777" w:rsidTr="00452B51">
        <w:trPr>
          <w:jc w:val="center"/>
        </w:trPr>
        <w:tc>
          <w:tcPr>
            <w:tcW w:w="3114" w:type="dxa"/>
            <w:shd w:val="clear" w:color="auto" w:fill="0070C0"/>
            <w:vAlign w:val="center"/>
          </w:tcPr>
          <w:p w14:paraId="679CE7A4" w14:textId="77777777" w:rsidR="00AD5B3B" w:rsidRPr="00C531AA" w:rsidRDefault="00AD5B3B" w:rsidP="00452B51">
            <w:pPr>
              <w:rPr>
                <w:b/>
                <w:color w:val="FFFFFF" w:themeColor="background1"/>
              </w:rPr>
            </w:pPr>
            <w:r w:rsidRPr="00C531AA">
              <w:rPr>
                <w:b/>
                <w:color w:val="FFFFFF" w:themeColor="background1"/>
              </w:rPr>
              <w:t>Full Name</w:t>
            </w:r>
          </w:p>
        </w:tc>
        <w:tc>
          <w:tcPr>
            <w:tcW w:w="4394" w:type="dxa"/>
            <w:shd w:val="clear" w:color="auto" w:fill="0070C0"/>
            <w:vAlign w:val="center"/>
          </w:tcPr>
          <w:p w14:paraId="096F6276" w14:textId="77777777" w:rsidR="00AD5B3B" w:rsidRPr="00C531AA" w:rsidRDefault="00AD5B3B" w:rsidP="00452B51">
            <w:pPr>
              <w:rPr>
                <w:b/>
                <w:color w:val="FFFFFF" w:themeColor="background1"/>
              </w:rPr>
            </w:pPr>
            <w:r>
              <w:rPr>
                <w:b/>
                <w:color w:val="FFFFFF" w:themeColor="background1"/>
              </w:rPr>
              <w:t>Source</w:t>
            </w:r>
          </w:p>
        </w:tc>
        <w:tc>
          <w:tcPr>
            <w:tcW w:w="2977" w:type="dxa"/>
            <w:shd w:val="clear" w:color="auto" w:fill="0070C0"/>
            <w:vAlign w:val="center"/>
          </w:tcPr>
          <w:p w14:paraId="11210137" w14:textId="77777777" w:rsidR="00AD5B3B" w:rsidRDefault="00AD5B3B" w:rsidP="00452B51">
            <w:pPr>
              <w:rPr>
                <w:b/>
                <w:color w:val="FFFFFF" w:themeColor="background1"/>
              </w:rPr>
            </w:pPr>
            <w:r>
              <w:rPr>
                <w:b/>
                <w:color w:val="FFFFFF" w:themeColor="background1"/>
              </w:rPr>
              <w:t>Type (ISO 20022 Standard)</w:t>
            </w:r>
          </w:p>
        </w:tc>
      </w:tr>
      <w:tr w:rsidR="00AD5B3B" w14:paraId="427EF0A0"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209088DD" w14:textId="77777777" w:rsidR="00AD5B3B" w:rsidRPr="00B16C8F" w:rsidRDefault="00AD5B3B" w:rsidP="00452B51">
            <w:r>
              <w:rPr>
                <w:rFonts w:ascii="Calibri" w:hAnsi="Calibri" w:cs="Calibri"/>
                <w:color w:val="000000"/>
              </w:rPr>
              <w:t>Additional sub product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63DF467F" w14:textId="77777777" w:rsidR="00AD5B3B" w:rsidRPr="00B16C8F" w:rsidRDefault="00903D74" w:rsidP="00452B51">
            <w:hyperlink r:id="rId13" w:anchor="/mx/DRAFT6auth.036.001.01#content%2FFinancialInstrument%2FNewRecord%2FDerivativeInstrumentAttributes%2FAssetClassSpecificAttributes%2FCommodity%2FProduct%2FAgricultural%2FGrainOilSeed%2FAdditionalSubProduct" w:history="1">
              <w:r w:rsidR="00AD5B3B">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https://www2.swift.com/mystandards/#/mx/DRAFT6auth.036.001.01#content%2FFinancialInstrument%2FNewRecord%2FDerivativeInstrumentAttributes%2FAssetClassSpecificAttributes%2FCommodity%2FProduct%2FAgricultural%2FGrainOilSeed%2FAdditionalSubProduct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07A06988" w14:textId="77777777" w:rsidR="00AD5B3B" w:rsidRDefault="00AD5B3B" w:rsidP="00452B51">
            <w:pPr>
              <w:ind w:right="31"/>
            </w:pPr>
            <w:r>
              <w:t>Max35Text (based on string)</w:t>
            </w:r>
          </w:p>
          <w:p w14:paraId="2FFD2F65" w14:textId="77777777" w:rsidR="00AD5B3B" w:rsidRDefault="00AD5B3B" w:rsidP="00452B51">
            <w:pPr>
              <w:ind w:right="31"/>
            </w:pPr>
            <w:proofErr w:type="spellStart"/>
            <w:r>
              <w:t>minLength</w:t>
            </w:r>
            <w:proofErr w:type="spellEnd"/>
            <w:r>
              <w:t>: 1</w:t>
            </w:r>
          </w:p>
          <w:p w14:paraId="1F0FF6E2" w14:textId="77777777" w:rsidR="00AD5B3B" w:rsidRDefault="00AD5B3B" w:rsidP="00452B51">
            <w:pPr>
              <w:ind w:right="31"/>
            </w:pPr>
            <w:proofErr w:type="spellStart"/>
            <w:r>
              <w:t>maxLength</w:t>
            </w:r>
            <w:proofErr w:type="spellEnd"/>
            <w:r>
              <w:t>: 35</w:t>
            </w:r>
          </w:p>
        </w:tc>
      </w:tr>
      <w:tr w:rsidR="00AD5B3B" w14:paraId="4C7403CB" w14:textId="77777777" w:rsidTr="00452B51">
        <w:trPr>
          <w:jc w:val="center"/>
        </w:trPr>
        <w:tc>
          <w:tcPr>
            <w:tcW w:w="3114" w:type="dxa"/>
            <w:vAlign w:val="center"/>
          </w:tcPr>
          <w:p w14:paraId="1AE210A1" w14:textId="77777777" w:rsidR="00AD5B3B" w:rsidRPr="00B16C8F" w:rsidRDefault="00AD5B3B" w:rsidP="00452B51">
            <w:r w:rsidRPr="00B16C8F">
              <w:t>Asset Class</w:t>
            </w:r>
          </w:p>
        </w:tc>
        <w:tc>
          <w:tcPr>
            <w:tcW w:w="4394" w:type="dxa"/>
            <w:vAlign w:val="center"/>
          </w:tcPr>
          <w:p w14:paraId="6DA4B68B" w14:textId="77777777" w:rsidR="00AD5B3B" w:rsidRPr="00B16C8F" w:rsidRDefault="00AD5B3B" w:rsidP="00452B51">
            <w:r>
              <w:t>CFI Code (</w:t>
            </w:r>
            <w:r w:rsidRPr="00B16C8F">
              <w:t>ISO 10962: 2015</w:t>
            </w:r>
            <w:r>
              <w:t>)</w:t>
            </w:r>
            <w:r w:rsidRPr="00B16C8F">
              <w:t xml:space="preserve"> </w:t>
            </w:r>
            <w:r>
              <w:t xml:space="preserve">Text associated with </w:t>
            </w:r>
            <w:r w:rsidRPr="00B16C8F">
              <w:t>Character #2</w:t>
            </w:r>
          </w:p>
        </w:tc>
        <w:tc>
          <w:tcPr>
            <w:tcW w:w="2977" w:type="dxa"/>
            <w:vAlign w:val="center"/>
          </w:tcPr>
          <w:p w14:paraId="62FBEC54" w14:textId="77777777" w:rsidR="00AD5B3B" w:rsidRDefault="00AD5B3B" w:rsidP="00452B51">
            <w:r>
              <w:t>Max35Text (based on string)</w:t>
            </w:r>
          </w:p>
          <w:p w14:paraId="75A639D7" w14:textId="77777777" w:rsidR="00AD5B3B" w:rsidRDefault="00AD5B3B" w:rsidP="00452B51">
            <w:pPr>
              <w:ind w:right="31"/>
            </w:pPr>
            <w:proofErr w:type="spellStart"/>
            <w:r>
              <w:t>minLength</w:t>
            </w:r>
            <w:proofErr w:type="spellEnd"/>
            <w:r>
              <w:t>: 1</w:t>
            </w:r>
          </w:p>
          <w:p w14:paraId="0505D975" w14:textId="77777777" w:rsidR="00AD5B3B" w:rsidRDefault="00AD5B3B" w:rsidP="00452B51">
            <w:proofErr w:type="spellStart"/>
            <w:r>
              <w:t>maxLength</w:t>
            </w:r>
            <w:proofErr w:type="spellEnd"/>
            <w:r>
              <w:t>: 35</w:t>
            </w:r>
          </w:p>
        </w:tc>
      </w:tr>
      <w:tr w:rsidR="00AD5B3B" w14:paraId="291793F6"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19C2559F" w14:textId="77777777" w:rsidR="00AD5B3B" w:rsidRPr="00B16C8F" w:rsidRDefault="00AD5B3B" w:rsidP="00452B51">
            <w:r>
              <w:rPr>
                <w:rFonts w:ascii="Calibri" w:hAnsi="Calibri" w:cs="Calibri"/>
                <w:color w:val="000000"/>
              </w:rPr>
              <w:t>Base product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4F5B6431" w14:textId="77777777" w:rsidR="00AD5B3B" w:rsidRPr="00B16C8F" w:rsidRDefault="00903D74" w:rsidP="00452B51">
            <w:hyperlink r:id="rId14" w:anchor="/mx/DRAFT6auth.036.001.01#content%2FFinancialInstrument%2FNewRecord%2FDerivativeInstrumentAttributes%2FAssetClassSpecificAttributes%2FCommodity%2FProduct%2FAgricultural%2FGrainOilSeed%2FBaseProduct" w:history="1">
              <w:r w:rsidR="00AD5B3B">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https://www2.swift.com/mystandards/#/mx/DRAFT6auth.036.001.01#content%2FFinancialInstrument%2FNewRecord%2FDerivativeInstrumentAttributes%2FAssetClassSpecificAttributes%2FCommodity%2FProduct%2FAgricultural%2FGrainOilSeed%2FBaseProduct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001F84D2" w14:textId="77777777" w:rsidR="00AD5B3B" w:rsidRDefault="00AD5B3B" w:rsidP="00452B51">
            <w:r>
              <w:t>Max35Text (based on string)</w:t>
            </w:r>
          </w:p>
          <w:p w14:paraId="543717AC" w14:textId="77777777" w:rsidR="00AD5B3B" w:rsidRDefault="00AD5B3B" w:rsidP="00452B51">
            <w:pPr>
              <w:ind w:right="31"/>
            </w:pPr>
            <w:proofErr w:type="spellStart"/>
            <w:r>
              <w:t>minLength</w:t>
            </w:r>
            <w:proofErr w:type="spellEnd"/>
            <w:r>
              <w:t>: 1</w:t>
            </w:r>
          </w:p>
          <w:p w14:paraId="609401D8" w14:textId="77777777" w:rsidR="00AD5B3B" w:rsidRDefault="00AD5B3B" w:rsidP="00452B51">
            <w:proofErr w:type="spellStart"/>
            <w:r>
              <w:t>maxLength</w:t>
            </w:r>
            <w:proofErr w:type="spellEnd"/>
            <w:r>
              <w:t>: 35</w:t>
            </w:r>
          </w:p>
        </w:tc>
      </w:tr>
      <w:tr w:rsidR="00AD5B3B" w14:paraId="2D587ED4" w14:textId="77777777" w:rsidTr="00452B51">
        <w:trPr>
          <w:jc w:val="center"/>
        </w:trPr>
        <w:tc>
          <w:tcPr>
            <w:tcW w:w="3114" w:type="dxa"/>
            <w:vAlign w:val="center"/>
          </w:tcPr>
          <w:p w14:paraId="08940BB4" w14:textId="77777777" w:rsidR="00AD5B3B" w:rsidRPr="00B16C8F" w:rsidRDefault="00AD5B3B" w:rsidP="00452B51">
            <w:r>
              <w:t>Classification Type</w:t>
            </w:r>
          </w:p>
        </w:tc>
        <w:tc>
          <w:tcPr>
            <w:tcW w:w="4394" w:type="dxa"/>
            <w:vAlign w:val="center"/>
          </w:tcPr>
          <w:p w14:paraId="3291A8DF" w14:textId="77777777" w:rsidR="00AD5B3B" w:rsidRPr="00B16C8F" w:rsidRDefault="00AD5B3B" w:rsidP="00452B51">
            <w:r>
              <w:t>CFI Code (</w:t>
            </w:r>
            <w:r w:rsidRPr="00B16C8F">
              <w:t>ISO 10962: 2015</w:t>
            </w:r>
            <w:r>
              <w:t>)</w:t>
            </w:r>
            <w:r w:rsidRPr="00B16C8F">
              <w:t xml:space="preserve"> Full Code</w:t>
            </w:r>
          </w:p>
        </w:tc>
        <w:tc>
          <w:tcPr>
            <w:tcW w:w="2977" w:type="dxa"/>
            <w:vAlign w:val="center"/>
          </w:tcPr>
          <w:p w14:paraId="19083A7F" w14:textId="77777777" w:rsidR="00AD5B3B" w:rsidRDefault="00AD5B3B" w:rsidP="00452B51">
            <w:r>
              <w:t>CFIOct2015Identifier (based on string)</w:t>
            </w:r>
          </w:p>
          <w:p w14:paraId="6BB8D88D" w14:textId="77777777" w:rsidR="00AD5B3B" w:rsidRDefault="00AD5B3B" w:rsidP="00452B51">
            <w:r>
              <w:t>pattern: [A-</w:t>
            </w:r>
            <w:proofErr w:type="gramStart"/>
            <w:r>
              <w:t>Z]{</w:t>
            </w:r>
            <w:proofErr w:type="gramEnd"/>
            <w:r>
              <w:t>6,6}</w:t>
            </w:r>
          </w:p>
        </w:tc>
      </w:tr>
      <w:tr w:rsidR="00AD5B3B" w14:paraId="3679C3B2" w14:textId="77777777" w:rsidTr="00452B51">
        <w:trPr>
          <w:jc w:val="center"/>
        </w:trPr>
        <w:tc>
          <w:tcPr>
            <w:tcW w:w="3114" w:type="dxa"/>
            <w:vAlign w:val="center"/>
          </w:tcPr>
          <w:p w14:paraId="37064A2E" w14:textId="77777777" w:rsidR="00AD5B3B" w:rsidRPr="00B16C8F" w:rsidRDefault="00AD5B3B" w:rsidP="00452B51">
            <w:r>
              <w:t>Commodity Derivative Indicator</w:t>
            </w:r>
          </w:p>
        </w:tc>
        <w:tc>
          <w:tcPr>
            <w:tcW w:w="4394" w:type="dxa"/>
            <w:vAlign w:val="center"/>
          </w:tcPr>
          <w:p w14:paraId="0758A546" w14:textId="77777777" w:rsidR="00AD5B3B" w:rsidRPr="00B16C8F" w:rsidRDefault="00AD5B3B" w:rsidP="00452B51">
            <w:r w:rsidRPr="00B16C8F">
              <w:t>Boolean</w:t>
            </w:r>
          </w:p>
        </w:tc>
        <w:tc>
          <w:tcPr>
            <w:tcW w:w="2977" w:type="dxa"/>
            <w:vAlign w:val="center"/>
          </w:tcPr>
          <w:p w14:paraId="6EC92ABF" w14:textId="77777777" w:rsidR="00AD5B3B" w:rsidRPr="00B16C8F" w:rsidRDefault="00AD5B3B" w:rsidP="00452B51">
            <w:proofErr w:type="spellStart"/>
            <w:r w:rsidRPr="00E5395C">
              <w:t>TrueFalseIndicator</w:t>
            </w:r>
            <w:proofErr w:type="spellEnd"/>
            <w:r w:rsidRPr="00E5395C">
              <w:t xml:space="preserve"> (based on </w:t>
            </w:r>
            <w:proofErr w:type="spellStart"/>
            <w:r w:rsidRPr="00E5395C">
              <w:t>boolean</w:t>
            </w:r>
            <w:proofErr w:type="spellEnd"/>
            <w:r w:rsidRPr="00E5395C">
              <w:t>)</w:t>
            </w:r>
          </w:p>
        </w:tc>
      </w:tr>
      <w:tr w:rsidR="00AD5B3B" w14:paraId="2C022C9B"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78554320" w14:textId="77777777" w:rsidR="00AD5B3B" w:rsidRPr="00B16C8F" w:rsidRDefault="00AD5B3B" w:rsidP="00452B51">
            <w:r>
              <w:rPr>
                <w:rFonts w:ascii="Calibri" w:hAnsi="Calibri" w:cs="Calibri"/>
                <w:color w:val="000000"/>
              </w:rPr>
              <w:t>Debt Seniority</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9FD1D0E" w14:textId="77777777" w:rsidR="00AD5B3B" w:rsidRPr="00B16C8F" w:rsidRDefault="00903D74" w:rsidP="00452B51">
            <w:hyperlink r:id="rId15" w:anchor="s5.63" w:history="1">
              <w:r w:rsidR="00AD5B3B" w:rsidRPr="006D2946">
                <w:rPr>
                  <w:rStyle w:val="Hyperlink"/>
                </w:rPr>
                <w:t>http://www.fpml.org/spec/coding-scheme/fpml-schemes.html#s5.63</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7E509ACB" w14:textId="77777777" w:rsidR="00AD5B3B" w:rsidRDefault="00AD5B3B" w:rsidP="00452B51">
            <w:r>
              <w:t>Max35Text (based on string)</w:t>
            </w:r>
          </w:p>
          <w:p w14:paraId="754F4F8F" w14:textId="77777777" w:rsidR="00AD5B3B" w:rsidRDefault="00AD5B3B" w:rsidP="00452B51">
            <w:pPr>
              <w:ind w:right="31"/>
            </w:pPr>
            <w:proofErr w:type="spellStart"/>
            <w:r>
              <w:t>minLength</w:t>
            </w:r>
            <w:proofErr w:type="spellEnd"/>
            <w:r>
              <w:t>: 1</w:t>
            </w:r>
          </w:p>
          <w:p w14:paraId="7EAC1DDA" w14:textId="77777777" w:rsidR="00AD5B3B" w:rsidRDefault="00AD5B3B" w:rsidP="00452B51">
            <w:proofErr w:type="spellStart"/>
            <w:r>
              <w:t>maxLength</w:t>
            </w:r>
            <w:proofErr w:type="spellEnd"/>
            <w:r>
              <w:t>: 35</w:t>
            </w:r>
          </w:p>
        </w:tc>
      </w:tr>
      <w:tr w:rsidR="00AD5B3B" w14:paraId="0B93390E" w14:textId="77777777" w:rsidTr="00452B51">
        <w:trPr>
          <w:jc w:val="center"/>
        </w:trPr>
        <w:tc>
          <w:tcPr>
            <w:tcW w:w="3114" w:type="dxa"/>
            <w:vAlign w:val="center"/>
          </w:tcPr>
          <w:p w14:paraId="6A760C40" w14:textId="77777777" w:rsidR="00AD5B3B" w:rsidRPr="00B16C8F" w:rsidRDefault="00AD5B3B" w:rsidP="00452B51">
            <w:r w:rsidRPr="00C531AA">
              <w:t>Delivery type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4DC0DA33" w14:textId="77777777" w:rsidR="00AD5B3B" w:rsidRPr="00B16C8F" w:rsidRDefault="00AD5B3B" w:rsidP="00452B51">
            <w:r>
              <w:t>CFI Code (</w:t>
            </w:r>
            <w:r>
              <w:rPr>
                <w:rFonts w:ascii="Calibri" w:hAnsi="Calibri" w:cs="Calibri"/>
                <w:color w:val="000000"/>
              </w:rPr>
              <w:t>ISO 10962: 2015) Character #6</w:t>
            </w:r>
          </w:p>
        </w:tc>
        <w:tc>
          <w:tcPr>
            <w:tcW w:w="2977" w:type="dxa"/>
            <w:tcBorders>
              <w:top w:val="single" w:sz="4" w:space="0" w:color="auto"/>
              <w:left w:val="single" w:sz="4" w:space="0" w:color="auto"/>
              <w:bottom w:val="single" w:sz="4" w:space="0" w:color="auto"/>
              <w:right w:val="single" w:sz="4" w:space="0" w:color="auto"/>
            </w:tcBorders>
            <w:vAlign w:val="center"/>
          </w:tcPr>
          <w:p w14:paraId="7A7FC664" w14:textId="77777777" w:rsidR="00AD5B3B" w:rsidRDefault="00AD5B3B" w:rsidP="00452B51">
            <w:r>
              <w:t>Max35Text (based on string)</w:t>
            </w:r>
          </w:p>
          <w:p w14:paraId="12EAF1CD" w14:textId="77777777" w:rsidR="00AD5B3B" w:rsidRDefault="00AD5B3B" w:rsidP="00452B51">
            <w:pPr>
              <w:ind w:right="31"/>
            </w:pPr>
            <w:proofErr w:type="spellStart"/>
            <w:r>
              <w:t>minLength</w:t>
            </w:r>
            <w:proofErr w:type="spellEnd"/>
            <w:r>
              <w:t>: 1</w:t>
            </w:r>
          </w:p>
          <w:p w14:paraId="5A4B0888" w14:textId="77777777" w:rsidR="00AD5B3B" w:rsidRDefault="00AD5B3B" w:rsidP="00452B51">
            <w:proofErr w:type="spellStart"/>
            <w:r>
              <w:t>maxLength</w:t>
            </w:r>
            <w:proofErr w:type="spellEnd"/>
            <w:r>
              <w:t>: 35</w:t>
            </w:r>
          </w:p>
        </w:tc>
      </w:tr>
      <w:tr w:rsidR="00AD5B3B" w14:paraId="41806366" w14:textId="77777777" w:rsidTr="00452B51">
        <w:trPr>
          <w:jc w:val="center"/>
        </w:trPr>
        <w:tc>
          <w:tcPr>
            <w:tcW w:w="3114" w:type="dxa"/>
            <w:vAlign w:val="center"/>
          </w:tcPr>
          <w:p w14:paraId="2A0073ED" w14:textId="77777777" w:rsidR="00AD5B3B" w:rsidRPr="00B16C8F" w:rsidRDefault="00AD5B3B" w:rsidP="00452B51">
            <w:r>
              <w:t>Expiry Date</w:t>
            </w:r>
          </w:p>
        </w:tc>
        <w:tc>
          <w:tcPr>
            <w:tcW w:w="4394" w:type="dxa"/>
            <w:vAlign w:val="center"/>
          </w:tcPr>
          <w:p w14:paraId="6E6C1A85" w14:textId="77777777" w:rsidR="00AD5B3B" w:rsidRDefault="00AD5B3B" w:rsidP="00452B51">
            <w:r w:rsidRPr="00C531AA">
              <w:t xml:space="preserve">Date </w:t>
            </w:r>
            <w:r>
              <w:t xml:space="preserve">YYYY-MM-DD </w:t>
            </w:r>
            <w:r w:rsidRPr="00C531AA">
              <w:t>(Expiry D</w:t>
            </w:r>
            <w:r>
              <w:t>ate of the financial instrument)</w:t>
            </w:r>
          </w:p>
          <w:p w14:paraId="44424ED6" w14:textId="77777777" w:rsidR="00AD5B3B" w:rsidRDefault="00AD5B3B" w:rsidP="00452B51">
            <w:r>
              <w:t>Syntactic validation:</w:t>
            </w:r>
          </w:p>
          <w:p w14:paraId="3ED73E96" w14:textId="77777777" w:rsidR="00AD5B3B" w:rsidRDefault="00AD5B3B" w:rsidP="00452B51">
            <w:pPr>
              <w:pStyle w:val="ListParagraph"/>
              <w:numPr>
                <w:ilvl w:val="2"/>
                <w:numId w:val="5"/>
              </w:numPr>
              <w:ind w:left="887"/>
            </w:pPr>
            <w:r>
              <w:t>Date format as above</w:t>
            </w:r>
          </w:p>
          <w:p w14:paraId="45D7DEFA" w14:textId="77777777" w:rsidR="00AD5B3B" w:rsidRDefault="00AD5B3B" w:rsidP="00452B51">
            <w:pPr>
              <w:pStyle w:val="ListParagraph"/>
              <w:numPr>
                <w:ilvl w:val="2"/>
                <w:numId w:val="5"/>
              </w:numPr>
              <w:ind w:left="887"/>
            </w:pPr>
            <w:r>
              <w:t>Between 1970 &amp; 2500</w:t>
            </w:r>
          </w:p>
          <w:p w14:paraId="6288C7F9" w14:textId="27B8CD6F" w:rsidR="003D271D" w:rsidRPr="00B16C8F" w:rsidRDefault="003D271D" w:rsidP="00452B51">
            <w:pPr>
              <w:pStyle w:val="ListParagraph"/>
              <w:numPr>
                <w:ilvl w:val="2"/>
                <w:numId w:val="5"/>
              </w:numPr>
              <w:ind w:left="887"/>
            </w:pPr>
            <w:r>
              <w:t>Expected to be ADJUSTED DATE</w:t>
            </w:r>
          </w:p>
        </w:tc>
        <w:tc>
          <w:tcPr>
            <w:tcW w:w="2977" w:type="dxa"/>
            <w:vAlign w:val="center"/>
          </w:tcPr>
          <w:p w14:paraId="346C803D" w14:textId="77777777" w:rsidR="00AD5B3B" w:rsidRPr="00C531AA" w:rsidRDefault="00AD5B3B" w:rsidP="00452B51">
            <w:proofErr w:type="spellStart"/>
            <w:r w:rsidRPr="000A0405">
              <w:t>ISODate</w:t>
            </w:r>
            <w:proofErr w:type="spellEnd"/>
            <w:r w:rsidRPr="000A0405">
              <w:t xml:space="preserve"> (based on date)</w:t>
            </w:r>
          </w:p>
        </w:tc>
      </w:tr>
      <w:tr w:rsidR="00AD5B3B" w14:paraId="46917FD2"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75722594" w14:textId="77777777" w:rsidR="00AD5B3B" w:rsidRPr="00B16C8F" w:rsidRDefault="00AD5B3B" w:rsidP="00452B51">
            <w:r>
              <w:rPr>
                <w:rFonts w:ascii="Calibri" w:hAnsi="Calibri" w:cs="Calibri"/>
                <w:color w:val="000000"/>
              </w:rPr>
              <w:t>Final price type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3718A3B0" w14:textId="77777777" w:rsidR="00AD5B3B" w:rsidRPr="00B16C8F" w:rsidRDefault="00903D74" w:rsidP="00452B51">
            <w:hyperlink r:id="rId16" w:anchor="/mx/DRAFT6auth.036.001.01#content%2FFinancialInstrument%2FNewRecord%2FDerivativeInstrumentAttributes%2FAssetClassSpecificAttributes%2FCommodity%2FFinalPriceType" w:history="1">
              <w:r w:rsidR="00AD5B3B">
                <w:rPr>
                  <w:rStyle w:val="Hyperlink"/>
                  <w:rFonts w:ascii="Calibri" w:hAnsi="Calibri" w:cs="Calibri"/>
                </w:rPr>
                <w:t>https://www2.swift.com/mystandards/#/mx/DRAFT6auth.036.001.01#content%2FFinancialInstrument%2FNewRecord%2FDerivativeInstr</w:t>
              </w:r>
              <w:r w:rsidR="00AD5B3B">
                <w:rPr>
                  <w:rStyle w:val="Hyperlink"/>
                  <w:rFonts w:ascii="Calibri" w:hAnsi="Calibri" w:cs="Calibri"/>
                </w:rPr>
                <w:lastRenderedPageBreak/>
                <w:t>umentAttributes%2FAssetClassSpecificAttributes%2FCommodity%2FFinalPriceType</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474C79C5" w14:textId="77777777" w:rsidR="00AD5B3B" w:rsidRDefault="00AD5B3B" w:rsidP="00452B51">
            <w:r>
              <w:lastRenderedPageBreak/>
              <w:t>Max35Text (based on string)</w:t>
            </w:r>
          </w:p>
          <w:p w14:paraId="5BE84472" w14:textId="77777777" w:rsidR="00AD5B3B" w:rsidRDefault="00AD5B3B" w:rsidP="00452B51">
            <w:pPr>
              <w:ind w:right="31"/>
            </w:pPr>
            <w:proofErr w:type="spellStart"/>
            <w:r>
              <w:t>minLength</w:t>
            </w:r>
            <w:proofErr w:type="spellEnd"/>
            <w:r>
              <w:t>: 1</w:t>
            </w:r>
          </w:p>
          <w:p w14:paraId="7896A6FF" w14:textId="77777777" w:rsidR="00AD5B3B" w:rsidRDefault="00AD5B3B" w:rsidP="00452B51">
            <w:proofErr w:type="spellStart"/>
            <w:r>
              <w:t>maxLength</w:t>
            </w:r>
            <w:proofErr w:type="spellEnd"/>
            <w:r>
              <w:t>: 35</w:t>
            </w:r>
          </w:p>
        </w:tc>
      </w:tr>
      <w:tr w:rsidR="00AD5B3B" w14:paraId="6D3C66E4" w14:textId="77777777" w:rsidTr="00452B51">
        <w:trPr>
          <w:jc w:val="center"/>
        </w:trPr>
        <w:tc>
          <w:tcPr>
            <w:tcW w:w="3114" w:type="dxa"/>
            <w:vAlign w:val="center"/>
          </w:tcPr>
          <w:p w14:paraId="56E16671" w14:textId="77777777" w:rsidR="00AD5B3B" w:rsidRPr="00B16C8F" w:rsidRDefault="00AD5B3B" w:rsidP="00452B51">
            <w:r>
              <w:t>Full Name</w:t>
            </w:r>
          </w:p>
        </w:tc>
        <w:tc>
          <w:tcPr>
            <w:tcW w:w="4394" w:type="dxa"/>
            <w:vAlign w:val="center"/>
          </w:tcPr>
          <w:p w14:paraId="2023DE03" w14:textId="77777777" w:rsidR="00AD5B3B" w:rsidRPr="00B16C8F" w:rsidRDefault="00AD5B3B" w:rsidP="00452B51">
            <w:r w:rsidRPr="00B16C8F">
              <w:t>Full name of the instrument defined by DSB</w:t>
            </w:r>
          </w:p>
        </w:tc>
        <w:tc>
          <w:tcPr>
            <w:tcW w:w="2977" w:type="dxa"/>
            <w:vAlign w:val="center"/>
          </w:tcPr>
          <w:p w14:paraId="1B08CE37" w14:textId="77777777" w:rsidR="00AD5B3B" w:rsidRDefault="00AD5B3B" w:rsidP="00452B51">
            <w:r>
              <w:t>Max350Text (based on string)</w:t>
            </w:r>
          </w:p>
          <w:p w14:paraId="3BDBE581" w14:textId="77777777" w:rsidR="00AD5B3B" w:rsidRDefault="00AD5B3B" w:rsidP="00452B51">
            <w:pPr>
              <w:ind w:right="31"/>
            </w:pPr>
            <w:proofErr w:type="spellStart"/>
            <w:r>
              <w:t>minLength</w:t>
            </w:r>
            <w:proofErr w:type="spellEnd"/>
            <w:r>
              <w:t>: 1</w:t>
            </w:r>
          </w:p>
          <w:p w14:paraId="7E005150" w14:textId="77777777" w:rsidR="00AD5B3B" w:rsidRPr="00B16C8F" w:rsidRDefault="00AD5B3B" w:rsidP="00452B51">
            <w:proofErr w:type="spellStart"/>
            <w:r>
              <w:t>maxLength</w:t>
            </w:r>
            <w:proofErr w:type="spellEnd"/>
            <w:r>
              <w:t>: 350</w:t>
            </w:r>
          </w:p>
        </w:tc>
      </w:tr>
      <w:tr w:rsidR="00AD5B3B" w14:paraId="23B912E7"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41442A58" w14:textId="77777777" w:rsidR="00AD5B3B" w:rsidRPr="00B16C8F" w:rsidRDefault="00AD5B3B" w:rsidP="00452B51">
            <w:r>
              <w:rPr>
                <w:rFonts w:ascii="Calibri" w:hAnsi="Calibri" w:cs="Calibri"/>
                <w:color w:val="000000"/>
              </w:rPr>
              <w:t>FX Type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6F195300" w14:textId="77777777" w:rsidR="00AD5B3B" w:rsidRPr="00B16C8F" w:rsidRDefault="00903D74" w:rsidP="00452B51">
            <w:hyperlink r:id="rId17" w:anchor="/mx/DRAFT6auth.036.001.01#content%2FFinancialInstrument%2FNewRecord%2FDerivativeInstrumentAttributes%2FAssetClassSpecificAttributes%2FForeignExchange%2FFXType" w:history="1">
              <w:r w:rsidR="00AD5B3B">
                <w:rPr>
                  <w:rStyle w:val="Hyperlink"/>
                  <w:rFonts w:ascii="Calibri" w:hAnsi="Calibri" w:cs="Calibri"/>
                </w:rPr>
                <w:t>https://www2.swift.com/mystandards/#/mx/DRAFT6auth.036.001.01#content%2FFinancialInstrument%2FNewRecord%2FDerivativeInstrumentAttributes%2FAssetClassSpecificAttributes%2FForeignExchange%2FFXType</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39920975" w14:textId="77777777" w:rsidR="00AD5B3B" w:rsidRDefault="00AD5B3B" w:rsidP="00452B51">
            <w:r>
              <w:t>Max35Text (based on string)</w:t>
            </w:r>
          </w:p>
          <w:p w14:paraId="32819B0E" w14:textId="77777777" w:rsidR="00AD5B3B" w:rsidRDefault="00AD5B3B" w:rsidP="00452B51">
            <w:pPr>
              <w:ind w:right="31"/>
            </w:pPr>
            <w:proofErr w:type="spellStart"/>
            <w:r>
              <w:t>minLength</w:t>
            </w:r>
            <w:proofErr w:type="spellEnd"/>
            <w:r>
              <w:t>: 1</w:t>
            </w:r>
          </w:p>
          <w:p w14:paraId="312641DA" w14:textId="77777777" w:rsidR="00AD5B3B" w:rsidRDefault="00AD5B3B" w:rsidP="00452B51">
            <w:proofErr w:type="spellStart"/>
            <w:r>
              <w:t>maxLength</w:t>
            </w:r>
            <w:proofErr w:type="spellEnd"/>
            <w:r>
              <w:t>: 35</w:t>
            </w:r>
          </w:p>
        </w:tc>
      </w:tr>
      <w:tr w:rsidR="00AD5B3B" w14:paraId="2F2C483D" w14:textId="77777777" w:rsidTr="00452B51">
        <w:trPr>
          <w:jc w:val="center"/>
        </w:trPr>
        <w:tc>
          <w:tcPr>
            <w:tcW w:w="3114" w:type="dxa"/>
            <w:vAlign w:val="center"/>
          </w:tcPr>
          <w:p w14:paraId="0E16DF12" w14:textId="77777777" w:rsidR="00AD5B3B" w:rsidRPr="00B16C8F" w:rsidRDefault="00AD5B3B" w:rsidP="00452B51">
            <w:r>
              <w:t>Identification (ISIN)</w:t>
            </w:r>
          </w:p>
        </w:tc>
        <w:tc>
          <w:tcPr>
            <w:tcW w:w="4394" w:type="dxa"/>
            <w:vAlign w:val="center"/>
          </w:tcPr>
          <w:p w14:paraId="1E785D07" w14:textId="77777777" w:rsidR="00AD5B3B" w:rsidRPr="00B16C8F" w:rsidRDefault="00AD5B3B" w:rsidP="00452B51">
            <w:r w:rsidRPr="00B16C8F">
              <w:t>ISO 6166: 2013</w:t>
            </w:r>
          </w:p>
        </w:tc>
        <w:tc>
          <w:tcPr>
            <w:tcW w:w="2977" w:type="dxa"/>
            <w:vAlign w:val="center"/>
          </w:tcPr>
          <w:p w14:paraId="0A95A4D2" w14:textId="77777777" w:rsidR="00AD5B3B" w:rsidRDefault="00AD5B3B" w:rsidP="00452B51">
            <w:r>
              <w:t>Max12Text (based on string)</w:t>
            </w:r>
          </w:p>
          <w:p w14:paraId="29E0C683" w14:textId="77777777" w:rsidR="00AD5B3B" w:rsidRPr="00B16C8F" w:rsidRDefault="00AD5B3B" w:rsidP="00452B51">
            <w:r>
              <w:t>Pattern: [A-</w:t>
            </w:r>
            <w:proofErr w:type="gramStart"/>
            <w:r>
              <w:t>Z]{</w:t>
            </w:r>
            <w:proofErr w:type="gramEnd"/>
            <w:r>
              <w:t>2,2}[A-Z0-9]{9,9}[0-9]{1,1}</w:t>
            </w:r>
          </w:p>
        </w:tc>
      </w:tr>
      <w:tr w:rsidR="00AD5B3B" w14:paraId="4E102F90" w14:textId="77777777" w:rsidTr="00452B51">
        <w:trPr>
          <w:jc w:val="center"/>
        </w:trPr>
        <w:tc>
          <w:tcPr>
            <w:tcW w:w="3114" w:type="dxa"/>
            <w:vAlign w:val="center"/>
          </w:tcPr>
          <w:p w14:paraId="50DC0BEC" w14:textId="77777777" w:rsidR="00AD5B3B" w:rsidRPr="00B16C8F" w:rsidRDefault="00AD5B3B" w:rsidP="00452B51">
            <w:r>
              <w:t>Instrument Type</w:t>
            </w:r>
          </w:p>
        </w:tc>
        <w:tc>
          <w:tcPr>
            <w:tcW w:w="4394" w:type="dxa"/>
            <w:vAlign w:val="center"/>
          </w:tcPr>
          <w:p w14:paraId="24C24CAE" w14:textId="77777777" w:rsidR="00AD5B3B" w:rsidRPr="00B16C8F" w:rsidRDefault="00AD5B3B" w:rsidP="00452B51">
            <w:r>
              <w:t>CFI Code (</w:t>
            </w:r>
            <w:r w:rsidRPr="00B16C8F">
              <w:t>ISO 10962: 2015</w:t>
            </w:r>
            <w:r>
              <w:t>)</w:t>
            </w:r>
            <w:r w:rsidRPr="00B16C8F">
              <w:t xml:space="preserve"> Character #1</w:t>
            </w:r>
          </w:p>
        </w:tc>
        <w:tc>
          <w:tcPr>
            <w:tcW w:w="2977" w:type="dxa"/>
            <w:vAlign w:val="center"/>
          </w:tcPr>
          <w:p w14:paraId="4D0470EC" w14:textId="77777777" w:rsidR="00AD5B3B" w:rsidRDefault="00AD5B3B" w:rsidP="00452B51">
            <w:r>
              <w:t>Max35Text (based on string)</w:t>
            </w:r>
          </w:p>
          <w:p w14:paraId="3E6CF30A" w14:textId="77777777" w:rsidR="00AD5B3B" w:rsidRDefault="00AD5B3B" w:rsidP="00452B51">
            <w:pPr>
              <w:ind w:right="31"/>
            </w:pPr>
            <w:proofErr w:type="spellStart"/>
            <w:r>
              <w:t>minLength</w:t>
            </w:r>
            <w:proofErr w:type="spellEnd"/>
            <w:r>
              <w:t>: 1</w:t>
            </w:r>
          </w:p>
          <w:p w14:paraId="74B49049" w14:textId="77777777" w:rsidR="00AD5B3B" w:rsidRDefault="00AD5B3B" w:rsidP="00452B51">
            <w:proofErr w:type="spellStart"/>
            <w:r>
              <w:t>maxLength</w:t>
            </w:r>
            <w:proofErr w:type="spellEnd"/>
            <w:r>
              <w:t>: 35</w:t>
            </w:r>
          </w:p>
        </w:tc>
      </w:tr>
      <w:tr w:rsidR="00AD5B3B" w14:paraId="03594CC2" w14:textId="77777777" w:rsidTr="00452B51">
        <w:trPr>
          <w:jc w:val="center"/>
        </w:trPr>
        <w:tc>
          <w:tcPr>
            <w:tcW w:w="3114" w:type="dxa"/>
            <w:vAlign w:val="center"/>
          </w:tcPr>
          <w:p w14:paraId="5DFD88A5" w14:textId="77777777" w:rsidR="00AD5B3B" w:rsidRDefault="00AD5B3B" w:rsidP="00452B51">
            <w:r>
              <w:t>ISO Reference Rate</w:t>
            </w:r>
          </w:p>
        </w:tc>
        <w:tc>
          <w:tcPr>
            <w:tcW w:w="4394" w:type="dxa"/>
            <w:vAlign w:val="center"/>
          </w:tcPr>
          <w:p w14:paraId="626FF9E8" w14:textId="77777777" w:rsidR="00AD5B3B" w:rsidRPr="00B16C8F" w:rsidRDefault="00903D74" w:rsidP="00452B51">
            <w:hyperlink r:id="rId18" w:anchor="/mx/DRAFT6auth.036.001.01#content%2FFinancialInstrument%2FNewRecord%2FDerivativeInstrumentAttributes%2FUnderlyingInstrument%2FSingle%2FIndex%2FName%2FReferenceRate" w:history="1">
              <w:r w:rsidR="00AD5B3B">
                <w:rPr>
                  <w:rStyle w:val="Hyperlink"/>
                  <w:rFonts w:ascii="Calibri" w:hAnsi="Calibri" w:cs="Calibri"/>
                </w:rPr>
                <w:t>https://www2.swift.com/mystandards/#/mx/DRAFT6auth.036.001.01#content%2FFinancialInstrument%2FNewRecord%2FDerivativeInstrumentAttributes%2FUnderlyingInstrument%2FSingle%2FIndex%2FName%2FReferenceRate</w:t>
              </w:r>
            </w:hyperlink>
          </w:p>
        </w:tc>
        <w:tc>
          <w:tcPr>
            <w:tcW w:w="2977" w:type="dxa"/>
            <w:vAlign w:val="center"/>
          </w:tcPr>
          <w:p w14:paraId="7CD31C8F" w14:textId="77777777" w:rsidR="00AD5B3B" w:rsidRDefault="00AD5B3B" w:rsidP="00452B51">
            <w:r>
              <w:t>Max25Text (based on string)</w:t>
            </w:r>
          </w:p>
          <w:p w14:paraId="49FB8DA3" w14:textId="77777777" w:rsidR="00AD5B3B" w:rsidRDefault="00AD5B3B" w:rsidP="00452B51">
            <w:pPr>
              <w:ind w:right="31"/>
            </w:pPr>
            <w:proofErr w:type="spellStart"/>
            <w:r>
              <w:t>minLength</w:t>
            </w:r>
            <w:proofErr w:type="spellEnd"/>
            <w:r>
              <w:t>: 1</w:t>
            </w:r>
          </w:p>
          <w:p w14:paraId="52759170" w14:textId="77777777" w:rsidR="00AD5B3B" w:rsidRDefault="00AD5B3B" w:rsidP="00452B51">
            <w:proofErr w:type="spellStart"/>
            <w:r>
              <w:t>maxLength</w:t>
            </w:r>
            <w:proofErr w:type="spellEnd"/>
            <w:r>
              <w:t>: 25</w:t>
            </w:r>
          </w:p>
        </w:tc>
      </w:tr>
      <w:tr w:rsidR="00AD5B3B" w14:paraId="1993209C" w14:textId="77777777" w:rsidTr="00452B51">
        <w:trPr>
          <w:jc w:val="center"/>
        </w:trPr>
        <w:tc>
          <w:tcPr>
            <w:tcW w:w="3114" w:type="dxa"/>
            <w:vAlign w:val="center"/>
          </w:tcPr>
          <w:p w14:paraId="13E26481" w14:textId="77777777" w:rsidR="00AD5B3B" w:rsidRDefault="00AD5B3B" w:rsidP="00452B51">
            <w:r>
              <w:t>ISO Other Leg Reference Rate</w:t>
            </w:r>
          </w:p>
        </w:tc>
        <w:tc>
          <w:tcPr>
            <w:tcW w:w="4394" w:type="dxa"/>
            <w:vAlign w:val="center"/>
          </w:tcPr>
          <w:p w14:paraId="6F365AEA" w14:textId="77777777" w:rsidR="00AD5B3B" w:rsidRDefault="00903D74" w:rsidP="00452B51">
            <w:hyperlink r:id="rId19" w:anchor="/mx/DRAFT6auth.036.001.01#content%2FFinancialInstrument%2FNewRecord%2FDerivativeInstrumentAttributes%2FUnderlyingInstrument%2FSingle%2FIndex%2FName%2FReferenceRate" w:history="1">
              <w:r w:rsidR="00AD5B3B">
                <w:rPr>
                  <w:rStyle w:val="Hyperlink"/>
                  <w:rFonts w:ascii="Calibri" w:hAnsi="Calibri" w:cs="Calibri"/>
                </w:rPr>
                <w:t>https://www2.swift.com/mystandards/#/mx/DRAFT6auth.036.001.01#content%2FFinancialInstrument%2FNewRecord%2FDerivativeInstrumentAttributes%2FUnderlyingInstrument%2FSingle%2FIndex%2FName%2FReferenceRate</w:t>
              </w:r>
            </w:hyperlink>
          </w:p>
        </w:tc>
        <w:tc>
          <w:tcPr>
            <w:tcW w:w="2977" w:type="dxa"/>
            <w:vAlign w:val="center"/>
          </w:tcPr>
          <w:p w14:paraId="134AA9BD" w14:textId="77777777" w:rsidR="00AD5B3B" w:rsidRDefault="00AD5B3B" w:rsidP="00452B51">
            <w:r>
              <w:t>Max25Text (based on string)</w:t>
            </w:r>
          </w:p>
          <w:p w14:paraId="325E6C56" w14:textId="77777777" w:rsidR="00AD5B3B" w:rsidRDefault="00AD5B3B" w:rsidP="00452B51">
            <w:pPr>
              <w:ind w:right="31"/>
            </w:pPr>
            <w:proofErr w:type="spellStart"/>
            <w:r>
              <w:t>minLength</w:t>
            </w:r>
            <w:proofErr w:type="spellEnd"/>
            <w:r>
              <w:t>: 1</w:t>
            </w:r>
          </w:p>
          <w:p w14:paraId="6B6EED51" w14:textId="77777777" w:rsidR="00AD5B3B" w:rsidRDefault="00AD5B3B" w:rsidP="00452B51">
            <w:proofErr w:type="spellStart"/>
            <w:r>
              <w:t>maxLength</w:t>
            </w:r>
            <w:proofErr w:type="spellEnd"/>
            <w:r>
              <w:t>: 25</w:t>
            </w:r>
          </w:p>
        </w:tc>
      </w:tr>
      <w:tr w:rsidR="00AD5B3B" w14:paraId="10370CDA" w14:textId="77777777" w:rsidTr="00452B51">
        <w:trPr>
          <w:jc w:val="center"/>
        </w:trPr>
        <w:tc>
          <w:tcPr>
            <w:tcW w:w="3114" w:type="dxa"/>
            <w:vAlign w:val="center"/>
          </w:tcPr>
          <w:p w14:paraId="3C56AE9A" w14:textId="77777777" w:rsidR="00AD5B3B" w:rsidRDefault="00AD5B3B" w:rsidP="00452B51">
            <w:r>
              <w:t xml:space="preserve">ISO Place of Settlement (applicable to Non-Standard Product </w:t>
            </w:r>
            <w:proofErr w:type="spellStart"/>
            <w:r>
              <w:t>Defintions</w:t>
            </w:r>
            <w:proofErr w:type="spellEnd"/>
            <w:r>
              <w:t>)</w:t>
            </w:r>
          </w:p>
        </w:tc>
        <w:tc>
          <w:tcPr>
            <w:tcW w:w="4394" w:type="dxa"/>
            <w:vAlign w:val="center"/>
          </w:tcPr>
          <w:p w14:paraId="6475310B" w14:textId="77777777" w:rsidR="00AD5B3B" w:rsidRDefault="00AD5B3B" w:rsidP="00452B51">
            <w:r>
              <w:t>ISO 3166</w:t>
            </w:r>
          </w:p>
        </w:tc>
        <w:tc>
          <w:tcPr>
            <w:tcW w:w="2977" w:type="dxa"/>
            <w:vAlign w:val="center"/>
          </w:tcPr>
          <w:p w14:paraId="7EE770CC" w14:textId="77777777" w:rsidR="00AD5B3B" w:rsidRDefault="00AD5B3B" w:rsidP="00452B51">
            <w:r>
              <w:t>Max2Text (based on string)</w:t>
            </w:r>
          </w:p>
          <w:p w14:paraId="0FDF4157" w14:textId="77777777" w:rsidR="00AD5B3B" w:rsidRDefault="00AD5B3B" w:rsidP="00452B51">
            <w:pPr>
              <w:ind w:right="31"/>
            </w:pPr>
            <w:proofErr w:type="spellStart"/>
            <w:r>
              <w:t>minLength</w:t>
            </w:r>
            <w:proofErr w:type="spellEnd"/>
            <w:r>
              <w:t>: 0</w:t>
            </w:r>
          </w:p>
          <w:p w14:paraId="02DA6A92" w14:textId="77777777" w:rsidR="00AD5B3B" w:rsidRDefault="00AD5B3B" w:rsidP="00452B51">
            <w:proofErr w:type="spellStart"/>
            <w:r>
              <w:t>maxLength</w:t>
            </w:r>
            <w:proofErr w:type="spellEnd"/>
            <w:r>
              <w:t>: 2</w:t>
            </w:r>
          </w:p>
        </w:tc>
      </w:tr>
      <w:tr w:rsidR="00AD5B3B" w14:paraId="5380ED7E" w14:textId="77777777" w:rsidTr="00452B51">
        <w:trPr>
          <w:jc w:val="center"/>
        </w:trPr>
        <w:tc>
          <w:tcPr>
            <w:tcW w:w="3114" w:type="dxa"/>
            <w:vAlign w:val="center"/>
          </w:tcPr>
          <w:p w14:paraId="2AF4C850" w14:textId="77777777" w:rsidR="00AD5B3B" w:rsidRPr="00B16C8F" w:rsidRDefault="00AD5B3B" w:rsidP="00452B51">
            <w:r>
              <w:t>ISO Underlying Instrument Index</w:t>
            </w:r>
          </w:p>
        </w:tc>
        <w:tc>
          <w:tcPr>
            <w:tcW w:w="4394" w:type="dxa"/>
            <w:vAlign w:val="center"/>
          </w:tcPr>
          <w:p w14:paraId="0BB569A0" w14:textId="77777777" w:rsidR="00AD5B3B" w:rsidRDefault="00903D74" w:rsidP="00452B51">
            <w:hyperlink r:id="rId20" w:anchor="/mp/mx/_LHnxgEdKEeam3NbiLvWnrw/_ju17AYy7Eea01uQ-eS5IPQ" w:history="1">
              <w:r w:rsidR="00AD5B3B" w:rsidRPr="006D2946">
                <w:rPr>
                  <w:rStyle w:val="Hyperlink"/>
                </w:rPr>
                <w:t>https://www2.swift.com/mystandards/#/mp/mx/_LHnxgEdKEeam3NbiLvWnrw/_ju17AYy7Eea01uQ-eS5IPQ#content%2FReferenceData%2FDerivativeInstrumentAttributes%2FUnderlyingInstrument%2FSingle%2FIndex%2FName%2FReferenceRate</w:t>
              </w:r>
            </w:hyperlink>
          </w:p>
        </w:tc>
        <w:tc>
          <w:tcPr>
            <w:tcW w:w="2977" w:type="dxa"/>
            <w:vAlign w:val="center"/>
          </w:tcPr>
          <w:p w14:paraId="49A1DA51" w14:textId="77777777" w:rsidR="00AD5B3B" w:rsidRDefault="00AD5B3B" w:rsidP="00452B51">
            <w:r>
              <w:t>Max25Text (based on string)</w:t>
            </w:r>
          </w:p>
          <w:p w14:paraId="6141424B" w14:textId="77777777" w:rsidR="00AD5B3B" w:rsidRDefault="00AD5B3B" w:rsidP="00452B51">
            <w:pPr>
              <w:ind w:right="31"/>
            </w:pPr>
            <w:proofErr w:type="spellStart"/>
            <w:r>
              <w:t>minLength</w:t>
            </w:r>
            <w:proofErr w:type="spellEnd"/>
            <w:r>
              <w:t>: 1</w:t>
            </w:r>
          </w:p>
          <w:p w14:paraId="1F993487" w14:textId="77777777" w:rsidR="00AD5B3B" w:rsidRDefault="00AD5B3B" w:rsidP="00452B51">
            <w:proofErr w:type="spellStart"/>
            <w:r>
              <w:t>maxLength</w:t>
            </w:r>
            <w:proofErr w:type="spellEnd"/>
            <w:r>
              <w:t>: 25</w:t>
            </w:r>
          </w:p>
        </w:tc>
      </w:tr>
      <w:tr w:rsidR="00AD5B3B" w14:paraId="716C9C86" w14:textId="77777777" w:rsidTr="00452B51">
        <w:trPr>
          <w:jc w:val="center"/>
        </w:trPr>
        <w:tc>
          <w:tcPr>
            <w:tcW w:w="3114" w:type="dxa"/>
            <w:vAlign w:val="center"/>
          </w:tcPr>
          <w:p w14:paraId="1423DB6F" w14:textId="77777777" w:rsidR="00AD5B3B" w:rsidRPr="00B16C8F" w:rsidRDefault="00AD5B3B" w:rsidP="00452B51">
            <w:r w:rsidRPr="00B16C8F">
              <w:t>Issuer or operator of the trading venue identifier</w:t>
            </w:r>
          </w:p>
        </w:tc>
        <w:tc>
          <w:tcPr>
            <w:tcW w:w="4394" w:type="dxa"/>
            <w:vAlign w:val="center"/>
          </w:tcPr>
          <w:p w14:paraId="3EA5F0F0" w14:textId="77777777" w:rsidR="00AD5B3B" w:rsidRPr="00B16C8F" w:rsidRDefault="00AD5B3B" w:rsidP="00452B51">
            <w:r>
              <w:t>“NA”</w:t>
            </w:r>
          </w:p>
        </w:tc>
        <w:tc>
          <w:tcPr>
            <w:tcW w:w="2977" w:type="dxa"/>
            <w:vAlign w:val="center"/>
          </w:tcPr>
          <w:p w14:paraId="7F190931" w14:textId="77777777" w:rsidR="00AD5B3B" w:rsidRDefault="00AD5B3B" w:rsidP="00452B51">
            <w:pPr>
              <w:ind w:right="31"/>
            </w:pPr>
            <w:r>
              <w:t xml:space="preserve">Max2Text (based on string) </w:t>
            </w:r>
            <w:proofErr w:type="spellStart"/>
            <w:r>
              <w:t>minLength</w:t>
            </w:r>
            <w:proofErr w:type="spellEnd"/>
            <w:r>
              <w:t>: 1</w:t>
            </w:r>
          </w:p>
          <w:p w14:paraId="7E828D1D" w14:textId="77777777" w:rsidR="00AD5B3B" w:rsidRDefault="00AD5B3B" w:rsidP="00452B51">
            <w:proofErr w:type="spellStart"/>
            <w:r>
              <w:t>maxLength</w:t>
            </w:r>
            <w:proofErr w:type="spellEnd"/>
            <w:r>
              <w:t>: 2</w:t>
            </w:r>
          </w:p>
        </w:tc>
      </w:tr>
      <w:tr w:rsidR="00AD5B3B" w14:paraId="62C91419" w14:textId="77777777" w:rsidTr="00452B51">
        <w:trPr>
          <w:jc w:val="center"/>
        </w:trPr>
        <w:tc>
          <w:tcPr>
            <w:tcW w:w="3114" w:type="dxa"/>
            <w:vAlign w:val="center"/>
          </w:tcPr>
          <w:p w14:paraId="6EBDBEC8" w14:textId="77777777" w:rsidR="00AD5B3B" w:rsidRDefault="00AD5B3B" w:rsidP="00452B51">
            <w:r>
              <w:t xml:space="preserve">Last Update </w:t>
            </w:r>
            <w:proofErr w:type="spellStart"/>
            <w:r>
              <w:t>DateTime</w:t>
            </w:r>
            <w:proofErr w:type="spellEnd"/>
          </w:p>
        </w:tc>
        <w:tc>
          <w:tcPr>
            <w:tcW w:w="4394" w:type="dxa"/>
            <w:vAlign w:val="center"/>
          </w:tcPr>
          <w:p w14:paraId="004CF379" w14:textId="77777777" w:rsidR="00AD5B3B" w:rsidRDefault="00903D74" w:rsidP="00452B51">
            <w:hyperlink r:id="rId21" w:history="1">
              <w:r w:rsidR="00AD5B3B" w:rsidRPr="00DC7762">
                <w:rPr>
                  <w:rStyle w:val="Hyperlink"/>
                </w:rPr>
                <w:t>https://www.iso.org/iso-8601-date-and-time-format.html</w:t>
              </w:r>
            </w:hyperlink>
          </w:p>
        </w:tc>
        <w:tc>
          <w:tcPr>
            <w:tcW w:w="2977" w:type="dxa"/>
            <w:vAlign w:val="center"/>
          </w:tcPr>
          <w:p w14:paraId="23252354" w14:textId="77777777" w:rsidR="00AD5B3B" w:rsidRPr="00492E31" w:rsidRDefault="00AD5B3B" w:rsidP="00452B51">
            <w:r w:rsidRPr="00C531AA">
              <w:t xml:space="preserve">Date </w:t>
            </w:r>
            <w:r>
              <w:t>YYYY-MM-DDTHH:</w:t>
            </w:r>
            <w:proofErr w:type="gramStart"/>
            <w:r>
              <w:t>MM:SS</w:t>
            </w:r>
            <w:proofErr w:type="gramEnd"/>
          </w:p>
        </w:tc>
      </w:tr>
      <w:tr w:rsidR="00AD5B3B" w14:paraId="2F4E9425" w14:textId="77777777" w:rsidTr="00452B51">
        <w:trPr>
          <w:jc w:val="center"/>
        </w:trPr>
        <w:tc>
          <w:tcPr>
            <w:tcW w:w="3114" w:type="dxa"/>
            <w:vAlign w:val="center"/>
          </w:tcPr>
          <w:p w14:paraId="5714EF5A" w14:textId="77777777" w:rsidR="00AD5B3B" w:rsidRDefault="00AD5B3B" w:rsidP="00452B51">
            <w:r>
              <w:t>Level</w:t>
            </w:r>
          </w:p>
        </w:tc>
        <w:tc>
          <w:tcPr>
            <w:tcW w:w="4394" w:type="dxa"/>
            <w:vAlign w:val="center"/>
          </w:tcPr>
          <w:p w14:paraId="592F3B97" w14:textId="77777777" w:rsidR="00AD5B3B" w:rsidRPr="00B16C8F" w:rsidRDefault="00AD5B3B" w:rsidP="00452B51">
            <w:r>
              <w:t>“</w:t>
            </w:r>
            <w:proofErr w:type="spellStart"/>
            <w:r w:rsidRPr="000361F3">
              <w:t>InstRefDataReporting</w:t>
            </w:r>
            <w:proofErr w:type="spellEnd"/>
            <w:r>
              <w:t>” (Label assigned to the ISIN to describe its level in the ISIN hierarchy)</w:t>
            </w:r>
          </w:p>
        </w:tc>
        <w:tc>
          <w:tcPr>
            <w:tcW w:w="2977" w:type="dxa"/>
            <w:vAlign w:val="center"/>
          </w:tcPr>
          <w:p w14:paraId="040DFF47" w14:textId="77777777" w:rsidR="00AD5B3B" w:rsidRDefault="00AD5B3B" w:rsidP="00452B51">
            <w:pPr>
              <w:ind w:right="31"/>
            </w:pPr>
            <w:r w:rsidRPr="00492E31">
              <w:t>Max35Text (based on string)</w:t>
            </w:r>
            <w:r>
              <w:t xml:space="preserve"> </w:t>
            </w:r>
            <w:proofErr w:type="spellStart"/>
            <w:r>
              <w:t>minLength</w:t>
            </w:r>
            <w:proofErr w:type="spellEnd"/>
            <w:r>
              <w:t>: 1</w:t>
            </w:r>
          </w:p>
          <w:p w14:paraId="2806FE18" w14:textId="77777777" w:rsidR="00AD5B3B" w:rsidRDefault="00AD5B3B" w:rsidP="00452B51">
            <w:proofErr w:type="spellStart"/>
            <w:r>
              <w:t>maxLength</w:t>
            </w:r>
            <w:proofErr w:type="spellEnd"/>
            <w:r>
              <w:t>: 35</w:t>
            </w:r>
          </w:p>
        </w:tc>
      </w:tr>
      <w:tr w:rsidR="00AD5B3B" w14:paraId="17E486FC" w14:textId="77777777" w:rsidTr="00452B51">
        <w:trPr>
          <w:jc w:val="center"/>
        </w:trPr>
        <w:tc>
          <w:tcPr>
            <w:tcW w:w="3114" w:type="dxa"/>
            <w:vAlign w:val="center"/>
          </w:tcPr>
          <w:p w14:paraId="74961678" w14:textId="77777777" w:rsidR="00AD5B3B" w:rsidRPr="00B16C8F" w:rsidRDefault="00AD5B3B" w:rsidP="00452B51">
            <w:r>
              <w:t>Notional Currency</w:t>
            </w:r>
          </w:p>
        </w:tc>
        <w:tc>
          <w:tcPr>
            <w:tcW w:w="4394" w:type="dxa"/>
            <w:vAlign w:val="center"/>
          </w:tcPr>
          <w:p w14:paraId="3CE9014A" w14:textId="77777777" w:rsidR="00AD5B3B" w:rsidRPr="00B16C8F" w:rsidRDefault="00AD5B3B" w:rsidP="00452B51">
            <w:r w:rsidRPr="00C531AA">
              <w:t>ISO 4217: 2015</w:t>
            </w:r>
          </w:p>
        </w:tc>
        <w:tc>
          <w:tcPr>
            <w:tcW w:w="2977" w:type="dxa"/>
            <w:vAlign w:val="center"/>
          </w:tcPr>
          <w:p w14:paraId="51E34BEC" w14:textId="77777777" w:rsidR="00AD5B3B" w:rsidRPr="00C531AA" w:rsidRDefault="00AD5B3B" w:rsidP="00452B51">
            <w:r>
              <w:rPr>
                <w:rFonts w:ascii="Calibri" w:hAnsi="Calibri" w:cs="Calibri"/>
                <w:color w:val="000000"/>
              </w:rPr>
              <w:t>P</w:t>
            </w:r>
            <w:r w:rsidRPr="00E5395C">
              <w:rPr>
                <w:rFonts w:ascii="Calibri" w:hAnsi="Calibri" w:cs="Calibri"/>
                <w:color w:val="000000"/>
              </w:rPr>
              <w:t>attern: [A-</w:t>
            </w:r>
            <w:proofErr w:type="gramStart"/>
            <w:r w:rsidRPr="00E5395C">
              <w:rPr>
                <w:rFonts w:ascii="Calibri" w:hAnsi="Calibri" w:cs="Calibri"/>
                <w:color w:val="000000"/>
              </w:rPr>
              <w:t>Z]{</w:t>
            </w:r>
            <w:proofErr w:type="gramEnd"/>
            <w:r w:rsidRPr="00E5395C">
              <w:rPr>
                <w:rFonts w:ascii="Calibri" w:hAnsi="Calibri" w:cs="Calibri"/>
                <w:color w:val="000000"/>
              </w:rPr>
              <w:t>3,3}</w:t>
            </w:r>
          </w:p>
        </w:tc>
      </w:tr>
      <w:tr w:rsidR="00AD5B3B" w14:paraId="1D59CB7A" w14:textId="77777777" w:rsidTr="00452B51">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351B3AC1" w14:textId="77777777" w:rsidR="00AD5B3B" w:rsidRPr="00B16C8F" w:rsidRDefault="00AD5B3B" w:rsidP="00452B51">
            <w:r>
              <w:rPr>
                <w:rFonts w:ascii="Calibri" w:hAnsi="Calibri" w:cs="Calibri"/>
                <w:color w:val="000000"/>
              </w:rPr>
              <w:t>Notional Schedule</w:t>
            </w:r>
          </w:p>
        </w:tc>
        <w:tc>
          <w:tcPr>
            <w:tcW w:w="4394" w:type="dxa"/>
            <w:tcBorders>
              <w:top w:val="nil"/>
              <w:left w:val="single" w:sz="4" w:space="0" w:color="auto"/>
              <w:bottom w:val="single" w:sz="4" w:space="0" w:color="auto"/>
              <w:right w:val="single" w:sz="4" w:space="0" w:color="auto"/>
            </w:tcBorders>
            <w:shd w:val="clear" w:color="auto" w:fill="auto"/>
            <w:vAlign w:val="center"/>
          </w:tcPr>
          <w:p w14:paraId="70A9C358" w14:textId="77777777" w:rsidR="00AD5B3B" w:rsidRPr="00B16C8F" w:rsidRDefault="00AD5B3B" w:rsidP="00452B51">
            <w:r>
              <w:t>CFI Code (</w:t>
            </w:r>
            <w:r>
              <w:rPr>
                <w:rFonts w:ascii="Calibri" w:hAnsi="Calibri" w:cs="Calibri"/>
                <w:color w:val="000000"/>
              </w:rPr>
              <w:t>ISO 10962: 2015) Character #4 (Swaps: Rates only)</w:t>
            </w:r>
          </w:p>
        </w:tc>
        <w:tc>
          <w:tcPr>
            <w:tcW w:w="2977" w:type="dxa"/>
            <w:tcBorders>
              <w:top w:val="nil"/>
              <w:left w:val="single" w:sz="4" w:space="0" w:color="auto"/>
              <w:bottom w:val="single" w:sz="4" w:space="0" w:color="auto"/>
              <w:right w:val="single" w:sz="4" w:space="0" w:color="auto"/>
            </w:tcBorders>
            <w:vAlign w:val="center"/>
          </w:tcPr>
          <w:p w14:paraId="3BB800E1" w14:textId="77777777" w:rsidR="00AD5B3B" w:rsidRDefault="00AD5B3B" w:rsidP="00452B51">
            <w:pPr>
              <w:ind w:right="31"/>
            </w:pPr>
            <w:r>
              <w:t xml:space="preserve">Max35Text (based on string) </w:t>
            </w:r>
            <w:proofErr w:type="spellStart"/>
            <w:r>
              <w:t>minLength</w:t>
            </w:r>
            <w:proofErr w:type="spellEnd"/>
            <w:r>
              <w:t>: 1</w:t>
            </w:r>
          </w:p>
          <w:p w14:paraId="1D067F99" w14:textId="77777777" w:rsidR="00AD5B3B" w:rsidRDefault="00AD5B3B" w:rsidP="00452B51">
            <w:proofErr w:type="spellStart"/>
            <w:r>
              <w:t>maxLength</w:t>
            </w:r>
            <w:proofErr w:type="spellEnd"/>
            <w:r>
              <w:t>: 35</w:t>
            </w:r>
          </w:p>
        </w:tc>
      </w:tr>
      <w:tr w:rsidR="00AD5B3B" w14:paraId="062F5AA2" w14:textId="77777777" w:rsidTr="00452B51">
        <w:trPr>
          <w:jc w:val="center"/>
        </w:trPr>
        <w:tc>
          <w:tcPr>
            <w:tcW w:w="3114" w:type="dxa"/>
            <w:vAlign w:val="center"/>
          </w:tcPr>
          <w:p w14:paraId="18DFD852" w14:textId="77777777" w:rsidR="00AD5B3B" w:rsidRPr="00B16C8F" w:rsidRDefault="00AD5B3B" w:rsidP="00452B51">
            <w:r w:rsidRPr="00C531AA">
              <w:t>Option exercise style</w:t>
            </w:r>
          </w:p>
        </w:tc>
        <w:tc>
          <w:tcPr>
            <w:tcW w:w="4394" w:type="dxa"/>
            <w:tcBorders>
              <w:top w:val="nil"/>
              <w:left w:val="single" w:sz="4" w:space="0" w:color="auto"/>
              <w:bottom w:val="single" w:sz="4" w:space="0" w:color="auto"/>
              <w:right w:val="single" w:sz="4" w:space="0" w:color="auto"/>
            </w:tcBorders>
            <w:shd w:val="clear" w:color="auto" w:fill="auto"/>
            <w:vAlign w:val="center"/>
          </w:tcPr>
          <w:p w14:paraId="5E7A82D3" w14:textId="77777777" w:rsidR="00AD5B3B" w:rsidRPr="00B16C8F" w:rsidRDefault="00AD5B3B" w:rsidP="00452B51">
            <w:r>
              <w:t>CFI Code (</w:t>
            </w:r>
            <w:r>
              <w:rPr>
                <w:rFonts w:ascii="Calibri" w:hAnsi="Calibri" w:cs="Calibri"/>
                <w:color w:val="000000"/>
              </w:rPr>
              <w:t>ISO 10962: 2015) Character #4 (Options – first part)</w:t>
            </w:r>
          </w:p>
        </w:tc>
        <w:tc>
          <w:tcPr>
            <w:tcW w:w="2977" w:type="dxa"/>
            <w:tcBorders>
              <w:top w:val="nil"/>
              <w:left w:val="single" w:sz="4" w:space="0" w:color="auto"/>
              <w:bottom w:val="single" w:sz="4" w:space="0" w:color="auto"/>
              <w:right w:val="single" w:sz="4" w:space="0" w:color="auto"/>
            </w:tcBorders>
            <w:vAlign w:val="center"/>
          </w:tcPr>
          <w:p w14:paraId="1CF9CBF8" w14:textId="77777777" w:rsidR="00AD5B3B" w:rsidRDefault="00AD5B3B" w:rsidP="00452B51">
            <w:pPr>
              <w:ind w:right="31"/>
            </w:pPr>
            <w:r>
              <w:t xml:space="preserve">Max35Text (based on string) </w:t>
            </w:r>
            <w:proofErr w:type="spellStart"/>
            <w:r>
              <w:t>minLength</w:t>
            </w:r>
            <w:proofErr w:type="spellEnd"/>
            <w:r>
              <w:t>: 1</w:t>
            </w:r>
          </w:p>
          <w:p w14:paraId="3612B17A" w14:textId="77777777" w:rsidR="00AD5B3B" w:rsidRDefault="00AD5B3B" w:rsidP="00452B51">
            <w:proofErr w:type="spellStart"/>
            <w:r>
              <w:t>maxLength</w:t>
            </w:r>
            <w:proofErr w:type="spellEnd"/>
            <w:r>
              <w:t>: 35</w:t>
            </w:r>
          </w:p>
        </w:tc>
      </w:tr>
      <w:tr w:rsidR="00AD5B3B" w14:paraId="66581D56" w14:textId="77777777" w:rsidTr="00452B51">
        <w:trPr>
          <w:jc w:val="center"/>
        </w:trPr>
        <w:tc>
          <w:tcPr>
            <w:tcW w:w="3114" w:type="dxa"/>
            <w:vAlign w:val="center"/>
          </w:tcPr>
          <w:p w14:paraId="61B4AD00" w14:textId="77777777" w:rsidR="00AD5B3B" w:rsidRPr="00B16C8F" w:rsidRDefault="00AD5B3B" w:rsidP="00452B51">
            <w:r w:rsidRPr="00C531AA">
              <w:lastRenderedPageBreak/>
              <w:t>Option type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6B5DC305" w14:textId="77777777" w:rsidR="00AD5B3B" w:rsidRPr="00B16C8F" w:rsidRDefault="00AD5B3B" w:rsidP="00452B51">
            <w:r>
              <w:t>CFI Code (</w:t>
            </w:r>
            <w:r>
              <w:rPr>
                <w:rFonts w:ascii="Calibri" w:hAnsi="Calibri" w:cs="Calibri"/>
                <w:color w:val="000000"/>
              </w:rPr>
              <w:t>ISO 10962: 2015) Character #4 (Options – second part)</w:t>
            </w:r>
          </w:p>
        </w:tc>
        <w:tc>
          <w:tcPr>
            <w:tcW w:w="2977" w:type="dxa"/>
            <w:tcBorders>
              <w:top w:val="single" w:sz="4" w:space="0" w:color="auto"/>
              <w:left w:val="single" w:sz="4" w:space="0" w:color="auto"/>
              <w:bottom w:val="single" w:sz="4" w:space="0" w:color="auto"/>
              <w:right w:val="single" w:sz="4" w:space="0" w:color="auto"/>
            </w:tcBorders>
            <w:vAlign w:val="center"/>
          </w:tcPr>
          <w:p w14:paraId="070F97D9" w14:textId="77777777" w:rsidR="00AD5B3B" w:rsidRDefault="00AD5B3B" w:rsidP="00452B51">
            <w:pPr>
              <w:ind w:right="31"/>
            </w:pPr>
            <w:r>
              <w:t xml:space="preserve">Max35Text (based on string) </w:t>
            </w:r>
            <w:proofErr w:type="spellStart"/>
            <w:r>
              <w:t>minLength</w:t>
            </w:r>
            <w:proofErr w:type="spellEnd"/>
            <w:r>
              <w:t>: 1</w:t>
            </w:r>
          </w:p>
          <w:p w14:paraId="7C410B36" w14:textId="77777777" w:rsidR="00AD5B3B" w:rsidRDefault="00AD5B3B" w:rsidP="00452B51">
            <w:proofErr w:type="spellStart"/>
            <w:r>
              <w:t>maxLength</w:t>
            </w:r>
            <w:proofErr w:type="spellEnd"/>
            <w:r>
              <w:t>: 35</w:t>
            </w:r>
          </w:p>
        </w:tc>
      </w:tr>
      <w:tr w:rsidR="00AD5B3B" w14:paraId="4A69B904"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5D6A5CDC" w14:textId="77777777" w:rsidR="00AD5B3B" w:rsidRDefault="00AD5B3B" w:rsidP="00452B51">
            <w:pPr>
              <w:rPr>
                <w:rFonts w:ascii="Calibri" w:hAnsi="Calibri" w:cs="Calibri"/>
                <w:color w:val="000000"/>
              </w:rPr>
            </w:pPr>
            <w:r>
              <w:rPr>
                <w:rFonts w:ascii="Calibri" w:hAnsi="Calibri" w:cs="Calibri"/>
                <w:color w:val="000000"/>
              </w:rPr>
              <w:t>Other Base product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54793DFC" w14:textId="77777777" w:rsidR="00AD5B3B" w:rsidRDefault="00903D74" w:rsidP="00452B51">
            <w:pPr>
              <w:rPr>
                <w:b/>
              </w:rPr>
            </w:pPr>
            <w:hyperlink r:id="rId22" w:anchor="/mx/DRAFT6auth.036.001.01#content%2FFinancialInstrument%2FNewRecord%2FDerivativeInstrumentAttributes%2FAssetClassSpecificAttributes%2FCommodity%2FProduct%2FAgricultural%2FGrainOilSeed%2FBaseProduct" w:history="1">
              <w:r w:rsidR="00AD5B3B">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https://www2.swift.com/mystandards/#/mx/DRAFT6auth.036.001.01#content%2FFinancialInstrument%2FNewRecord%2FDerivativeInstrumentAttributes%2FAssetClassSpecificAttributes%2FCommodity%2FProduct%2FAgricultural%2FGrainOilSeed%2FBaseProduct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4A4BD320" w14:textId="77777777" w:rsidR="00AD5B3B" w:rsidRDefault="00AD5B3B" w:rsidP="00452B51">
            <w:pPr>
              <w:ind w:right="31"/>
            </w:pPr>
            <w:r>
              <w:t xml:space="preserve">Max35Text (based on string) </w:t>
            </w:r>
            <w:proofErr w:type="spellStart"/>
            <w:r>
              <w:t>minLength</w:t>
            </w:r>
            <w:proofErr w:type="spellEnd"/>
            <w:r>
              <w:t>: 1</w:t>
            </w:r>
          </w:p>
          <w:p w14:paraId="59EF3FA6" w14:textId="77777777" w:rsidR="00AD5B3B" w:rsidRDefault="00AD5B3B" w:rsidP="00452B51">
            <w:proofErr w:type="spellStart"/>
            <w:r>
              <w:t>maxLength</w:t>
            </w:r>
            <w:proofErr w:type="spellEnd"/>
            <w:r>
              <w:t>: 35</w:t>
            </w:r>
          </w:p>
        </w:tc>
      </w:tr>
      <w:tr w:rsidR="00AD5B3B" w14:paraId="3948D575"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54EBB601" w14:textId="77777777" w:rsidR="00AD5B3B" w:rsidRDefault="00AD5B3B" w:rsidP="00452B51">
            <w:pPr>
              <w:rPr>
                <w:rFonts w:ascii="Calibri" w:hAnsi="Calibri" w:cs="Calibri"/>
                <w:color w:val="000000"/>
              </w:rPr>
            </w:pPr>
            <w:r>
              <w:rPr>
                <w:rFonts w:ascii="Calibri" w:hAnsi="Calibri" w:cs="Calibri"/>
                <w:color w:val="000000"/>
              </w:rPr>
              <w:t>Other Sub product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71B21F40" w14:textId="77777777" w:rsidR="00AD5B3B" w:rsidRDefault="00903D74" w:rsidP="00452B51">
            <w:pPr>
              <w:rPr>
                <w:b/>
              </w:rPr>
            </w:pPr>
            <w:hyperlink r:id="rId23" w:anchor="/mx/DRAFT6auth.036.001.01#content%2FFinancialInstrument%2FNewRecord%2FDerivativeInstrumentAttributes%2FAssetClassSpecificAttributes%2FCommodity%2FProduct%2FAgricultural%2FGrainOilSeed%2FSubProduct" w:history="1">
              <w:r w:rsidR="00AD5B3B">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https://www2.swift.com/mystandards/#/mx/DRAFT6auth.036.001.01#content%2FFinancialInstrument%2FNewRecord%2FDerivativeInstrumentAttributes%2FAssetClassSpecificAttributes%2FCommodity%2FProduct%2FAgricultural%2FGrainOilSeed%2FSubProduct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5965C0C0" w14:textId="77777777" w:rsidR="00AD5B3B" w:rsidRDefault="00AD5B3B" w:rsidP="00452B51">
            <w:pPr>
              <w:ind w:right="31"/>
            </w:pPr>
            <w:r>
              <w:t xml:space="preserve">Max35Text (based on string) </w:t>
            </w:r>
            <w:proofErr w:type="spellStart"/>
            <w:r>
              <w:t>minLength</w:t>
            </w:r>
            <w:proofErr w:type="spellEnd"/>
            <w:r>
              <w:t>: 1</w:t>
            </w:r>
          </w:p>
          <w:p w14:paraId="2FA0722C" w14:textId="77777777" w:rsidR="00AD5B3B" w:rsidRDefault="00AD5B3B" w:rsidP="00452B51">
            <w:proofErr w:type="spellStart"/>
            <w:r>
              <w:t>maxLength</w:t>
            </w:r>
            <w:proofErr w:type="spellEnd"/>
            <w:r>
              <w:t>: 35</w:t>
            </w:r>
          </w:p>
        </w:tc>
      </w:tr>
      <w:tr w:rsidR="00AD5B3B" w14:paraId="59B4344C"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3A31AA51" w14:textId="77777777" w:rsidR="00AD5B3B" w:rsidRDefault="00AD5B3B" w:rsidP="00452B51">
            <w:pPr>
              <w:rPr>
                <w:rFonts w:ascii="Calibri" w:hAnsi="Calibri" w:cs="Calibri"/>
                <w:color w:val="000000"/>
              </w:rPr>
            </w:pPr>
            <w:r>
              <w:rPr>
                <w:rFonts w:ascii="Calibri" w:hAnsi="Calibri" w:cs="Calibri"/>
                <w:color w:val="000000"/>
              </w:rPr>
              <w:t>Other Additional sub product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1E5FC3D6" w14:textId="77777777" w:rsidR="00AD5B3B" w:rsidRDefault="00903D74" w:rsidP="00452B51">
            <w:pPr>
              <w:rPr>
                <w:b/>
              </w:rPr>
            </w:pPr>
            <w:hyperlink r:id="rId24" w:anchor="/mx/DRAFT6auth.036.001.01#content%2FFinancialInstrument%2FNewRecord%2FDerivativeInstrumentAttributes%2FAssetClassSpecificAttributes%2FCommodity%2FProduct%2FAgricultural%2FGrainOilSeed%2FAdditionalSubProduct" w:history="1">
              <w:r w:rsidR="00AD5B3B">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https://www2.swift.com/mystandards/#/mx/DRAFT6auth.036.001.01#content%2FFinancialInstrument%2FNewRecord%2FDerivativeInstrumentAttributes%2FAssetClassSpecificAttributes%2FCommodity%2FProduct%2FAgricultural%2FGrainOilSeed%2FAdditionalSubProduct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5AE8BD7C" w14:textId="77777777" w:rsidR="00AD5B3B" w:rsidRDefault="00AD5B3B" w:rsidP="00452B51">
            <w:pPr>
              <w:ind w:right="31"/>
            </w:pPr>
            <w:r>
              <w:t xml:space="preserve">Max35Text (based on string) </w:t>
            </w:r>
            <w:proofErr w:type="spellStart"/>
            <w:r>
              <w:t>minLength</w:t>
            </w:r>
            <w:proofErr w:type="spellEnd"/>
            <w:r>
              <w:t>: 1</w:t>
            </w:r>
          </w:p>
          <w:p w14:paraId="2DBA2899" w14:textId="77777777" w:rsidR="00AD5B3B" w:rsidRDefault="00AD5B3B" w:rsidP="00452B51">
            <w:proofErr w:type="spellStart"/>
            <w:r>
              <w:t>maxLength</w:t>
            </w:r>
            <w:proofErr w:type="spellEnd"/>
            <w:r>
              <w:t>: 35</w:t>
            </w:r>
          </w:p>
        </w:tc>
      </w:tr>
      <w:tr w:rsidR="00AD5B3B" w14:paraId="48B099BF"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714722B8" w14:textId="77777777" w:rsidR="00AD5B3B" w:rsidRDefault="00AD5B3B" w:rsidP="00452B51">
            <w:pPr>
              <w:rPr>
                <w:rFonts w:ascii="Calibri" w:hAnsi="Calibri" w:cs="Calibri"/>
                <w:color w:val="000000"/>
              </w:rPr>
            </w:pPr>
            <w:r>
              <w:rPr>
                <w:rFonts w:ascii="Calibri" w:hAnsi="Calibri" w:cs="Calibri"/>
                <w:color w:val="000000"/>
              </w:rPr>
              <w:t>Other Reference Rate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510BE840" w14:textId="77777777" w:rsidR="00AD5B3B" w:rsidRPr="00460188" w:rsidRDefault="00AD5B3B" w:rsidP="00452B51">
            <w:pPr>
              <w:rPr>
                <w:b/>
              </w:rPr>
            </w:pPr>
            <w:r w:rsidRPr="00460188">
              <w:rPr>
                <w:rStyle w:val="Hyperlink"/>
                <w:b/>
                <w:color w:val="auto"/>
                <w:u w:val="none"/>
              </w:rPr>
              <w:t>Commodities:</w:t>
            </w:r>
            <w:r>
              <w:rPr>
                <w:rStyle w:val="Hyperlink"/>
                <w:color w:val="auto"/>
                <w:u w:val="none"/>
              </w:rPr>
              <w:t xml:space="preserve"> ISDA 2.0 taxonomy</w:t>
            </w:r>
          </w:p>
        </w:tc>
        <w:tc>
          <w:tcPr>
            <w:tcW w:w="2977" w:type="dxa"/>
            <w:tcBorders>
              <w:top w:val="single" w:sz="4" w:space="0" w:color="auto"/>
              <w:left w:val="single" w:sz="4" w:space="0" w:color="auto"/>
              <w:bottom w:val="single" w:sz="4" w:space="0" w:color="auto"/>
              <w:right w:val="single" w:sz="4" w:space="0" w:color="auto"/>
            </w:tcBorders>
            <w:vAlign w:val="center"/>
          </w:tcPr>
          <w:p w14:paraId="50D9BF62" w14:textId="77777777" w:rsidR="00AD5B3B" w:rsidRDefault="00AD5B3B" w:rsidP="00452B51">
            <w:pPr>
              <w:ind w:right="31"/>
            </w:pPr>
            <w:r>
              <w:t xml:space="preserve">Max350Text (based on string) </w:t>
            </w:r>
            <w:proofErr w:type="spellStart"/>
            <w:r>
              <w:t>minLength</w:t>
            </w:r>
            <w:proofErr w:type="spellEnd"/>
            <w:r>
              <w:t>: 1</w:t>
            </w:r>
          </w:p>
          <w:p w14:paraId="4C8FEE2A" w14:textId="77777777" w:rsidR="00AD5B3B" w:rsidRPr="00460188" w:rsidRDefault="00AD5B3B" w:rsidP="00452B51">
            <w:pPr>
              <w:rPr>
                <w:rStyle w:val="Hyperlink"/>
                <w:b/>
                <w:color w:val="auto"/>
                <w:u w:val="none"/>
              </w:rPr>
            </w:pPr>
            <w:proofErr w:type="spellStart"/>
            <w:r>
              <w:t>maxLength</w:t>
            </w:r>
            <w:proofErr w:type="spellEnd"/>
            <w:r>
              <w:t>: 350</w:t>
            </w:r>
          </w:p>
        </w:tc>
      </w:tr>
      <w:tr w:rsidR="00AD5B3B" w14:paraId="1B9E0660"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3A072215" w14:textId="77777777" w:rsidR="00AD5B3B" w:rsidRPr="00B16C8F" w:rsidRDefault="00AD5B3B" w:rsidP="00452B51">
            <w:r>
              <w:rPr>
                <w:rFonts w:ascii="Calibri" w:hAnsi="Calibri" w:cs="Calibri"/>
                <w:color w:val="000000"/>
              </w:rPr>
              <w:t>Other Leg Reference Rate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55880A78" w14:textId="383D1BC0" w:rsidR="007C3C00" w:rsidRDefault="00AD5B3B" w:rsidP="00452B51">
            <w:r w:rsidRPr="00460188">
              <w:rPr>
                <w:b/>
              </w:rPr>
              <w:t>Rates:</w:t>
            </w:r>
            <w:r>
              <w:t xml:space="preserve"> </w:t>
            </w:r>
            <w:hyperlink r:id="rId25" w:anchor="s5.95" w:history="1">
              <w:r w:rsidR="007C3C00" w:rsidRPr="00284B6A">
                <w:rPr>
                  <w:rStyle w:val="Hyperlink"/>
                </w:rPr>
                <w:t>http://www.fpml.org/spec/coding-scheme/fpml-schemes.html#s5.95</w:t>
              </w:r>
            </w:hyperlink>
          </w:p>
          <w:p w14:paraId="01092771" w14:textId="072D48F8" w:rsidR="007C3C00" w:rsidRPr="001B4D2C" w:rsidRDefault="00AD5B3B" w:rsidP="00452B51">
            <w:r w:rsidRPr="00460188">
              <w:rPr>
                <w:rStyle w:val="Hyperlink"/>
                <w:b/>
                <w:color w:val="auto"/>
                <w:u w:val="none"/>
              </w:rPr>
              <w:t>Rates CPI:</w:t>
            </w:r>
            <w:r>
              <w:rPr>
                <w:rStyle w:val="Hyperlink"/>
                <w:color w:val="auto"/>
                <w:u w:val="none"/>
              </w:rPr>
              <w:t xml:space="preserve"> </w:t>
            </w:r>
            <w:hyperlink r:id="rId26" w:anchor="s5.105" w:history="1">
              <w:r w:rsidR="007C3C00" w:rsidRPr="00284B6A">
                <w:rPr>
                  <w:rStyle w:val="Hyperlink"/>
                </w:rPr>
                <w:t>http://www.fpml.org/spec/coding-scheme/fpml-schemes.html#s5.105</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573AD877" w14:textId="77777777" w:rsidR="00AD5B3B" w:rsidRDefault="00AD5B3B" w:rsidP="00452B51">
            <w:pPr>
              <w:ind w:right="31"/>
            </w:pPr>
            <w:r>
              <w:t xml:space="preserve">Max350Text (based on string) </w:t>
            </w:r>
            <w:proofErr w:type="spellStart"/>
            <w:r>
              <w:t>minLength</w:t>
            </w:r>
            <w:proofErr w:type="spellEnd"/>
            <w:r>
              <w:t>: 1</w:t>
            </w:r>
          </w:p>
          <w:p w14:paraId="078F32D7" w14:textId="77777777" w:rsidR="00AD5B3B" w:rsidRPr="00460188" w:rsidRDefault="00AD5B3B" w:rsidP="00452B51">
            <w:pPr>
              <w:rPr>
                <w:b/>
              </w:rPr>
            </w:pPr>
            <w:proofErr w:type="spellStart"/>
            <w:r>
              <w:t>maxLength</w:t>
            </w:r>
            <w:proofErr w:type="spellEnd"/>
            <w:r>
              <w:t>: 350</w:t>
            </w:r>
          </w:p>
        </w:tc>
      </w:tr>
      <w:tr w:rsidR="00AD5B3B" w14:paraId="1DBE4DF1" w14:textId="77777777" w:rsidTr="00452B51">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1867410E" w14:textId="77777777" w:rsidR="00AD5B3B" w:rsidRPr="00B16C8F" w:rsidRDefault="00AD5B3B" w:rsidP="00452B51">
            <w:r>
              <w:rPr>
                <w:rFonts w:ascii="Calibri" w:hAnsi="Calibri" w:cs="Calibri"/>
                <w:color w:val="000000"/>
              </w:rPr>
              <w:t>Other Leg Reference Rate Term Unit</w:t>
            </w:r>
          </w:p>
        </w:tc>
        <w:tc>
          <w:tcPr>
            <w:tcW w:w="4394" w:type="dxa"/>
            <w:tcBorders>
              <w:top w:val="nil"/>
              <w:left w:val="nil"/>
              <w:bottom w:val="single" w:sz="4" w:space="0" w:color="auto"/>
              <w:right w:val="single" w:sz="4" w:space="0" w:color="auto"/>
            </w:tcBorders>
            <w:shd w:val="clear" w:color="auto" w:fill="auto"/>
            <w:vAlign w:val="center"/>
          </w:tcPr>
          <w:p w14:paraId="4C37880F" w14:textId="77777777" w:rsidR="00AD5B3B" w:rsidRPr="00B16C8F" w:rsidRDefault="00903D74" w:rsidP="00452B51">
            <w:hyperlink r:id="rId27" w:anchor="/mx/DRAFT6auth.036.001.01" w:history="1">
              <w:r w:rsidR="00AD5B3B" w:rsidRPr="0064679E">
                <w:rPr>
                  <w:rStyle w:val="Hyperlink"/>
                </w:rPr>
                <w:t>https://www2.swift.com/mystandards/#/mx/DRAFT6auth.036.001.01#content%2FFinancialInstrument%2FNewRecord%2FDerivativeInstrumentAttributes%2FUnderlyingInstrument%2FSingle%2FIndex%2FName%2FTerm%2FUnit</w:t>
              </w:r>
            </w:hyperlink>
          </w:p>
        </w:tc>
        <w:tc>
          <w:tcPr>
            <w:tcW w:w="2977" w:type="dxa"/>
            <w:tcBorders>
              <w:top w:val="nil"/>
              <w:left w:val="nil"/>
              <w:bottom w:val="single" w:sz="4" w:space="0" w:color="auto"/>
              <w:right w:val="single" w:sz="4" w:space="0" w:color="auto"/>
            </w:tcBorders>
            <w:vAlign w:val="center"/>
          </w:tcPr>
          <w:p w14:paraId="096B765A" w14:textId="77777777" w:rsidR="00AD5B3B" w:rsidRDefault="00AD5B3B" w:rsidP="00452B51">
            <w:pPr>
              <w:ind w:right="31"/>
            </w:pPr>
            <w:r>
              <w:t xml:space="preserve">Max35Text (based on string) </w:t>
            </w:r>
            <w:proofErr w:type="spellStart"/>
            <w:r>
              <w:t>minLength</w:t>
            </w:r>
            <w:proofErr w:type="spellEnd"/>
            <w:r>
              <w:t>: 1</w:t>
            </w:r>
          </w:p>
          <w:p w14:paraId="7AA8186F" w14:textId="77777777" w:rsidR="00AD5B3B" w:rsidRDefault="00AD5B3B" w:rsidP="00452B51">
            <w:proofErr w:type="spellStart"/>
            <w:r>
              <w:t>maxLength</w:t>
            </w:r>
            <w:proofErr w:type="spellEnd"/>
            <w:r>
              <w:t>: 35</w:t>
            </w:r>
          </w:p>
        </w:tc>
      </w:tr>
      <w:tr w:rsidR="00AD5B3B" w14:paraId="5BE2B863"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28C0D485" w14:textId="77777777" w:rsidR="00AD5B3B" w:rsidRPr="00B16C8F" w:rsidRDefault="00AD5B3B" w:rsidP="00452B51">
            <w:r>
              <w:rPr>
                <w:rFonts w:ascii="Calibri" w:hAnsi="Calibri" w:cs="Calibri"/>
                <w:color w:val="000000"/>
              </w:rPr>
              <w:t>Other Leg Reference Rate Term Value</w:t>
            </w:r>
          </w:p>
        </w:tc>
        <w:tc>
          <w:tcPr>
            <w:tcW w:w="4394" w:type="dxa"/>
            <w:tcBorders>
              <w:top w:val="single" w:sz="4" w:space="0" w:color="auto"/>
              <w:left w:val="nil"/>
              <w:bottom w:val="single" w:sz="4" w:space="0" w:color="auto"/>
              <w:right w:val="single" w:sz="4" w:space="0" w:color="auto"/>
            </w:tcBorders>
            <w:shd w:val="clear" w:color="auto" w:fill="auto"/>
            <w:vAlign w:val="center"/>
          </w:tcPr>
          <w:p w14:paraId="08A5AE1D" w14:textId="77777777" w:rsidR="00AD5B3B" w:rsidRPr="00B16C8F" w:rsidRDefault="00AD5B3B" w:rsidP="00452B51">
            <w:r>
              <w:rPr>
                <w:rFonts w:ascii="Calibri" w:hAnsi="Calibri" w:cs="Calibri"/>
                <w:color w:val="000000"/>
              </w:rPr>
              <w:t>Integer – Positive or negative but not 0</w:t>
            </w:r>
          </w:p>
        </w:tc>
        <w:tc>
          <w:tcPr>
            <w:tcW w:w="2977" w:type="dxa"/>
            <w:tcBorders>
              <w:top w:val="single" w:sz="4" w:space="0" w:color="auto"/>
              <w:left w:val="nil"/>
              <w:bottom w:val="single" w:sz="4" w:space="0" w:color="auto"/>
              <w:right w:val="single" w:sz="4" w:space="0" w:color="auto"/>
            </w:tcBorders>
            <w:vAlign w:val="center"/>
          </w:tcPr>
          <w:p w14:paraId="57154010" w14:textId="77777777" w:rsidR="00AD5B3B" w:rsidRDefault="00AD5B3B" w:rsidP="00452B51">
            <w:pPr>
              <w:rPr>
                <w:rFonts w:ascii="Calibri" w:hAnsi="Calibri" w:cs="Calibri"/>
                <w:color w:val="000000"/>
              </w:rPr>
            </w:pPr>
            <w:r w:rsidRPr="00492E31">
              <w:rPr>
                <w:rFonts w:ascii="Calibri" w:hAnsi="Calibri" w:cs="Calibri"/>
                <w:color w:val="000000"/>
              </w:rPr>
              <w:t>Max3Number (based on decimal)</w:t>
            </w:r>
            <w:r w:rsidRPr="006409AF">
              <w:rPr>
                <w:rFonts w:ascii="Calibri" w:hAnsi="Calibri" w:cs="Calibri"/>
                <w:color w:val="000000"/>
              </w:rPr>
              <w:t xml:space="preserve"> </w:t>
            </w:r>
          </w:p>
          <w:p w14:paraId="6547821F" w14:textId="77777777" w:rsidR="00AD5B3B" w:rsidRPr="006409AF" w:rsidRDefault="00AD5B3B" w:rsidP="00452B51">
            <w:pPr>
              <w:rPr>
                <w:rFonts w:ascii="Calibri" w:hAnsi="Calibri" w:cs="Calibri"/>
                <w:color w:val="000000"/>
              </w:rPr>
            </w:pPr>
            <w:proofErr w:type="spellStart"/>
            <w:r w:rsidRPr="006409AF">
              <w:rPr>
                <w:rFonts w:ascii="Calibri" w:hAnsi="Calibri" w:cs="Calibri"/>
                <w:color w:val="000000"/>
              </w:rPr>
              <w:t>fractionDigits</w:t>
            </w:r>
            <w:proofErr w:type="spellEnd"/>
            <w:r w:rsidRPr="006409AF">
              <w:rPr>
                <w:rFonts w:ascii="Calibri" w:hAnsi="Calibri" w:cs="Calibri"/>
                <w:color w:val="000000"/>
              </w:rPr>
              <w:t>: 0</w:t>
            </w:r>
          </w:p>
          <w:p w14:paraId="0357D713" w14:textId="77777777" w:rsidR="00AD5B3B" w:rsidRDefault="00AD5B3B" w:rsidP="00452B51">
            <w:pPr>
              <w:rPr>
                <w:rFonts w:ascii="Calibri" w:hAnsi="Calibri" w:cs="Calibri"/>
                <w:color w:val="000000"/>
              </w:rPr>
            </w:pPr>
            <w:proofErr w:type="spellStart"/>
            <w:r w:rsidRPr="006409AF">
              <w:rPr>
                <w:rFonts w:ascii="Calibri" w:hAnsi="Calibri" w:cs="Calibri"/>
                <w:color w:val="000000"/>
              </w:rPr>
              <w:t>totalDigits</w:t>
            </w:r>
            <w:proofErr w:type="spellEnd"/>
            <w:r w:rsidRPr="006409AF">
              <w:rPr>
                <w:rFonts w:ascii="Calibri" w:hAnsi="Calibri" w:cs="Calibri"/>
                <w:color w:val="000000"/>
              </w:rPr>
              <w:t>: 3</w:t>
            </w:r>
          </w:p>
        </w:tc>
      </w:tr>
      <w:tr w:rsidR="00AD5B3B" w14:paraId="6AF5F4A6"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23C8888E" w14:textId="77777777" w:rsidR="00AD5B3B" w:rsidRPr="00B16C8F" w:rsidRDefault="00AD5B3B" w:rsidP="00452B51">
            <w:r>
              <w:rPr>
                <w:rFonts w:ascii="Calibri" w:hAnsi="Calibri" w:cs="Calibri"/>
                <w:color w:val="000000"/>
              </w:rPr>
              <w:t>Other Notional Currency</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5F2B7A37" w14:textId="77777777" w:rsidR="00AD5B3B" w:rsidRPr="00B16C8F" w:rsidRDefault="00AD5B3B" w:rsidP="00452B51">
            <w:r>
              <w:rPr>
                <w:rFonts w:ascii="Calibri" w:hAnsi="Calibri" w:cs="Calibri"/>
                <w:color w:val="000000"/>
              </w:rPr>
              <w:t>ISO 4217: 2015</w:t>
            </w:r>
          </w:p>
        </w:tc>
        <w:tc>
          <w:tcPr>
            <w:tcW w:w="2977" w:type="dxa"/>
            <w:tcBorders>
              <w:top w:val="single" w:sz="4" w:space="0" w:color="auto"/>
              <w:left w:val="single" w:sz="4" w:space="0" w:color="auto"/>
              <w:bottom w:val="single" w:sz="4" w:space="0" w:color="auto"/>
              <w:right w:val="single" w:sz="4" w:space="0" w:color="auto"/>
            </w:tcBorders>
            <w:vAlign w:val="center"/>
          </w:tcPr>
          <w:p w14:paraId="21FC6686" w14:textId="77777777" w:rsidR="00AD5B3B" w:rsidRDefault="00AD5B3B" w:rsidP="00452B51">
            <w:pPr>
              <w:rPr>
                <w:rFonts w:ascii="Calibri" w:hAnsi="Calibri" w:cs="Calibri"/>
                <w:color w:val="000000"/>
              </w:rPr>
            </w:pPr>
            <w:r>
              <w:rPr>
                <w:rFonts w:ascii="Calibri" w:hAnsi="Calibri" w:cs="Calibri"/>
                <w:color w:val="000000"/>
              </w:rPr>
              <w:t>P</w:t>
            </w:r>
            <w:r w:rsidRPr="00E5395C">
              <w:rPr>
                <w:rFonts w:ascii="Calibri" w:hAnsi="Calibri" w:cs="Calibri"/>
                <w:color w:val="000000"/>
              </w:rPr>
              <w:t>attern: [A-</w:t>
            </w:r>
            <w:proofErr w:type="gramStart"/>
            <w:r w:rsidRPr="00E5395C">
              <w:rPr>
                <w:rFonts w:ascii="Calibri" w:hAnsi="Calibri" w:cs="Calibri"/>
                <w:color w:val="000000"/>
              </w:rPr>
              <w:t>Z]{</w:t>
            </w:r>
            <w:proofErr w:type="gramEnd"/>
            <w:r w:rsidRPr="00E5395C">
              <w:rPr>
                <w:rFonts w:ascii="Calibri" w:hAnsi="Calibri" w:cs="Calibri"/>
                <w:color w:val="000000"/>
              </w:rPr>
              <w:t>3,3}</w:t>
            </w:r>
          </w:p>
        </w:tc>
      </w:tr>
      <w:tr w:rsidR="00AD5B3B" w14:paraId="2F8FB10D" w14:textId="77777777" w:rsidTr="00452B51">
        <w:trPr>
          <w:jc w:val="center"/>
        </w:trPr>
        <w:tc>
          <w:tcPr>
            <w:tcW w:w="3114" w:type="dxa"/>
            <w:vAlign w:val="center"/>
          </w:tcPr>
          <w:p w14:paraId="78B77990" w14:textId="77777777" w:rsidR="00AD5B3B" w:rsidRPr="00B16C8F" w:rsidRDefault="00AD5B3B" w:rsidP="00452B51">
            <w:r>
              <w:t>Parent</w:t>
            </w:r>
          </w:p>
        </w:tc>
        <w:tc>
          <w:tcPr>
            <w:tcW w:w="4394" w:type="dxa"/>
            <w:vAlign w:val="center"/>
          </w:tcPr>
          <w:p w14:paraId="31BF93DB" w14:textId="77777777" w:rsidR="00AD5B3B" w:rsidRPr="00B16C8F" w:rsidRDefault="00AD5B3B" w:rsidP="00452B51">
            <w:r w:rsidRPr="00B16C8F">
              <w:t>ISO 6166: 2013</w:t>
            </w:r>
            <w:r>
              <w:t xml:space="preserve"> (where relevant, &lt;null&gt; otherwise)</w:t>
            </w:r>
          </w:p>
        </w:tc>
        <w:tc>
          <w:tcPr>
            <w:tcW w:w="2977" w:type="dxa"/>
            <w:vAlign w:val="center"/>
          </w:tcPr>
          <w:p w14:paraId="1D980CDB" w14:textId="77777777" w:rsidR="00AD5B3B" w:rsidRDefault="00AD5B3B" w:rsidP="00452B51">
            <w:pPr>
              <w:ind w:right="31"/>
            </w:pPr>
            <w:r>
              <w:t xml:space="preserve">Max35Text (based on string) </w:t>
            </w:r>
            <w:proofErr w:type="spellStart"/>
            <w:r>
              <w:t>minLength</w:t>
            </w:r>
            <w:proofErr w:type="spellEnd"/>
            <w:r>
              <w:t>: 1</w:t>
            </w:r>
          </w:p>
          <w:p w14:paraId="6D31EE4B" w14:textId="77777777" w:rsidR="00AD5B3B" w:rsidRPr="00B16C8F" w:rsidRDefault="00AD5B3B" w:rsidP="00452B51">
            <w:proofErr w:type="spellStart"/>
            <w:r>
              <w:t>maxLength</w:t>
            </w:r>
            <w:proofErr w:type="spellEnd"/>
            <w:r>
              <w:t>: 35</w:t>
            </w:r>
          </w:p>
        </w:tc>
      </w:tr>
      <w:tr w:rsidR="00AD5B3B" w14:paraId="123004D6" w14:textId="77777777" w:rsidTr="00452B51">
        <w:trPr>
          <w:jc w:val="center"/>
        </w:trPr>
        <w:tc>
          <w:tcPr>
            <w:tcW w:w="3114" w:type="dxa"/>
            <w:vAlign w:val="center"/>
          </w:tcPr>
          <w:p w14:paraId="368818AA" w14:textId="27494844" w:rsidR="00AD5B3B" w:rsidRDefault="00AD5B3B" w:rsidP="00452B51">
            <w:r>
              <w:t xml:space="preserve">Place of Settlement (applicable to </w:t>
            </w:r>
            <w:r w:rsidR="007742BA">
              <w:t xml:space="preserve">NDS and </w:t>
            </w:r>
            <w:r>
              <w:t>Non-Standard Product Definitions)</w:t>
            </w:r>
          </w:p>
        </w:tc>
        <w:tc>
          <w:tcPr>
            <w:tcW w:w="4394" w:type="dxa"/>
            <w:vAlign w:val="center"/>
          </w:tcPr>
          <w:p w14:paraId="1E26FC8A" w14:textId="77777777" w:rsidR="00AD5B3B" w:rsidRDefault="00AD5B3B" w:rsidP="00452B51">
            <w:r>
              <w:t>ISO 3166</w:t>
            </w:r>
          </w:p>
        </w:tc>
        <w:tc>
          <w:tcPr>
            <w:tcW w:w="2977" w:type="dxa"/>
            <w:vAlign w:val="center"/>
          </w:tcPr>
          <w:p w14:paraId="58B2F83F" w14:textId="77777777" w:rsidR="00AD5B3B" w:rsidRDefault="00AD5B3B" w:rsidP="00452B51">
            <w:pPr>
              <w:ind w:right="31"/>
            </w:pPr>
            <w:r>
              <w:t xml:space="preserve">Max100Text (based on string) </w:t>
            </w:r>
            <w:proofErr w:type="spellStart"/>
            <w:r>
              <w:t>minLength</w:t>
            </w:r>
            <w:proofErr w:type="spellEnd"/>
            <w:r>
              <w:t>: 0</w:t>
            </w:r>
          </w:p>
          <w:p w14:paraId="64EA78FA" w14:textId="77777777" w:rsidR="00AD5B3B" w:rsidRDefault="00AD5B3B" w:rsidP="00452B51">
            <w:proofErr w:type="spellStart"/>
            <w:r>
              <w:t>maxLength</w:t>
            </w:r>
            <w:proofErr w:type="spellEnd"/>
            <w:r>
              <w:t>: 100</w:t>
            </w:r>
          </w:p>
        </w:tc>
      </w:tr>
      <w:tr w:rsidR="00AD5B3B" w14:paraId="31D14AD4" w14:textId="77777777" w:rsidTr="00452B51">
        <w:trPr>
          <w:jc w:val="center"/>
        </w:trPr>
        <w:tc>
          <w:tcPr>
            <w:tcW w:w="3114" w:type="dxa"/>
            <w:vAlign w:val="center"/>
          </w:tcPr>
          <w:p w14:paraId="57363C70" w14:textId="77777777" w:rsidR="00AD5B3B" w:rsidRDefault="00AD5B3B" w:rsidP="00452B51">
            <w:r>
              <w:t>Price Multiplier</w:t>
            </w:r>
          </w:p>
        </w:tc>
        <w:tc>
          <w:tcPr>
            <w:tcW w:w="4394" w:type="dxa"/>
            <w:vAlign w:val="center"/>
          </w:tcPr>
          <w:p w14:paraId="56B98574" w14:textId="77777777" w:rsidR="00AD5B3B" w:rsidRPr="00B16C8F" w:rsidRDefault="00AD5B3B" w:rsidP="00452B51">
            <w:r>
              <w:t>Double (0 or positive)</w:t>
            </w:r>
          </w:p>
        </w:tc>
        <w:tc>
          <w:tcPr>
            <w:tcW w:w="2977" w:type="dxa"/>
            <w:vAlign w:val="center"/>
          </w:tcPr>
          <w:p w14:paraId="26419B25" w14:textId="77777777" w:rsidR="00AD5B3B" w:rsidRDefault="00AD5B3B" w:rsidP="00452B51">
            <w:r>
              <w:t>DECIMAL {15/14}</w:t>
            </w:r>
          </w:p>
          <w:p w14:paraId="3DE9926A" w14:textId="77777777" w:rsidR="00AD5B3B" w:rsidRDefault="00AD5B3B" w:rsidP="00452B51">
            <w:pPr>
              <w:pStyle w:val="ListParagraph"/>
              <w:numPr>
                <w:ilvl w:val="2"/>
                <w:numId w:val="5"/>
              </w:numPr>
              <w:ind w:left="453"/>
            </w:pPr>
            <w:proofErr w:type="spellStart"/>
            <w:r>
              <w:t>FractionDigits</w:t>
            </w:r>
            <w:proofErr w:type="spellEnd"/>
            <w:r>
              <w:t>: 14</w:t>
            </w:r>
          </w:p>
          <w:p w14:paraId="44A2BA49" w14:textId="77777777" w:rsidR="00AD5B3B" w:rsidRDefault="00AD5B3B" w:rsidP="00452B51">
            <w:pPr>
              <w:pStyle w:val="ListParagraph"/>
              <w:numPr>
                <w:ilvl w:val="2"/>
                <w:numId w:val="5"/>
              </w:numPr>
              <w:ind w:left="453"/>
            </w:pPr>
            <w:proofErr w:type="spellStart"/>
            <w:r>
              <w:t>TotalDigits</w:t>
            </w:r>
            <w:proofErr w:type="spellEnd"/>
            <w:r>
              <w:t>: 15</w:t>
            </w:r>
          </w:p>
        </w:tc>
      </w:tr>
      <w:tr w:rsidR="00AD5B3B" w14:paraId="31169DD0" w14:textId="77777777" w:rsidTr="00452B51">
        <w:trPr>
          <w:jc w:val="center"/>
        </w:trPr>
        <w:tc>
          <w:tcPr>
            <w:tcW w:w="3114" w:type="dxa"/>
            <w:tcBorders>
              <w:bottom w:val="single" w:sz="4" w:space="0" w:color="auto"/>
            </w:tcBorders>
            <w:vAlign w:val="center"/>
          </w:tcPr>
          <w:p w14:paraId="4530655B" w14:textId="77777777" w:rsidR="00AD5B3B" w:rsidRPr="00B16C8F" w:rsidRDefault="00AD5B3B" w:rsidP="00452B51">
            <w:r>
              <w:t>Product</w:t>
            </w:r>
          </w:p>
        </w:tc>
        <w:tc>
          <w:tcPr>
            <w:tcW w:w="4394" w:type="dxa"/>
            <w:tcBorders>
              <w:bottom w:val="single" w:sz="4" w:space="0" w:color="auto"/>
            </w:tcBorders>
            <w:vAlign w:val="center"/>
          </w:tcPr>
          <w:p w14:paraId="6CAD32B1" w14:textId="77777777" w:rsidR="00AD5B3B" w:rsidRPr="00B16C8F" w:rsidRDefault="00AD5B3B" w:rsidP="00452B51">
            <w:r>
              <w:t>Unique human readable instrument label, created by the DSB PC and based on ISDA 2.0 taxonomy</w:t>
            </w:r>
          </w:p>
        </w:tc>
        <w:tc>
          <w:tcPr>
            <w:tcW w:w="2977" w:type="dxa"/>
            <w:tcBorders>
              <w:bottom w:val="single" w:sz="4" w:space="0" w:color="auto"/>
            </w:tcBorders>
            <w:vAlign w:val="center"/>
          </w:tcPr>
          <w:p w14:paraId="4B7E99F3" w14:textId="77777777" w:rsidR="00AD5B3B" w:rsidRDefault="00AD5B3B" w:rsidP="00452B51">
            <w:pPr>
              <w:ind w:right="31"/>
            </w:pPr>
            <w:r>
              <w:t xml:space="preserve">Max50Text (based on string) </w:t>
            </w:r>
            <w:proofErr w:type="spellStart"/>
            <w:r>
              <w:t>minLength</w:t>
            </w:r>
            <w:proofErr w:type="spellEnd"/>
            <w:r>
              <w:t>: 1</w:t>
            </w:r>
          </w:p>
          <w:p w14:paraId="52E4DD9C" w14:textId="77777777" w:rsidR="00AD5B3B" w:rsidRDefault="00AD5B3B" w:rsidP="00452B51">
            <w:proofErr w:type="spellStart"/>
            <w:r>
              <w:t>maxLength</w:t>
            </w:r>
            <w:proofErr w:type="spellEnd"/>
            <w:r>
              <w:t>: 50</w:t>
            </w:r>
          </w:p>
        </w:tc>
      </w:tr>
      <w:tr w:rsidR="00AD5B3B" w14:paraId="56E94FF1"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4BB0FCDE" w14:textId="77777777" w:rsidR="00AD5B3B" w:rsidRPr="00B16C8F" w:rsidRDefault="00AD5B3B" w:rsidP="00452B51">
            <w:r>
              <w:rPr>
                <w:rFonts w:ascii="Calibri" w:hAnsi="Calibri" w:cs="Calibri"/>
                <w:color w:val="000000"/>
              </w:rPr>
              <w:lastRenderedPageBreak/>
              <w:t>Reference Rate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5FE1B55A" w14:textId="65CE3781" w:rsidR="00AD5B3B" w:rsidRDefault="00AD5B3B" w:rsidP="00452B51">
            <w:pPr>
              <w:rPr>
                <w:rStyle w:val="Hyperlink"/>
              </w:rPr>
            </w:pPr>
            <w:r w:rsidRPr="00460188">
              <w:rPr>
                <w:b/>
              </w:rPr>
              <w:t>Rates:</w:t>
            </w:r>
            <w:r>
              <w:t xml:space="preserve"> </w:t>
            </w:r>
            <w:hyperlink r:id="rId28" w:anchor="s5.95" w:history="1">
              <w:r w:rsidR="007C3C00" w:rsidRPr="00284B6A">
                <w:rPr>
                  <w:rStyle w:val="Hyperlink"/>
                </w:rPr>
                <w:t>http://www.fpml.org/spec/coding-scheme/fpml-schemes.html#s5.95</w:t>
              </w:r>
            </w:hyperlink>
            <w:r w:rsidR="003B255B">
              <w:rPr>
                <w:rStyle w:val="FootnoteReference"/>
                <w:color w:val="0563C1" w:themeColor="hyperlink"/>
                <w:u w:val="single"/>
              </w:rPr>
              <w:footnoteReference w:id="3"/>
            </w:r>
          </w:p>
          <w:p w14:paraId="70F71C54" w14:textId="313D754B" w:rsidR="00AD5B3B" w:rsidRDefault="00AD5B3B" w:rsidP="00452B51">
            <w:r w:rsidRPr="00460188">
              <w:rPr>
                <w:rStyle w:val="Hyperlink"/>
                <w:b/>
                <w:color w:val="auto"/>
                <w:u w:val="none"/>
              </w:rPr>
              <w:t>Rates CPI:</w:t>
            </w:r>
            <w:r>
              <w:rPr>
                <w:rStyle w:val="Hyperlink"/>
                <w:color w:val="auto"/>
                <w:u w:val="none"/>
              </w:rPr>
              <w:t xml:space="preserve"> </w:t>
            </w:r>
            <w:hyperlink r:id="rId29" w:anchor="s5.105" w:history="1">
              <w:r w:rsidR="007C3C00" w:rsidRPr="00284B6A">
                <w:rPr>
                  <w:rStyle w:val="Hyperlink"/>
                </w:rPr>
                <w:t>http://www.fpml.org/spec/coding-scheme/fpml-schemes.html#s5.105</w:t>
              </w:r>
            </w:hyperlink>
          </w:p>
          <w:p w14:paraId="5306AC2A" w14:textId="77777777" w:rsidR="00AD5B3B" w:rsidRPr="00AA3C42" w:rsidRDefault="00AD5B3B" w:rsidP="00452B51">
            <w:pPr>
              <w:rPr>
                <w:rFonts w:ascii="Calibri" w:hAnsi="Calibri" w:cs="Calibri"/>
                <w:color w:val="0563C1"/>
                <w:u w:val="single"/>
              </w:rPr>
            </w:pPr>
            <w:r w:rsidRPr="00460188">
              <w:rPr>
                <w:rStyle w:val="Hyperlink"/>
                <w:b/>
                <w:color w:val="auto"/>
                <w:u w:val="none"/>
              </w:rPr>
              <w:t>Commodities:</w:t>
            </w:r>
            <w:r>
              <w:rPr>
                <w:rStyle w:val="Hyperlink"/>
                <w:color w:val="auto"/>
                <w:u w:val="none"/>
              </w:rPr>
              <w:t xml:space="preserve"> ISDA 2.0 taxonomy</w:t>
            </w:r>
          </w:p>
        </w:tc>
        <w:tc>
          <w:tcPr>
            <w:tcW w:w="2977" w:type="dxa"/>
            <w:tcBorders>
              <w:top w:val="single" w:sz="4" w:space="0" w:color="auto"/>
              <w:left w:val="single" w:sz="4" w:space="0" w:color="auto"/>
              <w:bottom w:val="single" w:sz="4" w:space="0" w:color="auto"/>
              <w:right w:val="single" w:sz="4" w:space="0" w:color="auto"/>
            </w:tcBorders>
            <w:vAlign w:val="center"/>
          </w:tcPr>
          <w:p w14:paraId="4207A598" w14:textId="77777777" w:rsidR="00AD5B3B" w:rsidRDefault="00AD5B3B" w:rsidP="00452B51">
            <w:pPr>
              <w:ind w:right="31"/>
            </w:pPr>
            <w:r>
              <w:t xml:space="preserve">Max350Text (based on string) </w:t>
            </w:r>
            <w:proofErr w:type="spellStart"/>
            <w:r>
              <w:t>minLength</w:t>
            </w:r>
            <w:proofErr w:type="spellEnd"/>
            <w:r>
              <w:t>: 1</w:t>
            </w:r>
          </w:p>
          <w:p w14:paraId="3A6885FF" w14:textId="77777777" w:rsidR="00AD5B3B" w:rsidRPr="00460188" w:rsidRDefault="00AD5B3B" w:rsidP="00452B51">
            <w:pPr>
              <w:rPr>
                <w:b/>
              </w:rPr>
            </w:pPr>
            <w:proofErr w:type="spellStart"/>
            <w:r>
              <w:t>maxLength</w:t>
            </w:r>
            <w:proofErr w:type="spellEnd"/>
            <w:r>
              <w:t>: 350</w:t>
            </w:r>
          </w:p>
        </w:tc>
      </w:tr>
      <w:tr w:rsidR="00AD5B3B" w14:paraId="4473A2D8"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4FACB541" w14:textId="77777777" w:rsidR="00AD5B3B" w:rsidRPr="00B16C8F" w:rsidRDefault="00AD5B3B" w:rsidP="00452B51">
            <w:r>
              <w:rPr>
                <w:rFonts w:ascii="Calibri" w:hAnsi="Calibri" w:cs="Calibri"/>
                <w:color w:val="000000"/>
              </w:rPr>
              <w:t>Reference Rate Term Unit</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2FB25D40" w14:textId="77777777" w:rsidR="00AD5B3B" w:rsidRPr="00B16C8F" w:rsidRDefault="00903D74" w:rsidP="00452B51">
            <w:hyperlink r:id="rId30" w:anchor="/mx/DRAFT6auth.036.001.01" w:history="1">
              <w:r w:rsidR="00AD5B3B" w:rsidRPr="0064679E">
                <w:rPr>
                  <w:rStyle w:val="Hyperlink"/>
                </w:rPr>
                <w:t>https://www2.swift.com/mystandards/#/mx/DRAFT6auth.036.001.01#content%2FFinancialInstrument%2FNewRecord%2FDerivativeInstrumentAttributes%2FUnderlyingInstrument%2FSingle%2FIndex%2FName%2FTerm%2FUnit</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68B02389" w14:textId="77777777" w:rsidR="00AD5B3B" w:rsidRDefault="00AD5B3B" w:rsidP="00452B51">
            <w:pPr>
              <w:ind w:right="31"/>
            </w:pPr>
            <w:r>
              <w:t xml:space="preserve">Max35Text (based on string) </w:t>
            </w:r>
            <w:proofErr w:type="spellStart"/>
            <w:r>
              <w:t>minLength</w:t>
            </w:r>
            <w:proofErr w:type="spellEnd"/>
            <w:r>
              <w:t>: 1</w:t>
            </w:r>
          </w:p>
          <w:p w14:paraId="48501CF4" w14:textId="77777777" w:rsidR="00AD5B3B" w:rsidRDefault="00AD5B3B" w:rsidP="00452B51">
            <w:proofErr w:type="spellStart"/>
            <w:r>
              <w:t>maxLength</w:t>
            </w:r>
            <w:proofErr w:type="spellEnd"/>
            <w:r>
              <w:t>: 35</w:t>
            </w:r>
          </w:p>
        </w:tc>
      </w:tr>
      <w:tr w:rsidR="00AD5B3B" w14:paraId="4BA783BE"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233B0905" w14:textId="77777777" w:rsidR="00AD5B3B" w:rsidRPr="00B16C8F" w:rsidRDefault="00AD5B3B" w:rsidP="00452B51">
            <w:r>
              <w:rPr>
                <w:rFonts w:ascii="Calibri" w:hAnsi="Calibri" w:cs="Calibri"/>
                <w:color w:val="000000"/>
              </w:rPr>
              <w:t>Reference Rate Term Value</w:t>
            </w:r>
          </w:p>
        </w:tc>
        <w:tc>
          <w:tcPr>
            <w:tcW w:w="4394" w:type="dxa"/>
            <w:tcBorders>
              <w:top w:val="single" w:sz="4" w:space="0" w:color="auto"/>
              <w:left w:val="nil"/>
              <w:bottom w:val="single" w:sz="4" w:space="0" w:color="auto"/>
              <w:right w:val="single" w:sz="4" w:space="0" w:color="auto"/>
            </w:tcBorders>
            <w:shd w:val="clear" w:color="auto" w:fill="auto"/>
            <w:vAlign w:val="center"/>
          </w:tcPr>
          <w:p w14:paraId="2AD5C269" w14:textId="77777777" w:rsidR="00AD5B3B" w:rsidRPr="00B16C8F" w:rsidRDefault="00AD5B3B" w:rsidP="00452B51">
            <w:r>
              <w:rPr>
                <w:rFonts w:ascii="Calibri" w:hAnsi="Calibri" w:cs="Calibri"/>
                <w:color w:val="000000"/>
              </w:rPr>
              <w:t>Integer – Positive or negative but not 0</w:t>
            </w:r>
          </w:p>
        </w:tc>
        <w:tc>
          <w:tcPr>
            <w:tcW w:w="2977" w:type="dxa"/>
            <w:tcBorders>
              <w:top w:val="single" w:sz="4" w:space="0" w:color="auto"/>
              <w:left w:val="nil"/>
              <w:bottom w:val="single" w:sz="4" w:space="0" w:color="auto"/>
              <w:right w:val="single" w:sz="4" w:space="0" w:color="auto"/>
            </w:tcBorders>
            <w:vAlign w:val="center"/>
          </w:tcPr>
          <w:p w14:paraId="658FF575" w14:textId="77777777" w:rsidR="00AD5B3B" w:rsidRDefault="00AD5B3B" w:rsidP="00452B51">
            <w:r w:rsidRPr="00492E31">
              <w:rPr>
                <w:rFonts w:ascii="Calibri" w:hAnsi="Calibri" w:cs="Calibri"/>
                <w:color w:val="000000"/>
              </w:rPr>
              <w:t>Max3Number (based on decimal)</w:t>
            </w:r>
            <w:r>
              <w:t xml:space="preserve"> </w:t>
            </w:r>
          </w:p>
          <w:p w14:paraId="5EC87600" w14:textId="77777777" w:rsidR="00AD5B3B" w:rsidRPr="006409AF" w:rsidRDefault="00AD5B3B" w:rsidP="00452B51">
            <w:pPr>
              <w:rPr>
                <w:rFonts w:ascii="Calibri" w:hAnsi="Calibri" w:cs="Calibri"/>
                <w:color w:val="000000"/>
              </w:rPr>
            </w:pPr>
            <w:proofErr w:type="spellStart"/>
            <w:r w:rsidRPr="006409AF">
              <w:rPr>
                <w:rFonts w:ascii="Calibri" w:hAnsi="Calibri" w:cs="Calibri"/>
                <w:color w:val="000000"/>
              </w:rPr>
              <w:t>fractionDigits</w:t>
            </w:r>
            <w:proofErr w:type="spellEnd"/>
            <w:r w:rsidRPr="006409AF">
              <w:rPr>
                <w:rFonts w:ascii="Calibri" w:hAnsi="Calibri" w:cs="Calibri"/>
                <w:color w:val="000000"/>
              </w:rPr>
              <w:t>: 0</w:t>
            </w:r>
          </w:p>
          <w:p w14:paraId="4B63B870" w14:textId="77777777" w:rsidR="00AD5B3B" w:rsidRDefault="00AD5B3B" w:rsidP="00452B51">
            <w:pPr>
              <w:rPr>
                <w:rFonts w:ascii="Calibri" w:hAnsi="Calibri" w:cs="Calibri"/>
                <w:color w:val="000000"/>
              </w:rPr>
            </w:pPr>
            <w:proofErr w:type="spellStart"/>
            <w:r w:rsidRPr="006409AF">
              <w:rPr>
                <w:rFonts w:ascii="Calibri" w:hAnsi="Calibri" w:cs="Calibri"/>
                <w:color w:val="000000"/>
              </w:rPr>
              <w:t>totalDigits</w:t>
            </w:r>
            <w:proofErr w:type="spellEnd"/>
            <w:r w:rsidRPr="006409AF">
              <w:rPr>
                <w:rFonts w:ascii="Calibri" w:hAnsi="Calibri" w:cs="Calibri"/>
                <w:color w:val="000000"/>
              </w:rPr>
              <w:t>: 3</w:t>
            </w:r>
          </w:p>
        </w:tc>
      </w:tr>
      <w:tr w:rsidR="00AD5B3B" w14:paraId="3D4A8D59"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vAlign w:val="center"/>
          </w:tcPr>
          <w:p w14:paraId="7475EECE" w14:textId="77777777" w:rsidR="00AD5B3B" w:rsidRPr="00B16C8F" w:rsidRDefault="00AD5B3B" w:rsidP="00452B51">
            <w:r w:rsidRPr="00C531AA">
              <w:t>Return or payout Trigger</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6B574C6B" w14:textId="77777777" w:rsidR="00AD5B3B" w:rsidRPr="00B16C8F" w:rsidRDefault="00AD5B3B" w:rsidP="00452B51">
            <w:r>
              <w:t>CFI Code (</w:t>
            </w:r>
            <w:r>
              <w:rPr>
                <w:rFonts w:ascii="Calibri" w:hAnsi="Calibri" w:cs="Calibri"/>
                <w:color w:val="000000"/>
              </w:rPr>
              <w:t>ISO 10962: 2015) Character #4 (Swaps); Character #5 (Forwards)</w:t>
            </w:r>
          </w:p>
        </w:tc>
        <w:tc>
          <w:tcPr>
            <w:tcW w:w="2977" w:type="dxa"/>
            <w:tcBorders>
              <w:top w:val="single" w:sz="4" w:space="0" w:color="auto"/>
              <w:left w:val="single" w:sz="4" w:space="0" w:color="auto"/>
              <w:bottom w:val="single" w:sz="4" w:space="0" w:color="auto"/>
              <w:right w:val="single" w:sz="4" w:space="0" w:color="auto"/>
            </w:tcBorders>
            <w:vAlign w:val="center"/>
          </w:tcPr>
          <w:p w14:paraId="0F1BA12E" w14:textId="77777777" w:rsidR="00AD5B3B" w:rsidRDefault="00AD5B3B" w:rsidP="00452B51">
            <w:pPr>
              <w:ind w:right="31"/>
            </w:pPr>
            <w:r w:rsidRPr="002D5E02">
              <w:rPr>
                <w:rFonts w:cstheme="minorHAnsi"/>
                <w:color w:val="333333"/>
                <w:szCs w:val="20"/>
                <w:shd w:val="clear" w:color="auto" w:fill="FFFFFF"/>
              </w:rPr>
              <w:t>Max35Text (based on string)</w:t>
            </w:r>
            <w:r>
              <w:t xml:space="preserve"> </w:t>
            </w:r>
            <w:proofErr w:type="spellStart"/>
            <w:r>
              <w:t>minLength</w:t>
            </w:r>
            <w:proofErr w:type="spellEnd"/>
            <w:r>
              <w:t>: 1</w:t>
            </w:r>
          </w:p>
          <w:p w14:paraId="32032260" w14:textId="77777777" w:rsidR="00AD5B3B" w:rsidRDefault="00AD5B3B" w:rsidP="00452B51">
            <w:proofErr w:type="spellStart"/>
            <w:r>
              <w:t>maxLength</w:t>
            </w:r>
            <w:proofErr w:type="spellEnd"/>
            <w:r>
              <w:t>: 35</w:t>
            </w:r>
          </w:p>
        </w:tc>
      </w:tr>
      <w:tr w:rsidR="00AD5B3B" w14:paraId="6F8B3544" w14:textId="77777777" w:rsidTr="00452B51">
        <w:trPr>
          <w:jc w:val="center"/>
        </w:trPr>
        <w:tc>
          <w:tcPr>
            <w:tcW w:w="3114" w:type="dxa"/>
            <w:tcBorders>
              <w:top w:val="single" w:sz="4" w:space="0" w:color="auto"/>
            </w:tcBorders>
            <w:vAlign w:val="center"/>
          </w:tcPr>
          <w:p w14:paraId="701D6C51" w14:textId="77777777" w:rsidR="00AD5B3B" w:rsidRPr="00B16C8F" w:rsidRDefault="00AD5B3B" w:rsidP="00452B51">
            <w:r>
              <w:t>Short Name</w:t>
            </w:r>
          </w:p>
        </w:tc>
        <w:tc>
          <w:tcPr>
            <w:tcW w:w="4394" w:type="dxa"/>
            <w:tcBorders>
              <w:top w:val="single" w:sz="4" w:space="0" w:color="auto"/>
            </w:tcBorders>
            <w:vAlign w:val="center"/>
          </w:tcPr>
          <w:p w14:paraId="33D1493A" w14:textId="77777777" w:rsidR="00AD5B3B" w:rsidRPr="00B16C8F" w:rsidRDefault="00AD5B3B" w:rsidP="00452B51">
            <w:r w:rsidRPr="00B16C8F">
              <w:t>ISO 18774: 2015</w:t>
            </w:r>
          </w:p>
        </w:tc>
        <w:tc>
          <w:tcPr>
            <w:tcW w:w="2977" w:type="dxa"/>
            <w:tcBorders>
              <w:top w:val="single" w:sz="4" w:space="0" w:color="auto"/>
            </w:tcBorders>
            <w:vAlign w:val="center"/>
          </w:tcPr>
          <w:p w14:paraId="7EF2FBD3" w14:textId="77777777" w:rsidR="00AD5B3B" w:rsidRDefault="00AD5B3B" w:rsidP="00452B51">
            <w:pPr>
              <w:ind w:right="31"/>
            </w:pPr>
            <w:r w:rsidRPr="002D5E02">
              <w:rPr>
                <w:rFonts w:cstheme="minorHAnsi"/>
                <w:color w:val="333333"/>
                <w:szCs w:val="20"/>
                <w:shd w:val="clear" w:color="auto" w:fill="FFFFFF"/>
              </w:rPr>
              <w:t>Max35Text (based on string)</w:t>
            </w:r>
            <w:r>
              <w:t xml:space="preserve"> </w:t>
            </w:r>
            <w:proofErr w:type="spellStart"/>
            <w:r>
              <w:t>minLength</w:t>
            </w:r>
            <w:proofErr w:type="spellEnd"/>
            <w:r>
              <w:t>: 1</w:t>
            </w:r>
          </w:p>
          <w:p w14:paraId="4AB3D1FA" w14:textId="77777777" w:rsidR="00AD5B3B" w:rsidRPr="002D5E02" w:rsidRDefault="00AD5B3B" w:rsidP="00452B51">
            <w:pPr>
              <w:rPr>
                <w:rFonts w:cstheme="minorHAnsi"/>
                <w:szCs w:val="20"/>
              </w:rPr>
            </w:pPr>
            <w:proofErr w:type="spellStart"/>
            <w:r>
              <w:t>maxLength</w:t>
            </w:r>
            <w:proofErr w:type="spellEnd"/>
            <w:r>
              <w:t>: 35</w:t>
            </w:r>
          </w:p>
        </w:tc>
      </w:tr>
      <w:tr w:rsidR="00AD5B3B" w14:paraId="0E9F3F21" w14:textId="77777777" w:rsidTr="00452B51">
        <w:trPr>
          <w:jc w:val="center"/>
        </w:trPr>
        <w:tc>
          <w:tcPr>
            <w:tcW w:w="3114" w:type="dxa"/>
            <w:tcBorders>
              <w:top w:val="single" w:sz="4" w:space="0" w:color="auto"/>
            </w:tcBorders>
            <w:vAlign w:val="center"/>
          </w:tcPr>
          <w:p w14:paraId="4A875C8D" w14:textId="77777777" w:rsidR="00AD5B3B" w:rsidRDefault="00AD5B3B" w:rsidP="00452B51">
            <w:r>
              <w:t>Settlement Currency</w:t>
            </w:r>
          </w:p>
        </w:tc>
        <w:tc>
          <w:tcPr>
            <w:tcW w:w="4394" w:type="dxa"/>
            <w:tcBorders>
              <w:top w:val="single" w:sz="4" w:space="0" w:color="auto"/>
            </w:tcBorders>
            <w:vAlign w:val="center"/>
          </w:tcPr>
          <w:p w14:paraId="45F667F6" w14:textId="77777777" w:rsidR="00AD5B3B" w:rsidRPr="00B16C8F" w:rsidRDefault="00AD5B3B" w:rsidP="00452B51">
            <w:r>
              <w:rPr>
                <w:rFonts w:ascii="Calibri" w:hAnsi="Calibri" w:cs="Calibri"/>
                <w:color w:val="000000"/>
              </w:rPr>
              <w:t>ISO 4217: 2015</w:t>
            </w:r>
          </w:p>
        </w:tc>
        <w:tc>
          <w:tcPr>
            <w:tcW w:w="2977" w:type="dxa"/>
            <w:tcBorders>
              <w:top w:val="single" w:sz="4" w:space="0" w:color="auto"/>
            </w:tcBorders>
            <w:vAlign w:val="center"/>
          </w:tcPr>
          <w:p w14:paraId="18FF20EF" w14:textId="77777777" w:rsidR="00AD5B3B" w:rsidRDefault="00AD5B3B" w:rsidP="00452B51">
            <w:pPr>
              <w:rPr>
                <w:rFonts w:ascii="Calibri" w:hAnsi="Calibri" w:cs="Calibri"/>
                <w:color w:val="000000"/>
              </w:rPr>
            </w:pPr>
            <w:r>
              <w:rPr>
                <w:rFonts w:ascii="Calibri" w:hAnsi="Calibri" w:cs="Calibri"/>
                <w:color w:val="000000"/>
              </w:rPr>
              <w:t>P</w:t>
            </w:r>
            <w:r w:rsidRPr="00E5395C">
              <w:rPr>
                <w:rFonts w:ascii="Calibri" w:hAnsi="Calibri" w:cs="Calibri"/>
                <w:color w:val="000000"/>
              </w:rPr>
              <w:t>attern: [A-</w:t>
            </w:r>
            <w:proofErr w:type="gramStart"/>
            <w:r w:rsidRPr="00E5395C">
              <w:rPr>
                <w:rFonts w:ascii="Calibri" w:hAnsi="Calibri" w:cs="Calibri"/>
                <w:color w:val="000000"/>
              </w:rPr>
              <w:t>Z]{</w:t>
            </w:r>
            <w:proofErr w:type="gramEnd"/>
            <w:r w:rsidRPr="00E5395C">
              <w:rPr>
                <w:rFonts w:ascii="Calibri" w:hAnsi="Calibri" w:cs="Calibri"/>
                <w:color w:val="000000"/>
              </w:rPr>
              <w:t>3,3}</w:t>
            </w:r>
          </w:p>
        </w:tc>
      </w:tr>
      <w:tr w:rsidR="00AD5B3B" w14:paraId="3DB0ACCC" w14:textId="77777777" w:rsidTr="00452B51">
        <w:trPr>
          <w:jc w:val="center"/>
        </w:trPr>
        <w:tc>
          <w:tcPr>
            <w:tcW w:w="3114" w:type="dxa"/>
            <w:vAlign w:val="center"/>
          </w:tcPr>
          <w:p w14:paraId="0E458159" w14:textId="77777777" w:rsidR="00AD5B3B" w:rsidRPr="00B16C8F" w:rsidRDefault="00AD5B3B" w:rsidP="00452B51">
            <w:r>
              <w:t>Single or Multi currency</w:t>
            </w:r>
          </w:p>
        </w:tc>
        <w:tc>
          <w:tcPr>
            <w:tcW w:w="4394" w:type="dxa"/>
            <w:vAlign w:val="center"/>
          </w:tcPr>
          <w:p w14:paraId="1B7FFB31" w14:textId="77777777" w:rsidR="00AD5B3B" w:rsidRPr="00B16C8F" w:rsidRDefault="00AD5B3B" w:rsidP="00452B51">
            <w:r>
              <w:t>CFI Code (</w:t>
            </w:r>
            <w:r w:rsidRPr="00B16C8F">
              <w:t>ISO 10962: 2015</w:t>
            </w:r>
            <w:r>
              <w:t>)</w:t>
            </w:r>
            <w:r w:rsidRPr="00B16C8F">
              <w:t xml:space="preserve"> Character #5</w:t>
            </w:r>
            <w:r>
              <w:t xml:space="preserve"> (Rates only)</w:t>
            </w:r>
          </w:p>
        </w:tc>
        <w:tc>
          <w:tcPr>
            <w:tcW w:w="2977" w:type="dxa"/>
            <w:vAlign w:val="center"/>
          </w:tcPr>
          <w:p w14:paraId="17D441B2" w14:textId="77777777" w:rsidR="00AD5B3B" w:rsidRDefault="00AD5B3B" w:rsidP="00452B51">
            <w:pPr>
              <w:ind w:right="31"/>
            </w:pPr>
            <w:r w:rsidRPr="002D5E02">
              <w:rPr>
                <w:rFonts w:cstheme="minorHAnsi"/>
                <w:color w:val="333333"/>
                <w:szCs w:val="20"/>
                <w:shd w:val="clear" w:color="auto" w:fill="FFFFFF"/>
              </w:rPr>
              <w:t>Max35Text (based on string)</w:t>
            </w:r>
            <w:r>
              <w:t xml:space="preserve"> </w:t>
            </w:r>
            <w:proofErr w:type="spellStart"/>
            <w:r>
              <w:t>minLength</w:t>
            </w:r>
            <w:proofErr w:type="spellEnd"/>
            <w:r>
              <w:t>: 1</w:t>
            </w:r>
          </w:p>
          <w:p w14:paraId="44E91AA9" w14:textId="77777777" w:rsidR="00AD5B3B" w:rsidRDefault="00AD5B3B" w:rsidP="00452B51">
            <w:proofErr w:type="spellStart"/>
            <w:r>
              <w:t>maxLength</w:t>
            </w:r>
            <w:proofErr w:type="spellEnd"/>
            <w:r>
              <w:t>: 35</w:t>
            </w:r>
          </w:p>
        </w:tc>
      </w:tr>
      <w:tr w:rsidR="00AD5B3B" w14:paraId="434B3110" w14:textId="77777777" w:rsidTr="00452B51">
        <w:trPr>
          <w:jc w:val="center"/>
        </w:trPr>
        <w:tc>
          <w:tcPr>
            <w:tcW w:w="3114" w:type="dxa"/>
            <w:vAlign w:val="center"/>
          </w:tcPr>
          <w:p w14:paraId="3DE1DB10" w14:textId="77777777" w:rsidR="00AD5B3B" w:rsidRPr="00B16C8F" w:rsidRDefault="00AD5B3B" w:rsidP="00452B51">
            <w:r>
              <w:t>Status</w:t>
            </w:r>
          </w:p>
        </w:tc>
        <w:tc>
          <w:tcPr>
            <w:tcW w:w="4394" w:type="dxa"/>
            <w:vAlign w:val="center"/>
          </w:tcPr>
          <w:p w14:paraId="1C9DBD32" w14:textId="77777777" w:rsidR="00AD5B3B" w:rsidRPr="00B16C8F" w:rsidRDefault="00AD5B3B" w:rsidP="00452B51">
            <w:r w:rsidRPr="00B16C8F">
              <w:t xml:space="preserve">New, </w:t>
            </w:r>
            <w:r>
              <w:t xml:space="preserve">Updated, </w:t>
            </w:r>
            <w:r w:rsidRPr="00B16C8F">
              <w:t>Deleted</w:t>
            </w:r>
            <w:r>
              <w:t>, Expired</w:t>
            </w:r>
          </w:p>
        </w:tc>
        <w:tc>
          <w:tcPr>
            <w:tcW w:w="2977" w:type="dxa"/>
            <w:vAlign w:val="center"/>
          </w:tcPr>
          <w:p w14:paraId="6A6FEC78" w14:textId="77777777" w:rsidR="00AD5B3B" w:rsidRDefault="00AD5B3B" w:rsidP="00452B51">
            <w:r>
              <w:t>Max35Text (based on string)</w:t>
            </w:r>
          </w:p>
          <w:p w14:paraId="62CFB878" w14:textId="77777777" w:rsidR="00AD5B3B" w:rsidRDefault="00AD5B3B" w:rsidP="00452B51">
            <w:pPr>
              <w:ind w:right="31"/>
            </w:pPr>
            <w:proofErr w:type="spellStart"/>
            <w:r>
              <w:t>minLength</w:t>
            </w:r>
            <w:proofErr w:type="spellEnd"/>
            <w:r>
              <w:t>: 1</w:t>
            </w:r>
          </w:p>
          <w:p w14:paraId="55E4BD9E" w14:textId="77777777" w:rsidR="00AD5B3B" w:rsidRPr="00B16C8F" w:rsidRDefault="00AD5B3B" w:rsidP="00452B51">
            <w:proofErr w:type="spellStart"/>
            <w:r>
              <w:t>maxLength</w:t>
            </w:r>
            <w:proofErr w:type="spellEnd"/>
            <w:r>
              <w:t>: 35</w:t>
            </w:r>
          </w:p>
        </w:tc>
      </w:tr>
      <w:tr w:rsidR="00AD5B3B" w14:paraId="443F4973" w14:textId="77777777" w:rsidTr="00452B51">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36A60469" w14:textId="77777777" w:rsidR="00AD5B3B" w:rsidRDefault="00AD5B3B" w:rsidP="00452B51">
            <w:pPr>
              <w:rPr>
                <w:rFonts w:ascii="Calibri" w:hAnsi="Calibri" w:cs="Calibri"/>
                <w:color w:val="000000"/>
              </w:rPr>
            </w:pPr>
            <w:r>
              <w:rPr>
                <w:rFonts w:ascii="Calibri" w:hAnsi="Calibri" w:cs="Calibri"/>
                <w:color w:val="000000"/>
              </w:rPr>
              <w:t>Status Reason</w:t>
            </w:r>
          </w:p>
        </w:tc>
        <w:tc>
          <w:tcPr>
            <w:tcW w:w="4394" w:type="dxa"/>
            <w:tcBorders>
              <w:top w:val="nil"/>
              <w:left w:val="single" w:sz="4" w:space="0" w:color="auto"/>
              <w:bottom w:val="single" w:sz="4" w:space="0" w:color="auto"/>
              <w:right w:val="single" w:sz="4" w:space="0" w:color="auto"/>
            </w:tcBorders>
            <w:shd w:val="clear" w:color="auto" w:fill="auto"/>
            <w:vAlign w:val="center"/>
          </w:tcPr>
          <w:p w14:paraId="1A040291" w14:textId="77777777" w:rsidR="00AD5B3B" w:rsidRDefault="00AD5B3B" w:rsidP="00452B51">
            <w:r>
              <w:t>Text string</w:t>
            </w:r>
          </w:p>
        </w:tc>
        <w:tc>
          <w:tcPr>
            <w:tcW w:w="2977" w:type="dxa"/>
            <w:tcBorders>
              <w:top w:val="nil"/>
              <w:left w:val="single" w:sz="4" w:space="0" w:color="auto"/>
              <w:bottom w:val="single" w:sz="4" w:space="0" w:color="auto"/>
              <w:right w:val="single" w:sz="4" w:space="0" w:color="auto"/>
            </w:tcBorders>
            <w:vAlign w:val="center"/>
          </w:tcPr>
          <w:p w14:paraId="26E34706" w14:textId="77777777" w:rsidR="00AD5B3B" w:rsidRDefault="00AD5B3B" w:rsidP="00452B51">
            <w:pPr>
              <w:ind w:right="31"/>
            </w:pPr>
            <w:r>
              <w:t xml:space="preserve">Max350Text (based on string) </w:t>
            </w:r>
            <w:proofErr w:type="spellStart"/>
            <w:r>
              <w:t>minLength</w:t>
            </w:r>
            <w:proofErr w:type="spellEnd"/>
            <w:r>
              <w:t>: 1</w:t>
            </w:r>
          </w:p>
          <w:p w14:paraId="78287C8E" w14:textId="77777777" w:rsidR="00AD5B3B" w:rsidRDefault="00AD5B3B" w:rsidP="00452B51">
            <w:proofErr w:type="spellStart"/>
            <w:r>
              <w:t>maxLength</w:t>
            </w:r>
            <w:proofErr w:type="spellEnd"/>
            <w:r>
              <w:t>: 350</w:t>
            </w:r>
          </w:p>
        </w:tc>
      </w:tr>
      <w:tr w:rsidR="00AD5B3B" w14:paraId="49D8DA80" w14:textId="77777777" w:rsidTr="00452B51">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4AF18FFA" w14:textId="77777777" w:rsidR="00AD5B3B" w:rsidRDefault="00AD5B3B" w:rsidP="00452B51">
            <w:pPr>
              <w:rPr>
                <w:rFonts w:ascii="Calibri" w:hAnsi="Calibri" w:cs="Calibri"/>
                <w:color w:val="000000"/>
              </w:rPr>
            </w:pPr>
            <w:r>
              <w:rPr>
                <w:rFonts w:ascii="Calibri" w:hAnsi="Calibri" w:cs="Calibri"/>
                <w:color w:val="000000"/>
              </w:rPr>
              <w:t>Strike Price</w:t>
            </w:r>
          </w:p>
        </w:tc>
        <w:tc>
          <w:tcPr>
            <w:tcW w:w="4394" w:type="dxa"/>
            <w:tcBorders>
              <w:top w:val="nil"/>
              <w:left w:val="single" w:sz="4" w:space="0" w:color="auto"/>
              <w:bottom w:val="single" w:sz="4" w:space="0" w:color="auto"/>
              <w:right w:val="single" w:sz="4" w:space="0" w:color="auto"/>
            </w:tcBorders>
            <w:shd w:val="clear" w:color="auto" w:fill="auto"/>
            <w:vAlign w:val="center"/>
          </w:tcPr>
          <w:p w14:paraId="302D4370" w14:textId="77777777" w:rsidR="00AD5B3B" w:rsidRDefault="00AD5B3B" w:rsidP="00452B51">
            <w:r w:rsidRPr="00E95B47">
              <w:t>{DECIMAL-18/13} in case the price is expressed as monetary value</w:t>
            </w:r>
          </w:p>
          <w:p w14:paraId="5380DC74" w14:textId="77777777" w:rsidR="00AD5B3B" w:rsidRDefault="00AD5B3B" w:rsidP="00452B51">
            <w:r w:rsidRPr="00E95B47">
              <w:t>{DECIMAL-11/10} in case the price is expressed as percentage or yield</w:t>
            </w:r>
          </w:p>
          <w:p w14:paraId="119633E5" w14:textId="77777777" w:rsidR="00AD5B3B" w:rsidRDefault="00AD5B3B" w:rsidP="00452B51">
            <w:r w:rsidRPr="00E95B47">
              <w:t>{DECIMAL-18/17} in case the price is expressed as basis points</w:t>
            </w:r>
          </w:p>
          <w:p w14:paraId="4A51A54B" w14:textId="77777777" w:rsidR="00AD5B3B" w:rsidRDefault="00AD5B3B" w:rsidP="00452B51">
            <w:r w:rsidRPr="00E95B47">
              <w:t>’PNDG’ in case the price is not available</w:t>
            </w:r>
          </w:p>
        </w:tc>
        <w:tc>
          <w:tcPr>
            <w:tcW w:w="2977" w:type="dxa"/>
            <w:tcBorders>
              <w:top w:val="nil"/>
              <w:left w:val="single" w:sz="4" w:space="0" w:color="auto"/>
              <w:bottom w:val="single" w:sz="4" w:space="0" w:color="auto"/>
              <w:right w:val="single" w:sz="4" w:space="0" w:color="auto"/>
            </w:tcBorders>
            <w:vAlign w:val="center"/>
          </w:tcPr>
          <w:p w14:paraId="393F0490" w14:textId="77777777" w:rsidR="00AD5B3B" w:rsidRDefault="00AD5B3B" w:rsidP="00452B51">
            <w:proofErr w:type="spellStart"/>
            <w:r>
              <w:t>NonNegativeDecimalNumber</w:t>
            </w:r>
            <w:proofErr w:type="spellEnd"/>
            <w:r>
              <w:t xml:space="preserve"> (based on decimal)</w:t>
            </w:r>
          </w:p>
          <w:p w14:paraId="419EEBBE" w14:textId="77777777" w:rsidR="00AD5B3B" w:rsidRPr="00081214" w:rsidRDefault="00AD5B3B" w:rsidP="00452B51">
            <w:pPr>
              <w:pStyle w:val="ListParagraph"/>
              <w:numPr>
                <w:ilvl w:val="2"/>
                <w:numId w:val="5"/>
              </w:numPr>
              <w:ind w:left="453"/>
              <w:rPr>
                <w:rFonts w:cstheme="minorHAnsi"/>
                <w:color w:val="333333"/>
                <w:szCs w:val="20"/>
                <w:shd w:val="clear" w:color="auto" w:fill="FFFFFF"/>
              </w:rPr>
            </w:pPr>
            <w:proofErr w:type="spellStart"/>
            <w:r>
              <w:t>FractionDigits</w:t>
            </w:r>
            <w:proofErr w:type="spellEnd"/>
            <w:r>
              <w:t>: 17</w:t>
            </w:r>
          </w:p>
          <w:p w14:paraId="08C6B34A" w14:textId="77777777" w:rsidR="00AD5B3B" w:rsidRPr="002D5E02" w:rsidRDefault="00AD5B3B" w:rsidP="00452B51">
            <w:pPr>
              <w:pStyle w:val="ListParagraph"/>
              <w:numPr>
                <w:ilvl w:val="2"/>
                <w:numId w:val="5"/>
              </w:numPr>
              <w:ind w:left="453"/>
              <w:rPr>
                <w:rFonts w:cstheme="minorHAnsi"/>
                <w:color w:val="333333"/>
                <w:szCs w:val="20"/>
                <w:shd w:val="clear" w:color="auto" w:fill="FFFFFF"/>
              </w:rPr>
            </w:pPr>
            <w:proofErr w:type="spellStart"/>
            <w:r>
              <w:t>TotalDigits</w:t>
            </w:r>
            <w:proofErr w:type="spellEnd"/>
            <w:r>
              <w:t>: 18</w:t>
            </w:r>
          </w:p>
        </w:tc>
      </w:tr>
      <w:tr w:rsidR="00AD5B3B" w14:paraId="48B9E1F9" w14:textId="77777777" w:rsidTr="00452B51">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1F433851" w14:textId="77777777" w:rsidR="00AD5B3B" w:rsidRDefault="00AD5B3B" w:rsidP="00452B51">
            <w:pPr>
              <w:rPr>
                <w:rFonts w:ascii="Calibri" w:hAnsi="Calibri" w:cs="Calibri"/>
                <w:color w:val="000000"/>
              </w:rPr>
            </w:pPr>
            <w:r>
              <w:rPr>
                <w:rFonts w:ascii="Calibri" w:hAnsi="Calibri" w:cs="Calibri"/>
                <w:color w:val="000000"/>
              </w:rPr>
              <w:t xml:space="preserve">Strike Price Currency </w:t>
            </w:r>
            <w:r>
              <w:t xml:space="preserve">(applicable to Non-Standard Product </w:t>
            </w:r>
            <w:proofErr w:type="spellStart"/>
            <w:r>
              <w:t>Defintions</w:t>
            </w:r>
            <w:proofErr w:type="spellEnd"/>
            <w:r>
              <w:t>)</w:t>
            </w:r>
          </w:p>
        </w:tc>
        <w:tc>
          <w:tcPr>
            <w:tcW w:w="4394" w:type="dxa"/>
            <w:tcBorders>
              <w:top w:val="nil"/>
              <w:left w:val="single" w:sz="4" w:space="0" w:color="auto"/>
              <w:bottom w:val="single" w:sz="4" w:space="0" w:color="auto"/>
              <w:right w:val="single" w:sz="4" w:space="0" w:color="auto"/>
            </w:tcBorders>
            <w:shd w:val="clear" w:color="auto" w:fill="auto"/>
            <w:vAlign w:val="center"/>
          </w:tcPr>
          <w:p w14:paraId="70D450C4" w14:textId="77777777" w:rsidR="00AD5B3B" w:rsidRDefault="00AD5B3B" w:rsidP="00452B51">
            <w:r>
              <w:rPr>
                <w:rFonts w:ascii="Calibri" w:hAnsi="Calibri" w:cs="Calibri"/>
                <w:color w:val="000000"/>
              </w:rPr>
              <w:t>ISO 4217: 2015</w:t>
            </w:r>
          </w:p>
        </w:tc>
        <w:tc>
          <w:tcPr>
            <w:tcW w:w="2977" w:type="dxa"/>
            <w:tcBorders>
              <w:top w:val="nil"/>
              <w:left w:val="single" w:sz="4" w:space="0" w:color="auto"/>
              <w:bottom w:val="single" w:sz="4" w:space="0" w:color="auto"/>
              <w:right w:val="single" w:sz="4" w:space="0" w:color="auto"/>
            </w:tcBorders>
            <w:vAlign w:val="center"/>
          </w:tcPr>
          <w:p w14:paraId="1C2B6B23" w14:textId="77777777" w:rsidR="00AD5B3B" w:rsidRDefault="00AD5B3B" w:rsidP="00452B51">
            <w:r>
              <w:rPr>
                <w:rFonts w:ascii="Calibri" w:hAnsi="Calibri" w:cs="Calibri"/>
                <w:color w:val="000000"/>
              </w:rPr>
              <w:t>P</w:t>
            </w:r>
            <w:r w:rsidRPr="00E5395C">
              <w:rPr>
                <w:rFonts w:ascii="Calibri" w:hAnsi="Calibri" w:cs="Calibri"/>
                <w:color w:val="000000"/>
              </w:rPr>
              <w:t>attern: [A-</w:t>
            </w:r>
            <w:proofErr w:type="gramStart"/>
            <w:r w:rsidRPr="00E5395C">
              <w:rPr>
                <w:rFonts w:ascii="Calibri" w:hAnsi="Calibri" w:cs="Calibri"/>
                <w:color w:val="000000"/>
              </w:rPr>
              <w:t>Z]{</w:t>
            </w:r>
            <w:proofErr w:type="gramEnd"/>
            <w:r w:rsidRPr="00E5395C">
              <w:rPr>
                <w:rFonts w:ascii="Calibri" w:hAnsi="Calibri" w:cs="Calibri"/>
                <w:color w:val="000000"/>
              </w:rPr>
              <w:t>3,3}</w:t>
            </w:r>
          </w:p>
        </w:tc>
      </w:tr>
      <w:tr w:rsidR="00AD5B3B" w14:paraId="20CB266A" w14:textId="77777777" w:rsidTr="00452B51">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1E1EF982" w14:textId="77777777" w:rsidR="00AD5B3B" w:rsidRPr="00B16C8F" w:rsidRDefault="00AD5B3B" w:rsidP="00452B51">
            <w:r>
              <w:rPr>
                <w:rFonts w:ascii="Calibri" w:hAnsi="Calibri" w:cs="Calibri"/>
                <w:color w:val="000000"/>
              </w:rPr>
              <w:t>Sub product</w:t>
            </w:r>
          </w:p>
        </w:tc>
        <w:tc>
          <w:tcPr>
            <w:tcW w:w="4394" w:type="dxa"/>
            <w:tcBorders>
              <w:top w:val="nil"/>
              <w:left w:val="single" w:sz="4" w:space="0" w:color="auto"/>
              <w:bottom w:val="single" w:sz="4" w:space="0" w:color="auto"/>
              <w:right w:val="single" w:sz="4" w:space="0" w:color="auto"/>
            </w:tcBorders>
            <w:shd w:val="clear" w:color="auto" w:fill="auto"/>
            <w:vAlign w:val="center"/>
          </w:tcPr>
          <w:p w14:paraId="2556A0DB" w14:textId="77777777" w:rsidR="00AD5B3B" w:rsidRPr="00B16C8F" w:rsidRDefault="00903D74" w:rsidP="00452B51">
            <w:hyperlink r:id="rId31" w:anchor="/mx/DRAFT6auth.036.001.01#content%2FFinancialInstrument%2FNewRecord%2FDerivativeInstrumentAttributes%2FAssetClassSpecificAttributes%2FCommodity%2FProduct%2FAgricultural%2FGrainOilSeed%2FSubProduct" w:history="1">
              <w:r w:rsidR="00AD5B3B">
                <w:rPr>
                  <w:rStyle w:val="Hyperlink"/>
                  <w:rFonts w:ascii="Calibri" w:hAnsi="Calibri" w:cs="Calibri"/>
                </w:rPr>
                <w:t>https://www2.swift.com/mystandards/#/mx/DRAFT6auth.036.001.01#content%2FFinancialInstrument%2FNewRecord%2FDerivativeInstrumentAttributes%2FAssetClassSpecificAttributes%2FCommodity%2FProduct%2FAgricultural%2FGrainOilSeed%2FSubProduct</w:t>
              </w:r>
            </w:hyperlink>
          </w:p>
        </w:tc>
        <w:tc>
          <w:tcPr>
            <w:tcW w:w="2977" w:type="dxa"/>
            <w:tcBorders>
              <w:top w:val="nil"/>
              <w:left w:val="single" w:sz="4" w:space="0" w:color="auto"/>
              <w:bottom w:val="single" w:sz="4" w:space="0" w:color="auto"/>
              <w:right w:val="single" w:sz="4" w:space="0" w:color="auto"/>
            </w:tcBorders>
            <w:vAlign w:val="center"/>
          </w:tcPr>
          <w:p w14:paraId="0765C6FB" w14:textId="77777777" w:rsidR="00AD5B3B" w:rsidRDefault="00AD5B3B" w:rsidP="00452B51">
            <w:pPr>
              <w:ind w:right="31"/>
            </w:pPr>
            <w:r w:rsidRPr="002D5E02">
              <w:rPr>
                <w:rFonts w:cstheme="minorHAnsi"/>
                <w:color w:val="333333"/>
                <w:szCs w:val="20"/>
                <w:shd w:val="clear" w:color="auto" w:fill="FFFFFF"/>
              </w:rPr>
              <w:t>Max35Text (based on string)</w:t>
            </w:r>
            <w:r>
              <w:t xml:space="preserve"> </w:t>
            </w:r>
            <w:proofErr w:type="spellStart"/>
            <w:r>
              <w:t>minLength</w:t>
            </w:r>
            <w:proofErr w:type="spellEnd"/>
            <w:r>
              <w:t>: 1</w:t>
            </w:r>
          </w:p>
          <w:p w14:paraId="668F415B" w14:textId="77777777" w:rsidR="00AD5B3B" w:rsidRDefault="00AD5B3B" w:rsidP="00452B51">
            <w:proofErr w:type="spellStart"/>
            <w:r>
              <w:t>maxLength</w:t>
            </w:r>
            <w:proofErr w:type="spellEnd"/>
            <w:r>
              <w:t>: 35</w:t>
            </w:r>
          </w:p>
        </w:tc>
      </w:tr>
      <w:tr w:rsidR="00AD5B3B" w14:paraId="1B717C76"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2C8D68A1" w14:textId="77777777" w:rsidR="00AD5B3B" w:rsidRPr="00B16C8F" w:rsidRDefault="00AD5B3B" w:rsidP="00452B51">
            <w:r>
              <w:rPr>
                <w:rFonts w:ascii="Calibri" w:hAnsi="Calibri" w:cs="Calibri"/>
                <w:color w:val="000000"/>
              </w:rPr>
              <w:t>Transaction type</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47F3C433" w14:textId="77777777" w:rsidR="00AD5B3B" w:rsidRPr="00B16C8F" w:rsidRDefault="00903D74" w:rsidP="00452B51">
            <w:hyperlink r:id="rId32" w:anchor="/mx/DRAFT6auth.036.001.01#content%2FFinancialInstrument%2FNewRecord%2FDerivativeInstrumentAttributes%2FAssetClassSpecificAttributes%2FCommodity%2FTransactionType" w:history="1">
              <w:r w:rsidR="00AD5B3B">
                <w:rPr>
                  <w:rStyle w:val="Hyperlink"/>
                  <w:rFonts w:ascii="Calibri" w:hAnsi="Calibri" w:cs="Calibri"/>
                </w:rPr>
                <w:t>https://www2.swift.com/mystandards/#/mx/DRAFT6auth.036.001.01#content%2FFinancialInstrument%2FNewRecord%2FDerivativeInstr</w:t>
              </w:r>
              <w:r w:rsidR="00AD5B3B">
                <w:rPr>
                  <w:rStyle w:val="Hyperlink"/>
                  <w:rFonts w:ascii="Calibri" w:hAnsi="Calibri" w:cs="Calibri"/>
                </w:rPr>
                <w:lastRenderedPageBreak/>
                <w:t>umentAttributes%2FAssetClassSpecificAttributes%2FCommodity%2FTransactionType</w:t>
              </w:r>
            </w:hyperlink>
          </w:p>
        </w:tc>
        <w:tc>
          <w:tcPr>
            <w:tcW w:w="2977" w:type="dxa"/>
            <w:tcBorders>
              <w:top w:val="single" w:sz="4" w:space="0" w:color="auto"/>
              <w:left w:val="single" w:sz="4" w:space="0" w:color="auto"/>
              <w:bottom w:val="single" w:sz="4" w:space="0" w:color="auto"/>
              <w:right w:val="single" w:sz="4" w:space="0" w:color="auto"/>
            </w:tcBorders>
            <w:vAlign w:val="center"/>
          </w:tcPr>
          <w:p w14:paraId="6DBABEF4" w14:textId="77777777" w:rsidR="00AD5B3B" w:rsidRDefault="00AD5B3B" w:rsidP="00452B51">
            <w:pPr>
              <w:ind w:right="31"/>
            </w:pPr>
            <w:r w:rsidRPr="002D5E02">
              <w:rPr>
                <w:rFonts w:cstheme="minorHAnsi"/>
                <w:color w:val="333333"/>
                <w:szCs w:val="20"/>
                <w:shd w:val="clear" w:color="auto" w:fill="FFFFFF"/>
              </w:rPr>
              <w:lastRenderedPageBreak/>
              <w:t>Max35Text (based on string)</w:t>
            </w:r>
            <w:r>
              <w:t xml:space="preserve"> </w:t>
            </w:r>
            <w:proofErr w:type="spellStart"/>
            <w:r>
              <w:t>minLength</w:t>
            </w:r>
            <w:proofErr w:type="spellEnd"/>
            <w:r>
              <w:t>: 1</w:t>
            </w:r>
          </w:p>
          <w:p w14:paraId="303C7C18" w14:textId="77777777" w:rsidR="00AD5B3B" w:rsidRDefault="00AD5B3B" w:rsidP="00452B51">
            <w:proofErr w:type="spellStart"/>
            <w:r>
              <w:t>maxLength</w:t>
            </w:r>
            <w:proofErr w:type="spellEnd"/>
            <w:r>
              <w:t>: 35</w:t>
            </w:r>
          </w:p>
        </w:tc>
      </w:tr>
      <w:tr w:rsidR="00AD5B3B" w14:paraId="75A83BE6" w14:textId="77777777" w:rsidTr="00452B51">
        <w:trPr>
          <w:jc w:val="center"/>
        </w:trPr>
        <w:tc>
          <w:tcPr>
            <w:tcW w:w="3114" w:type="dxa"/>
            <w:tcBorders>
              <w:bottom w:val="single" w:sz="4" w:space="0" w:color="auto"/>
            </w:tcBorders>
            <w:vAlign w:val="center"/>
          </w:tcPr>
          <w:p w14:paraId="6BC0893D" w14:textId="77777777" w:rsidR="00AD5B3B" w:rsidRPr="00B16C8F" w:rsidRDefault="00AD5B3B" w:rsidP="00452B51">
            <w:r>
              <w:t>Underlying Asset Type</w:t>
            </w:r>
          </w:p>
        </w:tc>
        <w:tc>
          <w:tcPr>
            <w:tcW w:w="4394" w:type="dxa"/>
            <w:tcBorders>
              <w:bottom w:val="single" w:sz="4" w:space="0" w:color="auto"/>
            </w:tcBorders>
            <w:vAlign w:val="center"/>
          </w:tcPr>
          <w:p w14:paraId="545DE936" w14:textId="77777777" w:rsidR="00AD5B3B" w:rsidRPr="00B16C8F" w:rsidRDefault="00AD5B3B" w:rsidP="00452B51">
            <w:r>
              <w:t>CFI Code (</w:t>
            </w:r>
            <w:r w:rsidRPr="00B6533D">
              <w:t>ISO 10962: 2015</w:t>
            </w:r>
            <w:r>
              <w:t>)</w:t>
            </w:r>
            <w:r w:rsidRPr="00B6533D">
              <w:t xml:space="preserve"> Character #3</w:t>
            </w:r>
          </w:p>
        </w:tc>
        <w:tc>
          <w:tcPr>
            <w:tcW w:w="2977" w:type="dxa"/>
            <w:tcBorders>
              <w:bottom w:val="single" w:sz="4" w:space="0" w:color="auto"/>
            </w:tcBorders>
            <w:vAlign w:val="center"/>
          </w:tcPr>
          <w:p w14:paraId="31C8A6CB" w14:textId="77777777" w:rsidR="00AD5B3B" w:rsidRDefault="00AD5B3B" w:rsidP="00452B51">
            <w:pPr>
              <w:ind w:right="31"/>
            </w:pPr>
            <w:r w:rsidRPr="002D5E02">
              <w:rPr>
                <w:rFonts w:cstheme="minorHAnsi"/>
                <w:color w:val="333333"/>
                <w:szCs w:val="20"/>
                <w:shd w:val="clear" w:color="auto" w:fill="FFFFFF"/>
              </w:rPr>
              <w:t>Max35Text (based on string)</w:t>
            </w:r>
            <w:r>
              <w:t xml:space="preserve"> </w:t>
            </w:r>
            <w:proofErr w:type="spellStart"/>
            <w:r>
              <w:t>minLength</w:t>
            </w:r>
            <w:proofErr w:type="spellEnd"/>
            <w:r>
              <w:t>: 1</w:t>
            </w:r>
          </w:p>
          <w:p w14:paraId="79B37BFB" w14:textId="77777777" w:rsidR="00AD5B3B" w:rsidRDefault="00AD5B3B" w:rsidP="00452B51">
            <w:proofErr w:type="spellStart"/>
            <w:r>
              <w:t>maxLength</w:t>
            </w:r>
            <w:proofErr w:type="spellEnd"/>
            <w:r>
              <w:t>: 35</w:t>
            </w:r>
          </w:p>
        </w:tc>
      </w:tr>
      <w:tr w:rsidR="00AD5B3B" w14:paraId="03F3E636"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520EE02A" w14:textId="77777777" w:rsidR="00AD5B3B" w:rsidRPr="00B16C8F" w:rsidRDefault="00AD5B3B" w:rsidP="00452B51">
            <w:r>
              <w:rPr>
                <w:rFonts w:ascii="Calibri" w:hAnsi="Calibri" w:cs="Calibri"/>
                <w:color w:val="000000"/>
              </w:rPr>
              <w:t>Underlying credit index series (RTS2 Annex IV Field 35)</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1FBA7D9B" w14:textId="77777777" w:rsidR="00AD5B3B" w:rsidRPr="00B16C8F" w:rsidRDefault="00AD5B3B" w:rsidP="00452B51">
            <w:r>
              <w:rPr>
                <w:rFonts w:ascii="Calibri" w:hAnsi="Calibri" w:cs="Calibri"/>
                <w:color w:val="000000"/>
              </w:rPr>
              <w:t>Positive Integer – 1 to 999</w:t>
            </w:r>
          </w:p>
        </w:tc>
        <w:tc>
          <w:tcPr>
            <w:tcW w:w="2977" w:type="dxa"/>
            <w:tcBorders>
              <w:top w:val="single" w:sz="4" w:space="0" w:color="auto"/>
              <w:left w:val="single" w:sz="4" w:space="0" w:color="auto"/>
              <w:bottom w:val="single" w:sz="4" w:space="0" w:color="auto"/>
              <w:right w:val="single" w:sz="4" w:space="0" w:color="auto"/>
            </w:tcBorders>
            <w:vAlign w:val="center"/>
          </w:tcPr>
          <w:p w14:paraId="50716EB0" w14:textId="77777777" w:rsidR="00AD5B3B" w:rsidRDefault="00AD5B3B" w:rsidP="00452B51">
            <w:pPr>
              <w:rPr>
                <w:rFonts w:ascii="Calibri" w:hAnsi="Calibri" w:cs="Calibri"/>
                <w:color w:val="000000"/>
              </w:rPr>
            </w:pPr>
            <w:r>
              <w:rPr>
                <w:rFonts w:ascii="Calibri" w:hAnsi="Calibri" w:cs="Calibri"/>
                <w:color w:val="000000"/>
              </w:rPr>
              <w:t>Max3Number</w:t>
            </w:r>
            <w:r w:rsidRPr="006409AF">
              <w:rPr>
                <w:rFonts w:ascii="Calibri" w:hAnsi="Calibri" w:cs="Calibri"/>
                <w:color w:val="000000"/>
              </w:rPr>
              <w:t xml:space="preserve"> </w:t>
            </w:r>
          </w:p>
          <w:p w14:paraId="2AB02570" w14:textId="77777777" w:rsidR="00AD5B3B" w:rsidRPr="006409AF" w:rsidRDefault="00AD5B3B" w:rsidP="00452B51">
            <w:pPr>
              <w:rPr>
                <w:rFonts w:ascii="Calibri" w:hAnsi="Calibri" w:cs="Calibri"/>
                <w:color w:val="000000"/>
              </w:rPr>
            </w:pPr>
            <w:proofErr w:type="spellStart"/>
            <w:r w:rsidRPr="006409AF">
              <w:rPr>
                <w:rFonts w:ascii="Calibri" w:hAnsi="Calibri" w:cs="Calibri"/>
                <w:color w:val="000000"/>
              </w:rPr>
              <w:t>fractionDigits</w:t>
            </w:r>
            <w:proofErr w:type="spellEnd"/>
            <w:r w:rsidRPr="006409AF">
              <w:rPr>
                <w:rFonts w:ascii="Calibri" w:hAnsi="Calibri" w:cs="Calibri"/>
                <w:color w:val="000000"/>
              </w:rPr>
              <w:t>: 0</w:t>
            </w:r>
          </w:p>
          <w:p w14:paraId="429908D0" w14:textId="77777777" w:rsidR="00AD5B3B" w:rsidRDefault="00AD5B3B" w:rsidP="00452B51">
            <w:pPr>
              <w:rPr>
                <w:rFonts w:ascii="Calibri" w:hAnsi="Calibri" w:cs="Calibri"/>
                <w:color w:val="000000"/>
              </w:rPr>
            </w:pPr>
            <w:proofErr w:type="spellStart"/>
            <w:r w:rsidRPr="006409AF">
              <w:rPr>
                <w:rFonts w:ascii="Calibri" w:hAnsi="Calibri" w:cs="Calibri"/>
                <w:color w:val="000000"/>
              </w:rPr>
              <w:t>totalDigits</w:t>
            </w:r>
            <w:proofErr w:type="spellEnd"/>
            <w:r w:rsidRPr="006409AF">
              <w:rPr>
                <w:rFonts w:ascii="Calibri" w:hAnsi="Calibri" w:cs="Calibri"/>
                <w:color w:val="000000"/>
              </w:rPr>
              <w:t>: 3</w:t>
            </w:r>
          </w:p>
        </w:tc>
      </w:tr>
      <w:tr w:rsidR="00AD5B3B" w14:paraId="0243D87B"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3ED36681" w14:textId="77777777" w:rsidR="00AD5B3B" w:rsidRPr="00B16C8F" w:rsidRDefault="00AD5B3B" w:rsidP="00452B51">
            <w:r>
              <w:rPr>
                <w:rFonts w:ascii="Calibri" w:hAnsi="Calibri" w:cs="Calibri"/>
                <w:color w:val="000000"/>
              </w:rPr>
              <w:t>Underlying credit index version (RTS2 Annex IV Field 36)</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4F10483E" w14:textId="77777777" w:rsidR="00AD5B3B" w:rsidRPr="00B16C8F" w:rsidRDefault="00AD5B3B" w:rsidP="00452B51">
            <w:r>
              <w:rPr>
                <w:rFonts w:ascii="Calibri" w:hAnsi="Calibri" w:cs="Calibri"/>
                <w:color w:val="000000"/>
              </w:rPr>
              <w:t>Positive Integer – 1 to 999</w:t>
            </w:r>
          </w:p>
        </w:tc>
        <w:tc>
          <w:tcPr>
            <w:tcW w:w="2977" w:type="dxa"/>
            <w:tcBorders>
              <w:top w:val="single" w:sz="4" w:space="0" w:color="auto"/>
              <w:left w:val="single" w:sz="4" w:space="0" w:color="auto"/>
              <w:bottom w:val="single" w:sz="4" w:space="0" w:color="auto"/>
              <w:right w:val="single" w:sz="4" w:space="0" w:color="auto"/>
            </w:tcBorders>
            <w:vAlign w:val="center"/>
          </w:tcPr>
          <w:p w14:paraId="3EB04326" w14:textId="77777777" w:rsidR="00AD5B3B" w:rsidRDefault="00AD5B3B" w:rsidP="00452B51">
            <w:pPr>
              <w:rPr>
                <w:rFonts w:ascii="Calibri" w:hAnsi="Calibri" w:cs="Calibri"/>
                <w:color w:val="000000"/>
              </w:rPr>
            </w:pPr>
            <w:r>
              <w:rPr>
                <w:rFonts w:ascii="Calibri" w:hAnsi="Calibri" w:cs="Calibri"/>
                <w:color w:val="000000"/>
              </w:rPr>
              <w:t>Max3Number</w:t>
            </w:r>
          </w:p>
          <w:p w14:paraId="0B0CCD5E" w14:textId="77777777" w:rsidR="00AD5B3B" w:rsidRPr="006409AF" w:rsidRDefault="00AD5B3B" w:rsidP="00452B51">
            <w:pPr>
              <w:rPr>
                <w:rFonts w:ascii="Calibri" w:hAnsi="Calibri" w:cs="Calibri"/>
                <w:color w:val="000000"/>
              </w:rPr>
            </w:pPr>
            <w:proofErr w:type="spellStart"/>
            <w:r w:rsidRPr="006409AF">
              <w:rPr>
                <w:rFonts w:ascii="Calibri" w:hAnsi="Calibri" w:cs="Calibri"/>
                <w:color w:val="000000"/>
              </w:rPr>
              <w:t>fractionDigits</w:t>
            </w:r>
            <w:proofErr w:type="spellEnd"/>
            <w:r w:rsidRPr="006409AF">
              <w:rPr>
                <w:rFonts w:ascii="Calibri" w:hAnsi="Calibri" w:cs="Calibri"/>
                <w:color w:val="000000"/>
              </w:rPr>
              <w:t>: 0</w:t>
            </w:r>
          </w:p>
          <w:p w14:paraId="052F4A59" w14:textId="77777777" w:rsidR="00AD5B3B" w:rsidRDefault="00AD5B3B" w:rsidP="00452B51">
            <w:pPr>
              <w:rPr>
                <w:rFonts w:ascii="Calibri" w:hAnsi="Calibri" w:cs="Calibri"/>
                <w:color w:val="000000"/>
              </w:rPr>
            </w:pPr>
            <w:proofErr w:type="spellStart"/>
            <w:r w:rsidRPr="006409AF">
              <w:rPr>
                <w:rFonts w:ascii="Calibri" w:hAnsi="Calibri" w:cs="Calibri"/>
                <w:color w:val="000000"/>
              </w:rPr>
              <w:t>totalDigits</w:t>
            </w:r>
            <w:proofErr w:type="spellEnd"/>
            <w:r w:rsidRPr="006409AF">
              <w:rPr>
                <w:rFonts w:ascii="Calibri" w:hAnsi="Calibri" w:cs="Calibri"/>
                <w:color w:val="000000"/>
              </w:rPr>
              <w:t>: 3</w:t>
            </w:r>
          </w:p>
        </w:tc>
      </w:tr>
      <w:tr w:rsidR="00AD5B3B" w14:paraId="1964577B" w14:textId="77777777" w:rsidTr="00452B51">
        <w:trPr>
          <w:jc w:val="center"/>
        </w:trPr>
        <w:tc>
          <w:tcPr>
            <w:tcW w:w="3114" w:type="dxa"/>
            <w:vAlign w:val="center"/>
          </w:tcPr>
          <w:p w14:paraId="7FD4973C" w14:textId="77777777" w:rsidR="00AD5B3B" w:rsidRPr="00B16C8F" w:rsidRDefault="00AD5B3B" w:rsidP="00452B51">
            <w:r>
              <w:t>Underlying Instrument Index</w:t>
            </w:r>
          </w:p>
        </w:tc>
        <w:tc>
          <w:tcPr>
            <w:tcW w:w="4394" w:type="dxa"/>
            <w:vAlign w:val="center"/>
          </w:tcPr>
          <w:p w14:paraId="19BACD9D" w14:textId="6FF2ABEE" w:rsidR="00AD5B3B" w:rsidRDefault="00AD5B3B" w:rsidP="00452B51">
            <w:pPr>
              <w:rPr>
                <w:rStyle w:val="Hyperlink"/>
              </w:rPr>
            </w:pPr>
            <w:r w:rsidRPr="00460188">
              <w:rPr>
                <w:b/>
              </w:rPr>
              <w:t>Rates:</w:t>
            </w:r>
            <w:r>
              <w:t xml:space="preserve"> </w:t>
            </w:r>
            <w:hyperlink r:id="rId33" w:history="1">
              <w:r w:rsidR="007C3C00" w:rsidRPr="00930265">
                <w:rPr>
                  <w:rStyle w:val="Hyperlink"/>
                  <w:rFonts w:ascii="Calibri" w:eastAsia="Times New Roman" w:hAnsi="Calibri" w:cs="Times New Roman"/>
                  <w:lang w:eastAsia="en-GB"/>
                </w:rPr>
                <w:t>http://www.fpml.org/spec/coding-scheme/fpml-schemes.html#s5.95</w:t>
              </w:r>
            </w:hyperlink>
          </w:p>
          <w:p w14:paraId="2E6ED155" w14:textId="1FFF2341" w:rsidR="00AD5B3B" w:rsidRDefault="00AD5B3B" w:rsidP="00452B51">
            <w:pPr>
              <w:rPr>
                <w:rStyle w:val="Hyperlink"/>
                <w:color w:val="auto"/>
                <w:u w:val="none"/>
              </w:rPr>
            </w:pPr>
            <w:r w:rsidRPr="00460188">
              <w:rPr>
                <w:rStyle w:val="Hyperlink"/>
                <w:b/>
                <w:color w:val="auto"/>
                <w:u w:val="none"/>
              </w:rPr>
              <w:t>Rates CPI:</w:t>
            </w:r>
            <w:r>
              <w:rPr>
                <w:rStyle w:val="Hyperlink"/>
                <w:color w:val="auto"/>
                <w:u w:val="none"/>
              </w:rPr>
              <w:t xml:space="preserve"> </w:t>
            </w:r>
            <w:hyperlink r:id="rId34" w:anchor="s5.105" w:history="1">
              <w:r w:rsidR="007C3C00" w:rsidRPr="00284B6A">
                <w:rPr>
                  <w:rStyle w:val="Hyperlink"/>
                </w:rPr>
                <w:t>http://www.fpml.org/spec/coding-scheme/fpml-schemes.html#s5.105</w:t>
              </w:r>
            </w:hyperlink>
          </w:p>
          <w:p w14:paraId="6C6186CA" w14:textId="77777777" w:rsidR="00AD5B3B" w:rsidRDefault="00AD5B3B" w:rsidP="00452B51">
            <w:pPr>
              <w:rPr>
                <w:rStyle w:val="Hyperlink"/>
                <w:color w:val="auto"/>
                <w:u w:val="none"/>
              </w:rPr>
            </w:pPr>
            <w:r w:rsidRPr="00460188">
              <w:rPr>
                <w:rStyle w:val="Hyperlink"/>
                <w:b/>
                <w:color w:val="auto"/>
                <w:u w:val="none"/>
              </w:rPr>
              <w:t>Credit:</w:t>
            </w:r>
            <w:r>
              <w:rPr>
                <w:rStyle w:val="Hyperlink"/>
                <w:color w:val="auto"/>
                <w:u w:val="none"/>
              </w:rPr>
              <w:t xml:space="preserve"> </w:t>
            </w:r>
            <w:proofErr w:type="spellStart"/>
            <w:r>
              <w:rPr>
                <w:rStyle w:val="Hyperlink"/>
                <w:color w:val="auto"/>
                <w:u w:val="none"/>
              </w:rPr>
              <w:t>Markit</w:t>
            </w:r>
            <w:proofErr w:type="spellEnd"/>
            <w:r>
              <w:rPr>
                <w:rStyle w:val="Hyperlink"/>
                <w:color w:val="auto"/>
                <w:u w:val="none"/>
              </w:rPr>
              <w:t xml:space="preserve"> Index legal long name</w:t>
            </w:r>
          </w:p>
          <w:p w14:paraId="747CD636" w14:textId="77777777" w:rsidR="00AD5B3B" w:rsidRDefault="00AD5B3B" w:rsidP="00452B51">
            <w:pPr>
              <w:rPr>
                <w:rStyle w:val="Hyperlink"/>
                <w:color w:val="auto"/>
                <w:u w:val="none"/>
              </w:rPr>
            </w:pPr>
            <w:r w:rsidRPr="00460188">
              <w:rPr>
                <w:rStyle w:val="Hyperlink"/>
                <w:b/>
                <w:color w:val="auto"/>
                <w:u w:val="none"/>
              </w:rPr>
              <w:t>Equities:</w:t>
            </w:r>
            <w:r>
              <w:rPr>
                <w:rStyle w:val="Hyperlink"/>
                <w:color w:val="auto"/>
                <w:u w:val="none"/>
              </w:rPr>
              <w:t xml:space="preserve"> ESMA TTC Dataset</w:t>
            </w:r>
          </w:p>
          <w:p w14:paraId="7432C5EF" w14:textId="77777777" w:rsidR="00AD5B3B" w:rsidRPr="00AD09F2" w:rsidRDefault="00AD5B3B" w:rsidP="00452B51">
            <w:r w:rsidRPr="00460188">
              <w:rPr>
                <w:rStyle w:val="Hyperlink"/>
                <w:b/>
                <w:color w:val="auto"/>
                <w:u w:val="none"/>
              </w:rPr>
              <w:t>Commodities:</w:t>
            </w:r>
            <w:r>
              <w:rPr>
                <w:rStyle w:val="Hyperlink"/>
                <w:color w:val="auto"/>
                <w:u w:val="none"/>
              </w:rPr>
              <w:t xml:space="preserve"> Standard Market Indices</w:t>
            </w:r>
          </w:p>
        </w:tc>
        <w:tc>
          <w:tcPr>
            <w:tcW w:w="2977" w:type="dxa"/>
            <w:vAlign w:val="center"/>
          </w:tcPr>
          <w:p w14:paraId="5AE04674" w14:textId="77777777" w:rsidR="00AD5B3B" w:rsidRDefault="00AD5B3B" w:rsidP="00452B51">
            <w:pPr>
              <w:ind w:right="31"/>
            </w:pPr>
            <w:r w:rsidRPr="002D5E02">
              <w:rPr>
                <w:rFonts w:cstheme="minorHAnsi"/>
                <w:color w:val="333333"/>
                <w:szCs w:val="20"/>
                <w:shd w:val="clear" w:color="auto" w:fill="FFFFFF"/>
              </w:rPr>
              <w:t>Max35</w:t>
            </w:r>
            <w:r>
              <w:rPr>
                <w:rFonts w:cstheme="minorHAnsi"/>
                <w:color w:val="333333"/>
                <w:szCs w:val="20"/>
                <w:shd w:val="clear" w:color="auto" w:fill="FFFFFF"/>
              </w:rPr>
              <w:t>0</w:t>
            </w:r>
            <w:r w:rsidRPr="002D5E02">
              <w:rPr>
                <w:rFonts w:cstheme="minorHAnsi"/>
                <w:color w:val="333333"/>
                <w:szCs w:val="20"/>
                <w:shd w:val="clear" w:color="auto" w:fill="FFFFFF"/>
              </w:rPr>
              <w:t>Text (based on string)</w:t>
            </w:r>
            <w:r>
              <w:t xml:space="preserve"> </w:t>
            </w:r>
            <w:proofErr w:type="spellStart"/>
            <w:r>
              <w:t>minLength</w:t>
            </w:r>
            <w:proofErr w:type="spellEnd"/>
            <w:r>
              <w:t>: 1</w:t>
            </w:r>
          </w:p>
          <w:p w14:paraId="68FBA7E1" w14:textId="77777777" w:rsidR="00AD5B3B" w:rsidRPr="00460188" w:rsidRDefault="00AD5B3B" w:rsidP="00452B51">
            <w:pPr>
              <w:rPr>
                <w:b/>
              </w:rPr>
            </w:pPr>
            <w:proofErr w:type="spellStart"/>
            <w:r>
              <w:t>maxLength</w:t>
            </w:r>
            <w:proofErr w:type="spellEnd"/>
            <w:r>
              <w:t>: 350</w:t>
            </w:r>
          </w:p>
        </w:tc>
      </w:tr>
      <w:tr w:rsidR="00AD5B3B" w14:paraId="43A498EF" w14:textId="77777777" w:rsidTr="00452B51">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397CBD03" w14:textId="77777777" w:rsidR="00AD5B3B" w:rsidRPr="00C531AA" w:rsidRDefault="00AD5B3B" w:rsidP="00452B51">
            <w:pPr>
              <w:rPr>
                <w:rFonts w:ascii="Calibri" w:hAnsi="Calibri" w:cs="Calibri"/>
                <w:color w:val="000000"/>
              </w:rPr>
            </w:pPr>
            <w:r>
              <w:rPr>
                <w:rFonts w:ascii="Calibri" w:hAnsi="Calibri" w:cs="Calibri"/>
                <w:color w:val="000000"/>
              </w:rPr>
              <w:t>Underlying Instrument Index Term Unit</w:t>
            </w:r>
          </w:p>
        </w:tc>
        <w:tc>
          <w:tcPr>
            <w:tcW w:w="4394" w:type="dxa"/>
            <w:tcBorders>
              <w:top w:val="nil"/>
              <w:left w:val="nil"/>
              <w:bottom w:val="single" w:sz="4" w:space="0" w:color="auto"/>
              <w:right w:val="single" w:sz="4" w:space="0" w:color="auto"/>
            </w:tcBorders>
            <w:shd w:val="clear" w:color="auto" w:fill="auto"/>
            <w:vAlign w:val="center"/>
          </w:tcPr>
          <w:p w14:paraId="016BDFD4" w14:textId="77777777" w:rsidR="00AD5B3B" w:rsidRPr="00B16C8F" w:rsidRDefault="00903D74" w:rsidP="00452B51">
            <w:hyperlink r:id="rId35" w:anchor="/mx/DRAFT6auth.036.001.01" w:history="1">
              <w:r w:rsidR="00AD5B3B" w:rsidRPr="0064679E">
                <w:rPr>
                  <w:rStyle w:val="Hyperlink"/>
                </w:rPr>
                <w:t>https://www2.swift.com/mystandards/#/mx/DRAFT6auth.036.001.01#content%2FFinancialInstrument%2FNewRecord%2FDerivativeInstrumentAttributes%2FUnderlyingInstrument%2FSingle%2FIndex%2FName%2FTerm%2FUnit</w:t>
              </w:r>
            </w:hyperlink>
          </w:p>
        </w:tc>
        <w:tc>
          <w:tcPr>
            <w:tcW w:w="2977" w:type="dxa"/>
            <w:tcBorders>
              <w:top w:val="nil"/>
              <w:left w:val="nil"/>
              <w:bottom w:val="single" w:sz="4" w:space="0" w:color="auto"/>
              <w:right w:val="single" w:sz="4" w:space="0" w:color="auto"/>
            </w:tcBorders>
            <w:vAlign w:val="center"/>
          </w:tcPr>
          <w:p w14:paraId="22768349" w14:textId="77777777" w:rsidR="00AD5B3B" w:rsidRDefault="00AD5B3B" w:rsidP="00452B51">
            <w:pPr>
              <w:ind w:right="31"/>
            </w:pPr>
            <w:r w:rsidRPr="002D5E02">
              <w:rPr>
                <w:rFonts w:cstheme="minorHAnsi"/>
                <w:color w:val="333333"/>
                <w:szCs w:val="20"/>
                <w:shd w:val="clear" w:color="auto" w:fill="FFFFFF"/>
              </w:rPr>
              <w:t>Max35Text (based on string)</w:t>
            </w:r>
            <w:r>
              <w:t xml:space="preserve"> </w:t>
            </w:r>
            <w:proofErr w:type="spellStart"/>
            <w:r>
              <w:t>minLength</w:t>
            </w:r>
            <w:proofErr w:type="spellEnd"/>
            <w:r>
              <w:t>: 1</w:t>
            </w:r>
          </w:p>
          <w:p w14:paraId="379754FF" w14:textId="77777777" w:rsidR="00AD5B3B" w:rsidRDefault="00AD5B3B" w:rsidP="00452B51">
            <w:proofErr w:type="spellStart"/>
            <w:r>
              <w:t>maxLength</w:t>
            </w:r>
            <w:proofErr w:type="spellEnd"/>
            <w:r>
              <w:t>: 35</w:t>
            </w:r>
          </w:p>
        </w:tc>
      </w:tr>
      <w:tr w:rsidR="00AD5B3B" w14:paraId="1A7072CE"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shd w:val="clear" w:color="auto" w:fill="auto"/>
            <w:vAlign w:val="center"/>
          </w:tcPr>
          <w:p w14:paraId="1C8BE656" w14:textId="77777777" w:rsidR="00AD5B3B" w:rsidRPr="00B16C8F" w:rsidRDefault="00AD5B3B" w:rsidP="00452B51">
            <w:r>
              <w:rPr>
                <w:rFonts w:ascii="Calibri" w:hAnsi="Calibri" w:cs="Calibri"/>
                <w:color w:val="000000"/>
              </w:rPr>
              <w:t>Underlying Instrument Index Term Value</w:t>
            </w:r>
          </w:p>
        </w:tc>
        <w:tc>
          <w:tcPr>
            <w:tcW w:w="4394" w:type="dxa"/>
            <w:tcBorders>
              <w:top w:val="single" w:sz="4" w:space="0" w:color="auto"/>
              <w:left w:val="nil"/>
              <w:bottom w:val="single" w:sz="4" w:space="0" w:color="auto"/>
              <w:right w:val="single" w:sz="4" w:space="0" w:color="auto"/>
            </w:tcBorders>
            <w:shd w:val="clear" w:color="auto" w:fill="auto"/>
            <w:vAlign w:val="center"/>
          </w:tcPr>
          <w:p w14:paraId="3E103F18" w14:textId="77777777" w:rsidR="00AD5B3B" w:rsidRPr="00B16C8F" w:rsidRDefault="00AD5B3B" w:rsidP="00452B51">
            <w:r>
              <w:rPr>
                <w:rFonts w:ascii="Calibri" w:hAnsi="Calibri" w:cs="Calibri"/>
                <w:color w:val="000000"/>
              </w:rPr>
              <w:t>Integer – Positive or negative but not 0</w:t>
            </w:r>
          </w:p>
        </w:tc>
        <w:tc>
          <w:tcPr>
            <w:tcW w:w="2977" w:type="dxa"/>
            <w:tcBorders>
              <w:top w:val="single" w:sz="4" w:space="0" w:color="auto"/>
              <w:left w:val="nil"/>
              <w:bottom w:val="single" w:sz="4" w:space="0" w:color="auto"/>
              <w:right w:val="single" w:sz="4" w:space="0" w:color="auto"/>
            </w:tcBorders>
            <w:vAlign w:val="center"/>
          </w:tcPr>
          <w:p w14:paraId="10514AFF" w14:textId="77777777" w:rsidR="00AD5B3B" w:rsidRDefault="00AD5B3B" w:rsidP="00452B51">
            <w:pPr>
              <w:rPr>
                <w:rFonts w:ascii="Calibri" w:hAnsi="Calibri" w:cs="Calibri"/>
                <w:color w:val="000000"/>
              </w:rPr>
            </w:pPr>
            <w:r w:rsidRPr="00492E31">
              <w:rPr>
                <w:rFonts w:ascii="Calibri" w:hAnsi="Calibri" w:cs="Calibri"/>
                <w:color w:val="000000"/>
              </w:rPr>
              <w:t>Max3Number (based on decimal)</w:t>
            </w:r>
          </w:p>
          <w:p w14:paraId="19B6D2DC" w14:textId="77777777" w:rsidR="00AD5B3B" w:rsidRPr="006409AF" w:rsidRDefault="00AD5B3B" w:rsidP="00452B51">
            <w:pPr>
              <w:rPr>
                <w:rFonts w:ascii="Calibri" w:hAnsi="Calibri" w:cs="Calibri"/>
                <w:color w:val="000000"/>
              </w:rPr>
            </w:pPr>
            <w:proofErr w:type="spellStart"/>
            <w:r w:rsidRPr="006409AF">
              <w:rPr>
                <w:rFonts w:ascii="Calibri" w:hAnsi="Calibri" w:cs="Calibri"/>
                <w:color w:val="000000"/>
              </w:rPr>
              <w:t>fractionDigits</w:t>
            </w:r>
            <w:proofErr w:type="spellEnd"/>
            <w:r w:rsidRPr="006409AF">
              <w:rPr>
                <w:rFonts w:ascii="Calibri" w:hAnsi="Calibri" w:cs="Calibri"/>
                <w:color w:val="000000"/>
              </w:rPr>
              <w:t>: 0</w:t>
            </w:r>
          </w:p>
          <w:p w14:paraId="15C3FA92" w14:textId="77777777" w:rsidR="00AD5B3B" w:rsidRDefault="00AD5B3B" w:rsidP="00452B51">
            <w:pPr>
              <w:rPr>
                <w:rFonts w:ascii="Calibri" w:hAnsi="Calibri" w:cs="Calibri"/>
                <w:color w:val="000000"/>
              </w:rPr>
            </w:pPr>
            <w:proofErr w:type="spellStart"/>
            <w:r w:rsidRPr="006409AF">
              <w:rPr>
                <w:rFonts w:ascii="Calibri" w:hAnsi="Calibri" w:cs="Calibri"/>
                <w:color w:val="000000"/>
              </w:rPr>
              <w:t>totalDigits</w:t>
            </w:r>
            <w:proofErr w:type="spellEnd"/>
            <w:r w:rsidRPr="006409AF">
              <w:rPr>
                <w:rFonts w:ascii="Calibri" w:hAnsi="Calibri" w:cs="Calibri"/>
                <w:color w:val="000000"/>
              </w:rPr>
              <w:t>: 3</w:t>
            </w:r>
          </w:p>
        </w:tc>
      </w:tr>
      <w:tr w:rsidR="00AD5B3B" w14:paraId="5E876C3F" w14:textId="77777777" w:rsidTr="00452B51">
        <w:trPr>
          <w:jc w:val="center"/>
        </w:trPr>
        <w:tc>
          <w:tcPr>
            <w:tcW w:w="3114" w:type="dxa"/>
            <w:vAlign w:val="center"/>
          </w:tcPr>
          <w:p w14:paraId="66F1126A" w14:textId="77777777" w:rsidR="00AD5B3B" w:rsidRPr="00B16C8F" w:rsidRDefault="00AD5B3B" w:rsidP="00452B51">
            <w:r>
              <w:t>Underlying instrument ISIN</w:t>
            </w:r>
          </w:p>
        </w:tc>
        <w:tc>
          <w:tcPr>
            <w:tcW w:w="4394" w:type="dxa"/>
            <w:vAlign w:val="center"/>
          </w:tcPr>
          <w:p w14:paraId="495C5495" w14:textId="77777777" w:rsidR="00AD5B3B" w:rsidRDefault="00AD5B3B" w:rsidP="00452B51">
            <w:pPr>
              <w:rPr>
                <w:rFonts w:ascii="Calibri" w:hAnsi="Calibri" w:cs="Calibri"/>
                <w:color w:val="000000"/>
              </w:rPr>
            </w:pPr>
            <w:r>
              <w:rPr>
                <w:rFonts w:ascii="Calibri" w:hAnsi="Calibri" w:cs="Calibri"/>
                <w:color w:val="000000"/>
              </w:rPr>
              <w:t>ISO 6166: 2013</w:t>
            </w:r>
          </w:p>
          <w:p w14:paraId="7625BD6E" w14:textId="77777777" w:rsidR="00AD5B3B" w:rsidRDefault="00AD5B3B" w:rsidP="00452B51">
            <w:pPr>
              <w:rPr>
                <w:rFonts w:ascii="Calibri" w:hAnsi="Calibri" w:cs="Calibri"/>
                <w:color w:val="000000"/>
              </w:rPr>
            </w:pPr>
            <w:r>
              <w:rPr>
                <w:rFonts w:ascii="Calibri" w:hAnsi="Calibri" w:cs="Calibri"/>
                <w:color w:val="000000"/>
              </w:rPr>
              <w:t>Syntactic validation:</w:t>
            </w:r>
          </w:p>
          <w:p w14:paraId="20E114FB" w14:textId="77777777" w:rsidR="00AD5B3B" w:rsidRPr="00EB7D30" w:rsidRDefault="00AD5B3B" w:rsidP="00452B51">
            <w:pPr>
              <w:pStyle w:val="ListParagraph"/>
              <w:numPr>
                <w:ilvl w:val="0"/>
                <w:numId w:val="4"/>
              </w:numPr>
            </w:pPr>
            <w:r w:rsidRPr="00EB7D30">
              <w:rPr>
                <w:rFonts w:ascii="Calibri" w:hAnsi="Calibri" w:cs="Calibri"/>
                <w:color w:val="000000"/>
              </w:rPr>
              <w:t xml:space="preserve">1st 2 characters </w:t>
            </w:r>
            <w:r>
              <w:rPr>
                <w:rFonts w:ascii="Calibri" w:hAnsi="Calibri" w:cs="Calibri"/>
                <w:color w:val="000000"/>
              </w:rPr>
              <w:t>= e.g. “EZ”</w:t>
            </w:r>
          </w:p>
          <w:p w14:paraId="75EEA9F0" w14:textId="77777777" w:rsidR="00AD5B3B" w:rsidRPr="00EB7D30" w:rsidRDefault="00AD5B3B" w:rsidP="00452B51">
            <w:pPr>
              <w:pStyle w:val="ListParagraph"/>
              <w:numPr>
                <w:ilvl w:val="0"/>
                <w:numId w:val="4"/>
              </w:numPr>
            </w:pPr>
            <w:r>
              <w:rPr>
                <w:rFonts w:ascii="Calibri" w:hAnsi="Calibri" w:cs="Calibri"/>
                <w:color w:val="000000"/>
              </w:rPr>
              <w:t>N</w:t>
            </w:r>
            <w:r w:rsidRPr="00EB7D30">
              <w:rPr>
                <w:rFonts w:ascii="Calibri" w:hAnsi="Calibri" w:cs="Calibri"/>
                <w:color w:val="000000"/>
              </w:rPr>
              <w:t xml:space="preserve">ext 9 are </w:t>
            </w:r>
            <w:r>
              <w:rPr>
                <w:rFonts w:ascii="Calibri" w:hAnsi="Calibri" w:cs="Calibri"/>
                <w:color w:val="000000"/>
              </w:rPr>
              <w:t xml:space="preserve">characters </w:t>
            </w:r>
            <w:r w:rsidRPr="00EB7D30">
              <w:rPr>
                <w:rFonts w:ascii="Calibri" w:hAnsi="Calibri" w:cs="Calibri"/>
                <w:color w:val="000000"/>
              </w:rPr>
              <w:t>alphanumeric (caps)</w:t>
            </w:r>
          </w:p>
          <w:p w14:paraId="5FFA4456" w14:textId="77777777" w:rsidR="00AD5B3B" w:rsidRPr="009D7531" w:rsidRDefault="00AD5B3B" w:rsidP="00452B51">
            <w:pPr>
              <w:pStyle w:val="ListParagraph"/>
              <w:numPr>
                <w:ilvl w:val="0"/>
                <w:numId w:val="4"/>
              </w:numPr>
              <w:rPr>
                <w:rFonts w:ascii="Calibri" w:hAnsi="Calibri" w:cs="Calibri"/>
                <w:color w:val="000000"/>
              </w:rPr>
            </w:pPr>
            <w:r w:rsidRPr="009D7531">
              <w:rPr>
                <w:rFonts w:ascii="Calibri" w:hAnsi="Calibri" w:cs="Calibri"/>
                <w:color w:val="000000"/>
              </w:rPr>
              <w:t>Check Sum</w:t>
            </w:r>
          </w:p>
        </w:tc>
        <w:tc>
          <w:tcPr>
            <w:tcW w:w="2977" w:type="dxa"/>
            <w:vAlign w:val="center"/>
          </w:tcPr>
          <w:p w14:paraId="1F1C83AA" w14:textId="77777777" w:rsidR="00AD5B3B" w:rsidRDefault="00AD5B3B" w:rsidP="00452B51">
            <w:r>
              <w:t>Max12Text (based on string)</w:t>
            </w:r>
          </w:p>
          <w:p w14:paraId="23F3E43B" w14:textId="77777777" w:rsidR="00AD5B3B" w:rsidRDefault="00AD5B3B" w:rsidP="00452B51">
            <w:pPr>
              <w:rPr>
                <w:rFonts w:ascii="Calibri" w:hAnsi="Calibri" w:cs="Calibri"/>
                <w:color w:val="000000"/>
              </w:rPr>
            </w:pPr>
            <w:r>
              <w:t>Pattern: [A-</w:t>
            </w:r>
            <w:proofErr w:type="gramStart"/>
            <w:r>
              <w:t>Z]{</w:t>
            </w:r>
            <w:proofErr w:type="gramEnd"/>
            <w:r>
              <w:t>2,2}[A-Z0-9]{9,9}[0-9]{1,1}</w:t>
            </w:r>
          </w:p>
        </w:tc>
      </w:tr>
      <w:tr w:rsidR="00AD5B3B" w14:paraId="3FDAD520" w14:textId="77777777" w:rsidTr="00452B51">
        <w:trPr>
          <w:jc w:val="center"/>
        </w:trPr>
        <w:tc>
          <w:tcPr>
            <w:tcW w:w="3114" w:type="dxa"/>
            <w:vAlign w:val="center"/>
          </w:tcPr>
          <w:p w14:paraId="0C508B4D" w14:textId="77777777" w:rsidR="00AD5B3B" w:rsidRPr="00B16C8F" w:rsidRDefault="00AD5B3B" w:rsidP="00452B51">
            <w:r>
              <w:t>Underlying instrument LEI</w:t>
            </w:r>
          </w:p>
        </w:tc>
        <w:tc>
          <w:tcPr>
            <w:tcW w:w="4394" w:type="dxa"/>
            <w:vAlign w:val="center"/>
          </w:tcPr>
          <w:p w14:paraId="08FCB75B" w14:textId="77777777" w:rsidR="00AD5B3B" w:rsidRDefault="00AD5B3B" w:rsidP="00452B51">
            <w:pPr>
              <w:rPr>
                <w:rFonts w:ascii="Calibri" w:hAnsi="Calibri" w:cs="Calibri"/>
                <w:color w:val="000000"/>
              </w:rPr>
            </w:pPr>
            <w:r>
              <w:rPr>
                <w:rFonts w:ascii="Calibri" w:hAnsi="Calibri" w:cs="Calibri"/>
                <w:color w:val="000000"/>
              </w:rPr>
              <w:t>ISO 17442: 2012</w:t>
            </w:r>
          </w:p>
          <w:p w14:paraId="6212E23E" w14:textId="77777777" w:rsidR="00AD5B3B" w:rsidRDefault="00AD5B3B" w:rsidP="00452B51">
            <w:pPr>
              <w:rPr>
                <w:rFonts w:ascii="Calibri" w:hAnsi="Calibri" w:cs="Calibri"/>
                <w:color w:val="000000"/>
              </w:rPr>
            </w:pPr>
            <w:r>
              <w:rPr>
                <w:rFonts w:ascii="Calibri" w:hAnsi="Calibri" w:cs="Calibri"/>
                <w:color w:val="000000"/>
              </w:rPr>
              <w:t>Syntactic validation:</w:t>
            </w:r>
          </w:p>
          <w:p w14:paraId="097E499B" w14:textId="77777777" w:rsidR="00AD5B3B" w:rsidRDefault="00AD5B3B" w:rsidP="00452B51">
            <w:pPr>
              <w:pStyle w:val="ListParagraph"/>
              <w:numPr>
                <w:ilvl w:val="0"/>
                <w:numId w:val="4"/>
              </w:numPr>
            </w:pPr>
            <w:r>
              <w:t>Alphanumeric</w:t>
            </w:r>
          </w:p>
          <w:p w14:paraId="4CDA740F" w14:textId="77777777" w:rsidR="00AD5B3B" w:rsidRPr="009D7531" w:rsidRDefault="00AD5B3B" w:rsidP="00452B51">
            <w:pPr>
              <w:pStyle w:val="ListParagraph"/>
              <w:numPr>
                <w:ilvl w:val="0"/>
                <w:numId w:val="4"/>
              </w:numPr>
              <w:rPr>
                <w:rFonts w:ascii="Calibri" w:hAnsi="Calibri" w:cs="Calibri"/>
                <w:color w:val="000000"/>
              </w:rPr>
            </w:pPr>
            <w:r>
              <w:t>Check sum</w:t>
            </w:r>
          </w:p>
        </w:tc>
        <w:tc>
          <w:tcPr>
            <w:tcW w:w="2977" w:type="dxa"/>
            <w:vAlign w:val="center"/>
          </w:tcPr>
          <w:p w14:paraId="73A3387D" w14:textId="77777777" w:rsidR="00AD5B3B" w:rsidRDefault="00AD5B3B" w:rsidP="00452B51">
            <w:pPr>
              <w:ind w:right="31"/>
            </w:pPr>
            <w:r w:rsidRPr="002D5E02">
              <w:rPr>
                <w:rFonts w:cstheme="minorHAnsi"/>
                <w:color w:val="333333"/>
                <w:szCs w:val="20"/>
                <w:shd w:val="clear" w:color="auto" w:fill="FFFFFF"/>
              </w:rPr>
              <w:t>Max</w:t>
            </w:r>
            <w:r>
              <w:rPr>
                <w:rFonts w:cstheme="minorHAnsi"/>
                <w:color w:val="333333"/>
                <w:szCs w:val="20"/>
                <w:shd w:val="clear" w:color="auto" w:fill="FFFFFF"/>
              </w:rPr>
              <w:t>20</w:t>
            </w:r>
            <w:r w:rsidRPr="002D5E02">
              <w:rPr>
                <w:rFonts w:cstheme="minorHAnsi"/>
                <w:color w:val="333333"/>
                <w:szCs w:val="20"/>
                <w:shd w:val="clear" w:color="auto" w:fill="FFFFFF"/>
              </w:rPr>
              <w:t>Text (based on string)</w:t>
            </w:r>
            <w:r>
              <w:t xml:space="preserve"> </w:t>
            </w:r>
            <w:proofErr w:type="spellStart"/>
            <w:r>
              <w:t>minLength</w:t>
            </w:r>
            <w:proofErr w:type="spellEnd"/>
            <w:r>
              <w:t>: 1</w:t>
            </w:r>
          </w:p>
          <w:p w14:paraId="57BB19D5" w14:textId="77777777" w:rsidR="00AD5B3B" w:rsidRDefault="00AD5B3B" w:rsidP="00452B51">
            <w:pPr>
              <w:rPr>
                <w:rFonts w:ascii="Calibri" w:hAnsi="Calibri" w:cs="Calibri"/>
                <w:color w:val="000000"/>
              </w:rPr>
            </w:pPr>
            <w:proofErr w:type="spellStart"/>
            <w:r>
              <w:t>maxLength</w:t>
            </w:r>
            <w:proofErr w:type="spellEnd"/>
            <w:r>
              <w:t>: 20</w:t>
            </w:r>
          </w:p>
        </w:tc>
      </w:tr>
      <w:tr w:rsidR="00AD5B3B" w14:paraId="0714CD37" w14:textId="77777777" w:rsidTr="00452B51">
        <w:trPr>
          <w:jc w:val="center"/>
        </w:trPr>
        <w:tc>
          <w:tcPr>
            <w:tcW w:w="3114" w:type="dxa"/>
            <w:tcBorders>
              <w:top w:val="nil"/>
              <w:left w:val="single" w:sz="4" w:space="0" w:color="auto"/>
              <w:bottom w:val="single" w:sz="4" w:space="0" w:color="auto"/>
              <w:right w:val="single" w:sz="4" w:space="0" w:color="auto"/>
            </w:tcBorders>
            <w:shd w:val="clear" w:color="auto" w:fill="auto"/>
            <w:vAlign w:val="center"/>
          </w:tcPr>
          <w:p w14:paraId="492EF0CF" w14:textId="77777777" w:rsidR="00AD5B3B" w:rsidRDefault="00AD5B3B" w:rsidP="00452B51">
            <w:pPr>
              <w:rPr>
                <w:rFonts w:ascii="Calibri" w:hAnsi="Calibri" w:cs="Calibri"/>
                <w:color w:val="000000"/>
              </w:rPr>
            </w:pPr>
            <w:r>
              <w:rPr>
                <w:rFonts w:ascii="Calibri" w:hAnsi="Calibri" w:cs="Calibri"/>
                <w:color w:val="000000"/>
              </w:rPr>
              <w:t>Underlying Issuer</w:t>
            </w:r>
          </w:p>
          <w:p w14:paraId="28D91A47" w14:textId="77777777" w:rsidR="00AD5B3B" w:rsidRPr="00B16C8F" w:rsidRDefault="00AD5B3B" w:rsidP="00452B51">
            <w:r>
              <w:rPr>
                <w:rFonts w:ascii="Calibri" w:hAnsi="Calibri" w:cs="Calibri"/>
                <w:color w:val="000000"/>
              </w:rPr>
              <w:t>Type</w:t>
            </w:r>
          </w:p>
        </w:tc>
        <w:tc>
          <w:tcPr>
            <w:tcW w:w="4394" w:type="dxa"/>
            <w:tcBorders>
              <w:top w:val="nil"/>
              <w:left w:val="single" w:sz="4" w:space="0" w:color="auto"/>
              <w:bottom w:val="single" w:sz="4" w:space="0" w:color="auto"/>
              <w:right w:val="single" w:sz="4" w:space="0" w:color="auto"/>
            </w:tcBorders>
            <w:shd w:val="clear" w:color="auto" w:fill="auto"/>
            <w:vAlign w:val="center"/>
          </w:tcPr>
          <w:p w14:paraId="2BD1F0E8" w14:textId="77777777" w:rsidR="00AD5B3B" w:rsidRPr="00B16C8F" w:rsidRDefault="00AD5B3B" w:rsidP="00452B51">
            <w:r>
              <w:t>CFI Code (</w:t>
            </w:r>
            <w:r>
              <w:rPr>
                <w:rFonts w:ascii="Calibri" w:hAnsi="Calibri" w:cs="Calibri"/>
                <w:color w:val="000000"/>
              </w:rPr>
              <w:t>ISO 10962: 2015) Character #5 (Swaps: Credit)</w:t>
            </w:r>
          </w:p>
        </w:tc>
        <w:tc>
          <w:tcPr>
            <w:tcW w:w="2977" w:type="dxa"/>
            <w:tcBorders>
              <w:top w:val="nil"/>
              <w:left w:val="single" w:sz="4" w:space="0" w:color="auto"/>
              <w:bottom w:val="single" w:sz="4" w:space="0" w:color="auto"/>
              <w:right w:val="single" w:sz="4" w:space="0" w:color="auto"/>
            </w:tcBorders>
            <w:vAlign w:val="center"/>
          </w:tcPr>
          <w:p w14:paraId="3013C953" w14:textId="77777777" w:rsidR="00AD5B3B" w:rsidRDefault="00AD5B3B" w:rsidP="00452B51">
            <w:pPr>
              <w:ind w:right="31"/>
            </w:pPr>
            <w:r>
              <w:t xml:space="preserve">Max35Text (based on string) </w:t>
            </w:r>
            <w:proofErr w:type="spellStart"/>
            <w:r>
              <w:t>minLength</w:t>
            </w:r>
            <w:proofErr w:type="spellEnd"/>
            <w:r>
              <w:t>: 1</w:t>
            </w:r>
          </w:p>
          <w:p w14:paraId="021F5537" w14:textId="77777777" w:rsidR="00AD5B3B" w:rsidRDefault="00AD5B3B" w:rsidP="00452B51">
            <w:proofErr w:type="spellStart"/>
            <w:r>
              <w:t>maxLength</w:t>
            </w:r>
            <w:proofErr w:type="spellEnd"/>
            <w:r>
              <w:t>: 35</w:t>
            </w:r>
          </w:p>
        </w:tc>
      </w:tr>
      <w:tr w:rsidR="00AD5B3B" w14:paraId="25838842"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vAlign w:val="center"/>
          </w:tcPr>
          <w:p w14:paraId="44116D3B" w14:textId="77777777" w:rsidR="00AD5B3B" w:rsidRPr="00B16C8F" w:rsidRDefault="00AD5B3B" w:rsidP="00452B51">
            <w:r w:rsidRPr="00C531AA">
              <w:t>Valuation Method or Trigger</w:t>
            </w:r>
          </w:p>
        </w:tc>
        <w:tc>
          <w:tcPr>
            <w:tcW w:w="4394" w:type="dxa"/>
            <w:tcBorders>
              <w:top w:val="single" w:sz="4" w:space="0" w:color="auto"/>
              <w:left w:val="single" w:sz="4" w:space="0" w:color="auto"/>
              <w:bottom w:val="single" w:sz="4" w:space="0" w:color="auto"/>
              <w:right w:val="single" w:sz="4" w:space="0" w:color="auto"/>
            </w:tcBorders>
            <w:shd w:val="clear" w:color="auto" w:fill="auto"/>
            <w:vAlign w:val="center"/>
          </w:tcPr>
          <w:p w14:paraId="6B984E62" w14:textId="77777777" w:rsidR="00AD5B3B" w:rsidRPr="00B16C8F" w:rsidRDefault="00AD5B3B" w:rsidP="00452B51">
            <w:r>
              <w:rPr>
                <w:rFonts w:ascii="Calibri" w:hAnsi="Calibri" w:cs="Calibri"/>
                <w:color w:val="000000"/>
              </w:rPr>
              <w:t>ISO 10962: 2015.  Character #5 (options)</w:t>
            </w:r>
          </w:p>
        </w:tc>
        <w:tc>
          <w:tcPr>
            <w:tcW w:w="2977" w:type="dxa"/>
            <w:tcBorders>
              <w:top w:val="single" w:sz="4" w:space="0" w:color="auto"/>
              <w:left w:val="single" w:sz="4" w:space="0" w:color="auto"/>
              <w:bottom w:val="single" w:sz="4" w:space="0" w:color="auto"/>
              <w:right w:val="single" w:sz="4" w:space="0" w:color="auto"/>
            </w:tcBorders>
            <w:vAlign w:val="center"/>
          </w:tcPr>
          <w:p w14:paraId="4D03EDFA" w14:textId="77777777" w:rsidR="00AD5B3B" w:rsidRDefault="00AD5B3B" w:rsidP="00452B51">
            <w:pPr>
              <w:ind w:right="31"/>
            </w:pPr>
            <w:r>
              <w:t xml:space="preserve">Max35Text (based on string) </w:t>
            </w:r>
            <w:proofErr w:type="spellStart"/>
            <w:r>
              <w:t>minLength</w:t>
            </w:r>
            <w:proofErr w:type="spellEnd"/>
            <w:r>
              <w:t>: 1</w:t>
            </w:r>
          </w:p>
          <w:p w14:paraId="2ACD6AB6" w14:textId="77777777" w:rsidR="00AD5B3B" w:rsidRDefault="00AD5B3B" w:rsidP="00452B51">
            <w:pPr>
              <w:rPr>
                <w:rFonts w:ascii="Calibri" w:hAnsi="Calibri" w:cs="Calibri"/>
                <w:color w:val="000000"/>
              </w:rPr>
            </w:pPr>
            <w:proofErr w:type="spellStart"/>
            <w:r>
              <w:t>maxLength</w:t>
            </w:r>
            <w:proofErr w:type="spellEnd"/>
            <w:r>
              <w:t>: 35</w:t>
            </w:r>
          </w:p>
        </w:tc>
      </w:tr>
      <w:tr w:rsidR="00AD5B3B" w14:paraId="40C07431" w14:textId="77777777" w:rsidTr="00452B51">
        <w:trPr>
          <w:jc w:val="center"/>
        </w:trPr>
        <w:tc>
          <w:tcPr>
            <w:tcW w:w="3114" w:type="dxa"/>
            <w:tcBorders>
              <w:top w:val="single" w:sz="4" w:space="0" w:color="auto"/>
              <w:left w:val="single" w:sz="4" w:space="0" w:color="auto"/>
              <w:bottom w:val="single" w:sz="4" w:space="0" w:color="auto"/>
              <w:right w:val="single" w:sz="4" w:space="0" w:color="auto"/>
            </w:tcBorders>
            <w:vAlign w:val="center"/>
          </w:tcPr>
          <w:p w14:paraId="420F1209" w14:textId="77777777" w:rsidR="00AD5B3B" w:rsidRDefault="00AD5B3B" w:rsidP="00452B51">
            <w:r>
              <w:t>Version</w:t>
            </w:r>
          </w:p>
        </w:tc>
        <w:tc>
          <w:tcPr>
            <w:tcW w:w="4394" w:type="dxa"/>
            <w:tcBorders>
              <w:top w:val="single" w:sz="4" w:space="0" w:color="auto"/>
              <w:left w:val="single" w:sz="4" w:space="0" w:color="auto"/>
              <w:bottom w:val="single" w:sz="4" w:space="0" w:color="auto"/>
              <w:right w:val="single" w:sz="4" w:space="0" w:color="auto"/>
            </w:tcBorders>
            <w:vAlign w:val="center"/>
          </w:tcPr>
          <w:p w14:paraId="5733B6BD" w14:textId="77777777" w:rsidR="00AD5B3B" w:rsidRDefault="00AD5B3B" w:rsidP="00452B51">
            <w:r>
              <w:rPr>
                <w:rFonts w:ascii="Calibri" w:hAnsi="Calibri" w:cs="Calibri"/>
                <w:color w:val="000000"/>
              </w:rPr>
              <w:t>Positive Integer – 1 to 999</w:t>
            </w:r>
          </w:p>
        </w:tc>
        <w:tc>
          <w:tcPr>
            <w:tcW w:w="2977" w:type="dxa"/>
            <w:tcBorders>
              <w:top w:val="single" w:sz="4" w:space="0" w:color="auto"/>
              <w:left w:val="single" w:sz="4" w:space="0" w:color="auto"/>
              <w:bottom w:val="single" w:sz="4" w:space="0" w:color="auto"/>
              <w:right w:val="single" w:sz="4" w:space="0" w:color="auto"/>
            </w:tcBorders>
            <w:vAlign w:val="center"/>
          </w:tcPr>
          <w:p w14:paraId="75F657D5" w14:textId="77777777" w:rsidR="00AD5B3B" w:rsidRDefault="00AD5B3B" w:rsidP="00452B51">
            <w:pPr>
              <w:rPr>
                <w:rFonts w:ascii="Calibri" w:hAnsi="Calibri" w:cs="Calibri"/>
                <w:color w:val="000000"/>
              </w:rPr>
            </w:pPr>
            <w:r>
              <w:rPr>
                <w:rFonts w:ascii="Calibri" w:hAnsi="Calibri" w:cs="Calibri"/>
                <w:color w:val="000000"/>
              </w:rPr>
              <w:t>Max3Number</w:t>
            </w:r>
          </w:p>
          <w:p w14:paraId="06948B28" w14:textId="77777777" w:rsidR="00AD5B3B" w:rsidRPr="006409AF" w:rsidRDefault="00AD5B3B" w:rsidP="00452B51">
            <w:pPr>
              <w:rPr>
                <w:rFonts w:ascii="Calibri" w:hAnsi="Calibri" w:cs="Calibri"/>
                <w:color w:val="000000"/>
              </w:rPr>
            </w:pPr>
            <w:proofErr w:type="spellStart"/>
            <w:r w:rsidRPr="006409AF">
              <w:rPr>
                <w:rFonts w:ascii="Calibri" w:hAnsi="Calibri" w:cs="Calibri"/>
                <w:color w:val="000000"/>
              </w:rPr>
              <w:t>fractionDigits</w:t>
            </w:r>
            <w:proofErr w:type="spellEnd"/>
            <w:r w:rsidRPr="006409AF">
              <w:rPr>
                <w:rFonts w:ascii="Calibri" w:hAnsi="Calibri" w:cs="Calibri"/>
                <w:color w:val="000000"/>
              </w:rPr>
              <w:t>: 0</w:t>
            </w:r>
          </w:p>
          <w:p w14:paraId="0BAB2BEA" w14:textId="77777777" w:rsidR="00AD5B3B" w:rsidRDefault="00AD5B3B" w:rsidP="00452B51">
            <w:pPr>
              <w:rPr>
                <w:rFonts w:ascii="Calibri" w:hAnsi="Calibri" w:cs="Calibri"/>
                <w:color w:val="000000"/>
              </w:rPr>
            </w:pPr>
            <w:proofErr w:type="spellStart"/>
            <w:r w:rsidRPr="006409AF">
              <w:rPr>
                <w:rFonts w:ascii="Calibri" w:hAnsi="Calibri" w:cs="Calibri"/>
                <w:color w:val="000000"/>
              </w:rPr>
              <w:t>totalDigits</w:t>
            </w:r>
            <w:proofErr w:type="spellEnd"/>
            <w:r w:rsidRPr="006409AF">
              <w:rPr>
                <w:rFonts w:ascii="Calibri" w:hAnsi="Calibri" w:cs="Calibri"/>
                <w:color w:val="000000"/>
              </w:rPr>
              <w:t>: 3</w:t>
            </w:r>
          </w:p>
        </w:tc>
      </w:tr>
    </w:tbl>
    <w:p w14:paraId="323660E1" w14:textId="77777777" w:rsidR="00AD5B3B" w:rsidRDefault="00AD5B3B" w:rsidP="00AD5B3B"/>
    <w:p w14:paraId="6B2F72D9" w14:textId="77777777" w:rsidR="00AD5B3B" w:rsidRDefault="00AD5B3B" w:rsidP="00AD5B3B">
      <w:r>
        <w:br w:type="page"/>
      </w:r>
    </w:p>
    <w:p w14:paraId="1655EA3E" w14:textId="77777777" w:rsidR="00AD5B3B" w:rsidRDefault="00AD5B3B" w:rsidP="00AD5B3B">
      <w:pPr>
        <w:pStyle w:val="Heading1"/>
      </w:pPr>
      <w:bookmarkStart w:id="18" w:name="_Toc500926767"/>
      <w:bookmarkStart w:id="19" w:name="_Toc527364480"/>
      <w:r>
        <w:lastRenderedPageBreak/>
        <w:t>Attribute Arrays</w:t>
      </w:r>
      <w:bookmarkEnd w:id="18"/>
      <w:bookmarkEnd w:id="19"/>
    </w:p>
    <w:p w14:paraId="7908064A" w14:textId="77777777" w:rsidR="00AD5B3B" w:rsidRDefault="00AD5B3B" w:rsidP="00AD5B3B"/>
    <w:p w14:paraId="43E646CF" w14:textId="77777777" w:rsidR="00AD5B3B" w:rsidRDefault="00AD5B3B" w:rsidP="00AD5B3B">
      <w:r>
        <w:t xml:space="preserve">The following attributes allow for multiple values to be input when they are part of Product Definitions that require multiple </w:t>
      </w:r>
      <w:proofErr w:type="spellStart"/>
      <w:r>
        <w:t>underliers</w:t>
      </w:r>
      <w:proofErr w:type="spellEnd"/>
      <w:r>
        <w:t>:</w:t>
      </w:r>
    </w:p>
    <w:p w14:paraId="74374BD6" w14:textId="77777777" w:rsidR="00AD5B3B" w:rsidRDefault="00AD5B3B" w:rsidP="00AD5B3B"/>
    <w:p w14:paraId="08654C61" w14:textId="77777777" w:rsidR="00AD5B3B" w:rsidRDefault="00AD5B3B" w:rsidP="00AD5B3B">
      <w:pPr>
        <w:pStyle w:val="ListParagraph"/>
        <w:numPr>
          <w:ilvl w:val="0"/>
          <w:numId w:val="14"/>
        </w:numPr>
        <w:ind w:left="851"/>
      </w:pPr>
      <w:r>
        <w:t>Underlying Instrument ISIN</w:t>
      </w:r>
    </w:p>
    <w:p w14:paraId="312FCDA0" w14:textId="77777777" w:rsidR="00AD5B3B" w:rsidRDefault="00AD5B3B" w:rsidP="00AD5B3B">
      <w:pPr>
        <w:pStyle w:val="ListParagraph"/>
        <w:numPr>
          <w:ilvl w:val="0"/>
          <w:numId w:val="14"/>
        </w:numPr>
        <w:ind w:left="851"/>
      </w:pPr>
      <w:r>
        <w:t>Underlying Instrument Index</w:t>
      </w:r>
    </w:p>
    <w:p w14:paraId="11F0494C" w14:textId="77777777" w:rsidR="00AD5B3B" w:rsidRDefault="00AD5B3B" w:rsidP="00AD5B3B">
      <w:pPr>
        <w:pStyle w:val="ListParagraph"/>
        <w:numPr>
          <w:ilvl w:val="0"/>
          <w:numId w:val="14"/>
        </w:numPr>
        <w:ind w:left="851"/>
      </w:pPr>
      <w:r>
        <w:t>Reference Rate</w:t>
      </w:r>
    </w:p>
    <w:p w14:paraId="4A3897BD" w14:textId="77777777" w:rsidR="00AD5B3B" w:rsidRDefault="00AD5B3B" w:rsidP="00AD5B3B"/>
    <w:p w14:paraId="78221129" w14:textId="77777777" w:rsidR="00AD5B3B" w:rsidRDefault="00AD5B3B" w:rsidP="00AD5B3B">
      <w:r>
        <w:t>The following Product Definitions allow for an array to be input into the relevant attribute listed above:</w:t>
      </w:r>
    </w:p>
    <w:p w14:paraId="4DF95A7D" w14:textId="77777777" w:rsidR="00AD5B3B" w:rsidRDefault="00AD5B3B" w:rsidP="00AD5B3B"/>
    <w:tbl>
      <w:tblPr>
        <w:tblStyle w:val="TableGrid"/>
        <w:tblW w:w="0" w:type="auto"/>
        <w:tblLook w:val="04A0" w:firstRow="1" w:lastRow="0" w:firstColumn="1" w:lastColumn="0" w:noHBand="0" w:noVBand="1"/>
      </w:tblPr>
      <w:tblGrid>
        <w:gridCol w:w="1859"/>
        <w:gridCol w:w="2447"/>
        <w:gridCol w:w="4710"/>
      </w:tblGrid>
      <w:tr w:rsidR="00AD5B3B" w:rsidRPr="009C06FD" w14:paraId="2A38AD62" w14:textId="77777777" w:rsidTr="00452B51">
        <w:tc>
          <w:tcPr>
            <w:tcW w:w="1859" w:type="dxa"/>
            <w:shd w:val="clear" w:color="auto" w:fill="0070C0"/>
          </w:tcPr>
          <w:p w14:paraId="72114C57" w14:textId="77777777" w:rsidR="00AD5B3B" w:rsidRPr="009C06FD" w:rsidRDefault="00AD5B3B" w:rsidP="00452B51">
            <w:pPr>
              <w:rPr>
                <w:b/>
                <w:color w:val="FFFFFF" w:themeColor="background1"/>
              </w:rPr>
            </w:pPr>
            <w:r w:rsidRPr="009C06FD">
              <w:rPr>
                <w:b/>
                <w:color w:val="FFFFFF" w:themeColor="background1"/>
              </w:rPr>
              <w:t xml:space="preserve">Asset Class </w:t>
            </w:r>
          </w:p>
        </w:tc>
        <w:tc>
          <w:tcPr>
            <w:tcW w:w="2447" w:type="dxa"/>
            <w:shd w:val="clear" w:color="auto" w:fill="0070C0"/>
          </w:tcPr>
          <w:p w14:paraId="1CAAAB21" w14:textId="77777777" w:rsidR="00AD5B3B" w:rsidRPr="009C06FD" w:rsidRDefault="00AD5B3B" w:rsidP="00452B51">
            <w:pPr>
              <w:rPr>
                <w:b/>
                <w:color w:val="FFFFFF" w:themeColor="background1"/>
              </w:rPr>
            </w:pPr>
            <w:r>
              <w:rPr>
                <w:b/>
                <w:color w:val="FFFFFF" w:themeColor="background1"/>
              </w:rPr>
              <w:t>Instrument</w:t>
            </w:r>
          </w:p>
        </w:tc>
        <w:tc>
          <w:tcPr>
            <w:tcW w:w="4710" w:type="dxa"/>
            <w:shd w:val="clear" w:color="auto" w:fill="0070C0"/>
          </w:tcPr>
          <w:p w14:paraId="5A73DED6" w14:textId="77777777" w:rsidR="00AD5B3B" w:rsidRPr="009C06FD" w:rsidRDefault="00AD5B3B" w:rsidP="00452B51">
            <w:pPr>
              <w:rPr>
                <w:b/>
                <w:color w:val="FFFFFF" w:themeColor="background1"/>
              </w:rPr>
            </w:pPr>
            <w:r w:rsidRPr="009C06FD">
              <w:rPr>
                <w:b/>
                <w:color w:val="FFFFFF" w:themeColor="background1"/>
              </w:rPr>
              <w:t>Product Definitions</w:t>
            </w:r>
          </w:p>
        </w:tc>
      </w:tr>
      <w:tr w:rsidR="00AD5B3B" w14:paraId="6B4E3A3D" w14:textId="77777777" w:rsidTr="00452B51">
        <w:tc>
          <w:tcPr>
            <w:tcW w:w="1859" w:type="dxa"/>
          </w:tcPr>
          <w:p w14:paraId="5B6042D2" w14:textId="77777777" w:rsidR="00AD5B3B" w:rsidRDefault="00AD5B3B" w:rsidP="00452B51">
            <w:r>
              <w:t>Equity</w:t>
            </w:r>
          </w:p>
        </w:tc>
        <w:tc>
          <w:tcPr>
            <w:tcW w:w="2447" w:type="dxa"/>
          </w:tcPr>
          <w:p w14:paraId="16F0514D" w14:textId="77777777" w:rsidR="00AD5B3B" w:rsidRDefault="00AD5B3B" w:rsidP="00452B51">
            <w:pPr>
              <w:rPr>
                <w:rFonts w:ascii="Calibri" w:hAnsi="Calibri" w:cs="Calibri"/>
                <w:color w:val="000000"/>
              </w:rPr>
            </w:pPr>
            <w:r>
              <w:rPr>
                <w:rFonts w:ascii="Calibri" w:hAnsi="Calibri" w:cs="Calibri"/>
                <w:color w:val="000000"/>
              </w:rPr>
              <w:t>Swap</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bottom"/>
          </w:tcPr>
          <w:p w14:paraId="1C6BB6BD" w14:textId="77777777" w:rsidR="00AD5B3B" w:rsidRDefault="00AD5B3B" w:rsidP="00452B51">
            <w:proofErr w:type="spellStart"/>
            <w:r>
              <w:rPr>
                <w:rFonts w:ascii="Calibri" w:hAnsi="Calibri" w:cs="Calibri"/>
                <w:color w:val="000000"/>
              </w:rPr>
              <w:t>Price_Return_Basic_Performance_Basket</w:t>
            </w:r>
            <w:proofErr w:type="spellEnd"/>
          </w:p>
        </w:tc>
      </w:tr>
      <w:tr w:rsidR="00AD5B3B" w14:paraId="1B287C05" w14:textId="77777777" w:rsidTr="00452B51">
        <w:tc>
          <w:tcPr>
            <w:tcW w:w="1859" w:type="dxa"/>
          </w:tcPr>
          <w:p w14:paraId="331D1E3D" w14:textId="77777777" w:rsidR="00AD5B3B" w:rsidRDefault="00AD5B3B" w:rsidP="00452B51">
            <w:r>
              <w:t>Equity</w:t>
            </w:r>
          </w:p>
        </w:tc>
        <w:tc>
          <w:tcPr>
            <w:tcW w:w="2447" w:type="dxa"/>
          </w:tcPr>
          <w:p w14:paraId="7F1DC92C" w14:textId="77777777" w:rsidR="00AD5B3B" w:rsidRDefault="00AD5B3B" w:rsidP="00452B51">
            <w:pPr>
              <w:rPr>
                <w:rFonts w:ascii="Calibri" w:hAnsi="Calibri" w:cs="Calibri"/>
                <w:color w:val="000000"/>
              </w:rPr>
            </w:pPr>
            <w:r>
              <w:rPr>
                <w:rFonts w:ascii="Calibri" w:hAnsi="Calibri" w:cs="Calibri"/>
                <w:color w:val="000000"/>
              </w:rPr>
              <w:t>Swap</w:t>
            </w:r>
          </w:p>
        </w:tc>
        <w:tc>
          <w:tcPr>
            <w:tcW w:w="4710" w:type="dxa"/>
            <w:tcBorders>
              <w:top w:val="nil"/>
              <w:left w:val="single" w:sz="4" w:space="0" w:color="auto"/>
              <w:bottom w:val="single" w:sz="4" w:space="0" w:color="auto"/>
              <w:right w:val="single" w:sz="4" w:space="0" w:color="auto"/>
            </w:tcBorders>
            <w:shd w:val="clear" w:color="auto" w:fill="auto"/>
            <w:vAlign w:val="bottom"/>
          </w:tcPr>
          <w:p w14:paraId="34BB93F9" w14:textId="77777777" w:rsidR="00AD5B3B" w:rsidRDefault="00AD5B3B" w:rsidP="00452B51">
            <w:proofErr w:type="spellStart"/>
            <w:r>
              <w:rPr>
                <w:rFonts w:ascii="Calibri" w:hAnsi="Calibri" w:cs="Calibri"/>
                <w:color w:val="000000"/>
              </w:rPr>
              <w:t>Parameter_Return_Dividend_Basket</w:t>
            </w:r>
            <w:proofErr w:type="spellEnd"/>
          </w:p>
        </w:tc>
      </w:tr>
      <w:tr w:rsidR="00AD5B3B" w14:paraId="33FC74D2" w14:textId="77777777" w:rsidTr="00452B51">
        <w:tc>
          <w:tcPr>
            <w:tcW w:w="1859" w:type="dxa"/>
          </w:tcPr>
          <w:p w14:paraId="7B2A8702" w14:textId="77777777" w:rsidR="00AD5B3B" w:rsidRDefault="00AD5B3B" w:rsidP="00452B51">
            <w:r>
              <w:t>Equity</w:t>
            </w:r>
          </w:p>
        </w:tc>
        <w:tc>
          <w:tcPr>
            <w:tcW w:w="2447" w:type="dxa"/>
          </w:tcPr>
          <w:p w14:paraId="298A4499" w14:textId="77777777" w:rsidR="00AD5B3B" w:rsidRDefault="00AD5B3B" w:rsidP="00452B51">
            <w:pPr>
              <w:rPr>
                <w:rFonts w:ascii="Calibri" w:hAnsi="Calibri" w:cs="Calibri"/>
                <w:color w:val="000000"/>
              </w:rPr>
            </w:pPr>
            <w:r>
              <w:rPr>
                <w:rFonts w:ascii="Calibri" w:hAnsi="Calibri" w:cs="Calibri"/>
                <w:color w:val="000000"/>
              </w:rPr>
              <w:t>Swap</w:t>
            </w:r>
          </w:p>
        </w:tc>
        <w:tc>
          <w:tcPr>
            <w:tcW w:w="4710" w:type="dxa"/>
            <w:tcBorders>
              <w:top w:val="nil"/>
              <w:left w:val="single" w:sz="4" w:space="0" w:color="auto"/>
              <w:bottom w:val="single" w:sz="4" w:space="0" w:color="auto"/>
              <w:right w:val="single" w:sz="4" w:space="0" w:color="auto"/>
            </w:tcBorders>
            <w:shd w:val="clear" w:color="auto" w:fill="auto"/>
            <w:vAlign w:val="bottom"/>
          </w:tcPr>
          <w:p w14:paraId="38767893" w14:textId="77777777" w:rsidR="00AD5B3B" w:rsidRDefault="00AD5B3B" w:rsidP="00452B51">
            <w:proofErr w:type="spellStart"/>
            <w:r>
              <w:rPr>
                <w:rFonts w:ascii="Calibri" w:hAnsi="Calibri" w:cs="Calibri"/>
                <w:color w:val="000000"/>
              </w:rPr>
              <w:t>Parameter_Return_Variance_Basket</w:t>
            </w:r>
            <w:proofErr w:type="spellEnd"/>
          </w:p>
        </w:tc>
      </w:tr>
      <w:tr w:rsidR="00AD5B3B" w14:paraId="35EF5949" w14:textId="77777777" w:rsidTr="00452B51">
        <w:tc>
          <w:tcPr>
            <w:tcW w:w="1859" w:type="dxa"/>
          </w:tcPr>
          <w:p w14:paraId="771A78D3" w14:textId="77777777" w:rsidR="00AD5B3B" w:rsidRDefault="00AD5B3B" w:rsidP="00452B51">
            <w:r>
              <w:t>Equity</w:t>
            </w:r>
          </w:p>
        </w:tc>
        <w:tc>
          <w:tcPr>
            <w:tcW w:w="2447" w:type="dxa"/>
          </w:tcPr>
          <w:p w14:paraId="4D9A1D01" w14:textId="77777777" w:rsidR="00AD5B3B" w:rsidRDefault="00AD5B3B" w:rsidP="00452B51">
            <w:pPr>
              <w:rPr>
                <w:rFonts w:ascii="Calibri" w:hAnsi="Calibri" w:cs="Calibri"/>
                <w:color w:val="000000"/>
              </w:rPr>
            </w:pPr>
            <w:r>
              <w:rPr>
                <w:rFonts w:ascii="Calibri" w:hAnsi="Calibri" w:cs="Calibri"/>
                <w:color w:val="000000"/>
              </w:rPr>
              <w:t>Swap</w:t>
            </w:r>
          </w:p>
        </w:tc>
        <w:tc>
          <w:tcPr>
            <w:tcW w:w="4710" w:type="dxa"/>
            <w:tcBorders>
              <w:top w:val="nil"/>
              <w:left w:val="single" w:sz="4" w:space="0" w:color="auto"/>
              <w:bottom w:val="single" w:sz="4" w:space="0" w:color="auto"/>
              <w:right w:val="single" w:sz="4" w:space="0" w:color="auto"/>
            </w:tcBorders>
            <w:shd w:val="clear" w:color="auto" w:fill="auto"/>
            <w:vAlign w:val="bottom"/>
          </w:tcPr>
          <w:p w14:paraId="2C578E00" w14:textId="77777777" w:rsidR="00AD5B3B" w:rsidRDefault="00AD5B3B" w:rsidP="00452B51">
            <w:proofErr w:type="spellStart"/>
            <w:r>
              <w:rPr>
                <w:rFonts w:ascii="Calibri" w:hAnsi="Calibri" w:cs="Calibri"/>
                <w:color w:val="000000"/>
              </w:rPr>
              <w:t>Parameter_Return_Volatility_Basket</w:t>
            </w:r>
            <w:proofErr w:type="spellEnd"/>
          </w:p>
        </w:tc>
      </w:tr>
      <w:tr w:rsidR="00AD5B3B" w14:paraId="4210E43C" w14:textId="77777777" w:rsidTr="00452B51">
        <w:tc>
          <w:tcPr>
            <w:tcW w:w="1859" w:type="dxa"/>
          </w:tcPr>
          <w:p w14:paraId="3A4123B4" w14:textId="77777777" w:rsidR="00AD5B3B" w:rsidRDefault="00AD5B3B" w:rsidP="00452B51">
            <w:r>
              <w:t>Equity</w:t>
            </w:r>
          </w:p>
        </w:tc>
        <w:tc>
          <w:tcPr>
            <w:tcW w:w="2447" w:type="dxa"/>
          </w:tcPr>
          <w:p w14:paraId="70039697" w14:textId="77777777" w:rsidR="00AD5B3B" w:rsidRDefault="00AD5B3B" w:rsidP="00452B51">
            <w:pPr>
              <w:rPr>
                <w:rFonts w:ascii="Calibri" w:hAnsi="Calibri" w:cs="Calibri"/>
                <w:color w:val="000000"/>
              </w:rPr>
            </w:pPr>
            <w:r>
              <w:rPr>
                <w:rFonts w:ascii="Calibri" w:hAnsi="Calibri" w:cs="Calibri"/>
                <w:color w:val="000000"/>
              </w:rPr>
              <w:t>Swap</w:t>
            </w:r>
          </w:p>
        </w:tc>
        <w:tc>
          <w:tcPr>
            <w:tcW w:w="4710" w:type="dxa"/>
            <w:tcBorders>
              <w:top w:val="nil"/>
              <w:left w:val="single" w:sz="4" w:space="0" w:color="auto"/>
              <w:bottom w:val="single" w:sz="4" w:space="0" w:color="auto"/>
              <w:right w:val="single" w:sz="4" w:space="0" w:color="auto"/>
            </w:tcBorders>
            <w:shd w:val="clear" w:color="auto" w:fill="auto"/>
            <w:vAlign w:val="bottom"/>
          </w:tcPr>
          <w:p w14:paraId="54B515C4" w14:textId="77777777" w:rsidR="00AD5B3B" w:rsidRDefault="00AD5B3B" w:rsidP="00452B51">
            <w:proofErr w:type="spellStart"/>
            <w:r>
              <w:rPr>
                <w:rFonts w:ascii="Calibri" w:hAnsi="Calibri" w:cs="Calibri"/>
                <w:color w:val="000000"/>
              </w:rPr>
              <w:t>Price_Return_Basic_Performance_Basket_CFD</w:t>
            </w:r>
            <w:proofErr w:type="spellEnd"/>
          </w:p>
        </w:tc>
      </w:tr>
      <w:tr w:rsidR="00AD5B3B" w14:paraId="2C2328DD" w14:textId="77777777" w:rsidTr="00452B51">
        <w:tc>
          <w:tcPr>
            <w:tcW w:w="1859" w:type="dxa"/>
          </w:tcPr>
          <w:p w14:paraId="1D109815" w14:textId="77777777" w:rsidR="00AD5B3B" w:rsidRDefault="00AD5B3B" w:rsidP="00452B51">
            <w:r>
              <w:t>Equity</w:t>
            </w:r>
          </w:p>
        </w:tc>
        <w:tc>
          <w:tcPr>
            <w:tcW w:w="2447" w:type="dxa"/>
          </w:tcPr>
          <w:p w14:paraId="20A71FA5" w14:textId="77777777" w:rsidR="00AD5B3B" w:rsidRDefault="00AD5B3B" w:rsidP="00452B51">
            <w:pPr>
              <w:rPr>
                <w:rFonts w:ascii="Calibri" w:hAnsi="Calibri" w:cs="Calibri"/>
                <w:color w:val="000000"/>
              </w:rPr>
            </w:pPr>
            <w:r>
              <w:rPr>
                <w:rFonts w:ascii="Calibri" w:hAnsi="Calibri" w:cs="Calibri"/>
                <w:color w:val="000000"/>
              </w:rPr>
              <w:t>Swap</w:t>
            </w:r>
          </w:p>
        </w:tc>
        <w:tc>
          <w:tcPr>
            <w:tcW w:w="4710" w:type="dxa"/>
            <w:tcBorders>
              <w:top w:val="nil"/>
              <w:left w:val="single" w:sz="4" w:space="0" w:color="auto"/>
              <w:bottom w:val="single" w:sz="4" w:space="0" w:color="auto"/>
              <w:right w:val="single" w:sz="4" w:space="0" w:color="auto"/>
            </w:tcBorders>
            <w:shd w:val="clear" w:color="auto" w:fill="auto"/>
            <w:vAlign w:val="bottom"/>
          </w:tcPr>
          <w:p w14:paraId="4675B164" w14:textId="77777777" w:rsidR="00AD5B3B" w:rsidRDefault="00AD5B3B" w:rsidP="00452B51">
            <w:proofErr w:type="spellStart"/>
            <w:r>
              <w:rPr>
                <w:rFonts w:ascii="Calibri" w:hAnsi="Calibri" w:cs="Calibri"/>
                <w:color w:val="000000"/>
              </w:rPr>
              <w:t>Portfolio_Swap</w:t>
            </w:r>
            <w:proofErr w:type="spellEnd"/>
          </w:p>
        </w:tc>
      </w:tr>
      <w:tr w:rsidR="00AD5B3B" w14:paraId="46CA41D9" w14:textId="77777777" w:rsidTr="00452B51">
        <w:tc>
          <w:tcPr>
            <w:tcW w:w="1859" w:type="dxa"/>
          </w:tcPr>
          <w:p w14:paraId="5BE37076" w14:textId="77777777" w:rsidR="00AD5B3B" w:rsidRDefault="00AD5B3B" w:rsidP="00452B51">
            <w:r>
              <w:t>Equity</w:t>
            </w:r>
          </w:p>
        </w:tc>
        <w:tc>
          <w:tcPr>
            <w:tcW w:w="2447" w:type="dxa"/>
          </w:tcPr>
          <w:p w14:paraId="3F5E5854" w14:textId="77777777" w:rsidR="00AD5B3B" w:rsidRDefault="00AD5B3B" w:rsidP="00452B51">
            <w:pPr>
              <w:rPr>
                <w:rFonts w:ascii="Calibri" w:hAnsi="Calibri" w:cs="Calibri"/>
                <w:color w:val="000000"/>
              </w:rPr>
            </w:pPr>
            <w:r>
              <w:rPr>
                <w:rFonts w:ascii="Calibri" w:hAnsi="Calibri" w:cs="Calibri"/>
                <w:color w:val="000000"/>
              </w:rPr>
              <w:t>Forward</w:t>
            </w:r>
          </w:p>
        </w:tc>
        <w:tc>
          <w:tcPr>
            <w:tcW w:w="4710" w:type="dxa"/>
            <w:tcBorders>
              <w:top w:val="nil"/>
              <w:left w:val="single" w:sz="4" w:space="0" w:color="auto"/>
              <w:bottom w:val="single" w:sz="4" w:space="0" w:color="auto"/>
              <w:right w:val="single" w:sz="4" w:space="0" w:color="auto"/>
            </w:tcBorders>
            <w:shd w:val="clear" w:color="auto" w:fill="auto"/>
            <w:vAlign w:val="bottom"/>
          </w:tcPr>
          <w:p w14:paraId="216F52DA" w14:textId="77777777" w:rsidR="00AD5B3B" w:rsidRDefault="00AD5B3B" w:rsidP="00452B51">
            <w:proofErr w:type="spellStart"/>
            <w:r>
              <w:rPr>
                <w:rFonts w:ascii="Calibri" w:hAnsi="Calibri" w:cs="Calibri"/>
                <w:color w:val="000000"/>
              </w:rPr>
              <w:t>Price_Return_Basic_Performance_Basket_CFD</w:t>
            </w:r>
            <w:proofErr w:type="spellEnd"/>
          </w:p>
        </w:tc>
      </w:tr>
      <w:tr w:rsidR="00AD5B3B" w14:paraId="0057631B" w14:textId="77777777" w:rsidTr="00452B51">
        <w:tc>
          <w:tcPr>
            <w:tcW w:w="1859" w:type="dxa"/>
          </w:tcPr>
          <w:p w14:paraId="584CF4B4" w14:textId="77777777" w:rsidR="00AD5B3B" w:rsidRDefault="00AD5B3B" w:rsidP="00452B51">
            <w:r>
              <w:t>Equity</w:t>
            </w:r>
          </w:p>
        </w:tc>
        <w:tc>
          <w:tcPr>
            <w:tcW w:w="2447" w:type="dxa"/>
          </w:tcPr>
          <w:p w14:paraId="1B547330" w14:textId="77777777" w:rsidR="00AD5B3B" w:rsidRDefault="00AD5B3B" w:rsidP="00452B51">
            <w:pPr>
              <w:rPr>
                <w:rFonts w:ascii="Calibri" w:hAnsi="Calibri" w:cs="Calibri"/>
                <w:color w:val="000000"/>
              </w:rPr>
            </w:pPr>
            <w:r>
              <w:rPr>
                <w:rFonts w:ascii="Calibri" w:hAnsi="Calibri" w:cs="Calibri"/>
                <w:color w:val="000000"/>
              </w:rPr>
              <w:t>Forward</w:t>
            </w:r>
          </w:p>
        </w:tc>
        <w:tc>
          <w:tcPr>
            <w:tcW w:w="4710" w:type="dxa"/>
            <w:tcBorders>
              <w:top w:val="nil"/>
              <w:left w:val="single" w:sz="4" w:space="0" w:color="auto"/>
              <w:bottom w:val="single" w:sz="4" w:space="0" w:color="auto"/>
              <w:right w:val="single" w:sz="4" w:space="0" w:color="auto"/>
            </w:tcBorders>
            <w:shd w:val="clear" w:color="auto" w:fill="auto"/>
            <w:vAlign w:val="bottom"/>
          </w:tcPr>
          <w:p w14:paraId="11D3AB18" w14:textId="77777777" w:rsidR="00AD5B3B" w:rsidRDefault="00AD5B3B" w:rsidP="00452B51">
            <w:proofErr w:type="spellStart"/>
            <w:r>
              <w:rPr>
                <w:rFonts w:ascii="Calibri" w:hAnsi="Calibri" w:cs="Calibri"/>
                <w:color w:val="000000"/>
              </w:rPr>
              <w:t>Price_Return_Basic_Performance_Basket</w:t>
            </w:r>
            <w:proofErr w:type="spellEnd"/>
          </w:p>
        </w:tc>
      </w:tr>
      <w:tr w:rsidR="00AD5B3B" w14:paraId="7960FBD5" w14:textId="77777777" w:rsidTr="00452B51">
        <w:tc>
          <w:tcPr>
            <w:tcW w:w="1859" w:type="dxa"/>
          </w:tcPr>
          <w:p w14:paraId="3381BCCE" w14:textId="77777777" w:rsidR="00AD5B3B" w:rsidRDefault="00AD5B3B" w:rsidP="00452B51">
            <w:r>
              <w:t>Equity</w:t>
            </w:r>
          </w:p>
        </w:tc>
        <w:tc>
          <w:tcPr>
            <w:tcW w:w="2447" w:type="dxa"/>
          </w:tcPr>
          <w:p w14:paraId="1334F4F2" w14:textId="77777777" w:rsidR="00AD5B3B" w:rsidRDefault="00AD5B3B" w:rsidP="00452B51">
            <w:pPr>
              <w:rPr>
                <w:rFonts w:ascii="Calibri" w:hAnsi="Calibri" w:cs="Calibri"/>
                <w:color w:val="000000"/>
              </w:rPr>
            </w:pPr>
            <w:r>
              <w:rPr>
                <w:rFonts w:ascii="Calibri" w:hAnsi="Calibri" w:cs="Calibri"/>
                <w:color w:val="000000"/>
              </w:rPr>
              <w:t>Option</w:t>
            </w:r>
          </w:p>
        </w:tc>
        <w:tc>
          <w:tcPr>
            <w:tcW w:w="4710" w:type="dxa"/>
            <w:tcBorders>
              <w:top w:val="nil"/>
              <w:left w:val="single" w:sz="4" w:space="0" w:color="auto"/>
              <w:bottom w:val="single" w:sz="4" w:space="0" w:color="auto"/>
              <w:right w:val="single" w:sz="4" w:space="0" w:color="auto"/>
            </w:tcBorders>
            <w:shd w:val="clear" w:color="auto" w:fill="auto"/>
            <w:vAlign w:val="bottom"/>
          </w:tcPr>
          <w:p w14:paraId="71A59C10" w14:textId="77777777" w:rsidR="00AD5B3B" w:rsidRDefault="00AD5B3B" w:rsidP="00452B51">
            <w:r>
              <w:rPr>
                <w:rFonts w:ascii="Calibri" w:hAnsi="Calibri" w:cs="Calibri"/>
                <w:color w:val="000000"/>
              </w:rPr>
              <w:t>Basket</w:t>
            </w:r>
          </w:p>
        </w:tc>
      </w:tr>
      <w:tr w:rsidR="00AD5B3B" w14:paraId="30ED54D6" w14:textId="77777777" w:rsidTr="00452B51">
        <w:tc>
          <w:tcPr>
            <w:tcW w:w="1859" w:type="dxa"/>
          </w:tcPr>
          <w:p w14:paraId="18AA1B7C" w14:textId="77777777" w:rsidR="00AD5B3B" w:rsidRDefault="00AD5B3B" w:rsidP="00452B51">
            <w:r>
              <w:t>Commodities</w:t>
            </w:r>
          </w:p>
        </w:tc>
        <w:tc>
          <w:tcPr>
            <w:tcW w:w="2447" w:type="dxa"/>
          </w:tcPr>
          <w:p w14:paraId="50ED1653" w14:textId="77777777" w:rsidR="00AD5B3B" w:rsidRDefault="00AD5B3B" w:rsidP="00452B51">
            <w:pPr>
              <w:rPr>
                <w:rFonts w:ascii="Calibri" w:hAnsi="Calibri" w:cs="Calibri"/>
                <w:color w:val="000000"/>
              </w:rPr>
            </w:pPr>
            <w:r>
              <w:rPr>
                <w:rFonts w:ascii="Calibri" w:hAnsi="Calibri" w:cs="Calibri"/>
                <w:color w:val="000000"/>
              </w:rPr>
              <w:t>Swap</w:t>
            </w:r>
          </w:p>
        </w:tc>
        <w:tc>
          <w:tcPr>
            <w:tcW w:w="4710" w:type="dxa"/>
            <w:tcBorders>
              <w:top w:val="single" w:sz="4" w:space="0" w:color="auto"/>
              <w:left w:val="single" w:sz="4" w:space="0" w:color="auto"/>
              <w:bottom w:val="single" w:sz="4" w:space="0" w:color="auto"/>
              <w:right w:val="single" w:sz="4" w:space="0" w:color="auto"/>
            </w:tcBorders>
            <w:shd w:val="clear" w:color="auto" w:fill="auto"/>
            <w:vAlign w:val="bottom"/>
          </w:tcPr>
          <w:p w14:paraId="327E436C" w14:textId="77777777" w:rsidR="00AD5B3B" w:rsidRDefault="00AD5B3B" w:rsidP="00452B51">
            <w:r>
              <w:rPr>
                <w:rFonts w:ascii="Calibri" w:hAnsi="Calibri" w:cs="Calibri"/>
                <w:color w:val="000000"/>
              </w:rPr>
              <w:t>Multi Exotic Swap</w:t>
            </w:r>
          </w:p>
        </w:tc>
      </w:tr>
      <w:tr w:rsidR="00AD5B3B" w14:paraId="05693204" w14:textId="77777777" w:rsidTr="00452B51">
        <w:tc>
          <w:tcPr>
            <w:tcW w:w="1859" w:type="dxa"/>
          </w:tcPr>
          <w:p w14:paraId="1BDC5DFA" w14:textId="77777777" w:rsidR="00AD5B3B" w:rsidRDefault="00AD5B3B" w:rsidP="00452B51">
            <w:r>
              <w:t>Commodities</w:t>
            </w:r>
          </w:p>
        </w:tc>
        <w:tc>
          <w:tcPr>
            <w:tcW w:w="2447" w:type="dxa"/>
          </w:tcPr>
          <w:p w14:paraId="700DF731" w14:textId="77777777" w:rsidR="00AD5B3B" w:rsidRDefault="00AD5B3B" w:rsidP="00452B51">
            <w:pPr>
              <w:rPr>
                <w:rFonts w:ascii="Calibri" w:hAnsi="Calibri" w:cs="Calibri"/>
                <w:color w:val="000000"/>
              </w:rPr>
            </w:pPr>
            <w:r>
              <w:rPr>
                <w:rFonts w:ascii="Calibri" w:hAnsi="Calibri" w:cs="Calibri"/>
                <w:color w:val="000000"/>
              </w:rPr>
              <w:t>Forward</w:t>
            </w:r>
          </w:p>
        </w:tc>
        <w:tc>
          <w:tcPr>
            <w:tcW w:w="4710" w:type="dxa"/>
            <w:tcBorders>
              <w:top w:val="nil"/>
              <w:left w:val="single" w:sz="4" w:space="0" w:color="auto"/>
              <w:bottom w:val="single" w:sz="4" w:space="0" w:color="auto"/>
              <w:right w:val="single" w:sz="4" w:space="0" w:color="auto"/>
            </w:tcBorders>
            <w:shd w:val="clear" w:color="auto" w:fill="auto"/>
            <w:vAlign w:val="bottom"/>
          </w:tcPr>
          <w:p w14:paraId="62D0F58E" w14:textId="77777777" w:rsidR="00AD5B3B" w:rsidRDefault="00AD5B3B" w:rsidP="00452B51">
            <w:r>
              <w:rPr>
                <w:rFonts w:ascii="Calibri" w:hAnsi="Calibri" w:cs="Calibri"/>
                <w:color w:val="000000"/>
              </w:rPr>
              <w:t>Multi Exotic Forward</w:t>
            </w:r>
          </w:p>
        </w:tc>
      </w:tr>
      <w:tr w:rsidR="00AD5B3B" w14:paraId="76D2416F" w14:textId="77777777" w:rsidTr="00452B51">
        <w:tc>
          <w:tcPr>
            <w:tcW w:w="1859" w:type="dxa"/>
          </w:tcPr>
          <w:p w14:paraId="2FB0665F" w14:textId="77777777" w:rsidR="00AD5B3B" w:rsidRDefault="00AD5B3B" w:rsidP="00452B51">
            <w:r>
              <w:t>Commodities</w:t>
            </w:r>
          </w:p>
        </w:tc>
        <w:tc>
          <w:tcPr>
            <w:tcW w:w="2447" w:type="dxa"/>
          </w:tcPr>
          <w:p w14:paraId="1D5416B7" w14:textId="77777777" w:rsidR="00AD5B3B" w:rsidRDefault="00AD5B3B" w:rsidP="00452B51">
            <w:pPr>
              <w:rPr>
                <w:rFonts w:ascii="Calibri" w:hAnsi="Calibri" w:cs="Calibri"/>
                <w:color w:val="000000"/>
              </w:rPr>
            </w:pPr>
            <w:r>
              <w:rPr>
                <w:rFonts w:ascii="Calibri" w:hAnsi="Calibri" w:cs="Calibri"/>
                <w:color w:val="000000"/>
              </w:rPr>
              <w:t>Option</w:t>
            </w:r>
          </w:p>
        </w:tc>
        <w:tc>
          <w:tcPr>
            <w:tcW w:w="4710" w:type="dxa"/>
            <w:tcBorders>
              <w:top w:val="nil"/>
              <w:left w:val="single" w:sz="4" w:space="0" w:color="auto"/>
              <w:bottom w:val="single" w:sz="4" w:space="0" w:color="auto"/>
              <w:right w:val="single" w:sz="4" w:space="0" w:color="auto"/>
            </w:tcBorders>
            <w:shd w:val="clear" w:color="auto" w:fill="auto"/>
            <w:vAlign w:val="bottom"/>
          </w:tcPr>
          <w:p w14:paraId="3DF839E8" w14:textId="77777777" w:rsidR="00AD5B3B" w:rsidRDefault="00AD5B3B" w:rsidP="00452B51">
            <w:r>
              <w:rPr>
                <w:rFonts w:ascii="Calibri" w:hAnsi="Calibri" w:cs="Calibri"/>
                <w:color w:val="000000"/>
              </w:rPr>
              <w:t>Multi Exotic Option</w:t>
            </w:r>
          </w:p>
        </w:tc>
      </w:tr>
    </w:tbl>
    <w:p w14:paraId="7B253C74" w14:textId="77777777" w:rsidR="00AD5B3B" w:rsidRDefault="00AD5B3B" w:rsidP="00AD5B3B"/>
    <w:p w14:paraId="5E8D152A" w14:textId="77777777" w:rsidR="00AD5B3B" w:rsidRDefault="00AD5B3B" w:rsidP="00AD5B3B">
      <w:pPr>
        <w:pStyle w:val="Heading1"/>
      </w:pPr>
      <w:bookmarkStart w:id="20" w:name="_Toc500926768"/>
      <w:bookmarkStart w:id="21" w:name="_Toc527364481"/>
      <w:r>
        <w:t>Index Enumerations</w:t>
      </w:r>
      <w:bookmarkEnd w:id="20"/>
      <w:bookmarkEnd w:id="21"/>
    </w:p>
    <w:p w14:paraId="6571E32B" w14:textId="77777777" w:rsidR="00AD5B3B" w:rsidRDefault="00AD5B3B" w:rsidP="00AD5B3B"/>
    <w:p w14:paraId="5D24CC93" w14:textId="77777777" w:rsidR="00AD5B3B" w:rsidRDefault="00AD5B3B" w:rsidP="00AD5B3B">
      <w:r>
        <w:t>Underlying Index can be broken down into 2 categories:</w:t>
      </w:r>
    </w:p>
    <w:p w14:paraId="67C90914" w14:textId="77777777" w:rsidR="00AD5B3B" w:rsidRDefault="00AD5B3B" w:rsidP="00AD5B3B">
      <w:pPr>
        <w:pStyle w:val="ListParagraph"/>
        <w:numPr>
          <w:ilvl w:val="0"/>
          <w:numId w:val="4"/>
        </w:numPr>
      </w:pPr>
      <w:r>
        <w:t>Standard Market Indices</w:t>
      </w:r>
    </w:p>
    <w:p w14:paraId="266E30C4" w14:textId="77777777" w:rsidR="00AD5B3B" w:rsidRDefault="00AD5B3B" w:rsidP="00AD5B3B">
      <w:pPr>
        <w:pStyle w:val="ListParagraph"/>
        <w:numPr>
          <w:ilvl w:val="0"/>
          <w:numId w:val="4"/>
        </w:numPr>
      </w:pPr>
      <w:r>
        <w:t>Proprietary Indices</w:t>
      </w:r>
    </w:p>
    <w:p w14:paraId="6C518347" w14:textId="77777777" w:rsidR="00AD5B3B" w:rsidRDefault="00AD5B3B" w:rsidP="00AD5B3B"/>
    <w:p w14:paraId="0E261DDA" w14:textId="77777777" w:rsidR="00AD5B3B" w:rsidRDefault="00AD5B3B" w:rsidP="00AD5B3B">
      <w:pPr>
        <w:pStyle w:val="Heading2"/>
        <w:ind w:left="567"/>
      </w:pPr>
      <w:bookmarkStart w:id="22" w:name="_Toc500926769"/>
      <w:bookmarkStart w:id="23" w:name="_Toc527364482"/>
      <w:r>
        <w:t>Standard Market Indices</w:t>
      </w:r>
      <w:bookmarkEnd w:id="22"/>
      <w:bookmarkEnd w:id="23"/>
    </w:p>
    <w:p w14:paraId="6753ECC4" w14:textId="77777777" w:rsidR="00AD5B3B" w:rsidRDefault="00AD5B3B" w:rsidP="00AD5B3B"/>
    <w:tbl>
      <w:tblPr>
        <w:tblStyle w:val="GridTable4-Accent5"/>
        <w:tblW w:w="9885" w:type="dxa"/>
        <w:tblLayout w:type="fixed"/>
        <w:tblLook w:val="04A0" w:firstRow="1" w:lastRow="0" w:firstColumn="1" w:lastColumn="0" w:noHBand="0" w:noVBand="1"/>
      </w:tblPr>
      <w:tblGrid>
        <w:gridCol w:w="1838"/>
        <w:gridCol w:w="2410"/>
        <w:gridCol w:w="1028"/>
        <w:gridCol w:w="4609"/>
      </w:tblGrid>
      <w:tr w:rsidR="00AD5B3B" w:rsidRPr="00AB4FB8" w14:paraId="023D84E2" w14:textId="77777777" w:rsidTr="00452B5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9AEFA5D" w14:textId="77777777" w:rsidR="00AD5B3B" w:rsidRPr="00AB4FB8" w:rsidRDefault="00AD5B3B" w:rsidP="00452B51">
            <w:pPr>
              <w:spacing w:line="276" w:lineRule="auto"/>
              <w:rPr>
                <w:rFonts w:ascii="Calibri" w:eastAsia="Times New Roman" w:hAnsi="Calibri" w:cs="Times New Roman"/>
                <w:b w:val="0"/>
                <w:bCs w:val="0"/>
                <w:color w:val="FFFFFF"/>
                <w:lang w:eastAsia="en-GB"/>
              </w:rPr>
            </w:pPr>
            <w:r w:rsidRPr="00AB4FB8">
              <w:rPr>
                <w:rFonts w:ascii="Calibri" w:eastAsia="Times New Roman" w:hAnsi="Calibri" w:cs="Times New Roman"/>
                <w:b w:val="0"/>
                <w:bCs w:val="0"/>
                <w:color w:val="FFFFFF"/>
                <w:lang w:eastAsia="en-GB"/>
              </w:rPr>
              <w:t>Asset Class</w:t>
            </w:r>
          </w:p>
        </w:tc>
        <w:tc>
          <w:tcPr>
            <w:tcW w:w="2410" w:type="dxa"/>
            <w:noWrap/>
            <w:vAlign w:val="center"/>
            <w:hideMark/>
          </w:tcPr>
          <w:p w14:paraId="68C78F7C" w14:textId="77777777" w:rsidR="00AD5B3B" w:rsidRPr="00AB4FB8" w:rsidRDefault="00AD5B3B" w:rsidP="00452B5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en-GB"/>
              </w:rPr>
            </w:pPr>
            <w:r w:rsidRPr="00AB4FB8">
              <w:rPr>
                <w:rFonts w:ascii="Calibri" w:eastAsia="Times New Roman" w:hAnsi="Calibri" w:cs="Times New Roman"/>
                <w:b w:val="0"/>
                <w:bCs w:val="0"/>
                <w:color w:val="FFFFFF"/>
                <w:lang w:eastAsia="en-GB"/>
              </w:rPr>
              <w:t>RTS 23 Field</w:t>
            </w:r>
          </w:p>
        </w:tc>
        <w:tc>
          <w:tcPr>
            <w:tcW w:w="1028" w:type="dxa"/>
            <w:noWrap/>
            <w:vAlign w:val="center"/>
            <w:hideMark/>
          </w:tcPr>
          <w:p w14:paraId="4AD86FBF" w14:textId="77777777" w:rsidR="00AD5B3B" w:rsidRPr="00AB4FB8" w:rsidRDefault="00AD5B3B" w:rsidP="00452B5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en-GB"/>
              </w:rPr>
            </w:pPr>
            <w:r w:rsidRPr="00AB4FB8">
              <w:rPr>
                <w:rFonts w:ascii="Calibri" w:eastAsia="Times New Roman" w:hAnsi="Calibri" w:cs="Times New Roman"/>
                <w:b w:val="0"/>
                <w:bCs w:val="0"/>
                <w:color w:val="FFFFFF"/>
                <w:lang w:eastAsia="en-GB"/>
              </w:rPr>
              <w:t>Owner</w:t>
            </w:r>
          </w:p>
        </w:tc>
        <w:tc>
          <w:tcPr>
            <w:tcW w:w="4609" w:type="dxa"/>
            <w:noWrap/>
            <w:vAlign w:val="center"/>
            <w:hideMark/>
          </w:tcPr>
          <w:p w14:paraId="6C43DB36" w14:textId="77777777" w:rsidR="00AD5B3B" w:rsidRPr="00AB4FB8" w:rsidRDefault="00AD5B3B" w:rsidP="00452B5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lang w:eastAsia="en-GB"/>
              </w:rPr>
            </w:pPr>
            <w:r w:rsidRPr="00AB4FB8">
              <w:rPr>
                <w:rFonts w:ascii="Calibri" w:eastAsia="Times New Roman" w:hAnsi="Calibri" w:cs="Times New Roman"/>
                <w:b w:val="0"/>
                <w:bCs w:val="0"/>
                <w:color w:val="FFFFFF"/>
                <w:lang w:eastAsia="en-GB"/>
              </w:rPr>
              <w:t>Source</w:t>
            </w:r>
          </w:p>
        </w:tc>
      </w:tr>
      <w:tr w:rsidR="00AD5B3B" w:rsidRPr="00AB4FB8" w14:paraId="0CA316C0" w14:textId="77777777" w:rsidTr="00452B51">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D1F72B3" w14:textId="77777777" w:rsidR="00AD5B3B" w:rsidRPr="00AB4FB8" w:rsidRDefault="00AD5B3B" w:rsidP="00452B51">
            <w:pPr>
              <w:spacing w:line="276" w:lineRule="auto"/>
              <w:rPr>
                <w:rFonts w:ascii="Calibri" w:eastAsia="Times New Roman" w:hAnsi="Calibri" w:cs="Times New Roman"/>
                <w:b w:val="0"/>
                <w:color w:val="000000"/>
                <w:lang w:eastAsia="en-GB"/>
              </w:rPr>
            </w:pPr>
            <w:r w:rsidRPr="00AB4FB8">
              <w:rPr>
                <w:rFonts w:ascii="Calibri" w:eastAsia="Times New Roman" w:hAnsi="Calibri" w:cs="Times New Roman"/>
                <w:b w:val="0"/>
                <w:color w:val="000000"/>
                <w:lang w:eastAsia="en-GB"/>
              </w:rPr>
              <w:t>Rates</w:t>
            </w:r>
          </w:p>
        </w:tc>
        <w:tc>
          <w:tcPr>
            <w:tcW w:w="2410" w:type="dxa"/>
            <w:noWrap/>
            <w:vAlign w:val="center"/>
            <w:hideMark/>
          </w:tcPr>
          <w:p w14:paraId="0A7FF109" w14:textId="77777777" w:rsidR="00AD5B3B" w:rsidRPr="00AB4FB8"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Reference Rate</w:t>
            </w:r>
          </w:p>
        </w:tc>
        <w:tc>
          <w:tcPr>
            <w:tcW w:w="1028" w:type="dxa"/>
            <w:noWrap/>
            <w:vAlign w:val="center"/>
            <w:hideMark/>
          </w:tcPr>
          <w:p w14:paraId="694E8C9F" w14:textId="77777777" w:rsidR="00AD5B3B" w:rsidRPr="00AB4FB8"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FpML</w:t>
            </w:r>
          </w:p>
        </w:tc>
        <w:tc>
          <w:tcPr>
            <w:tcW w:w="4609" w:type="dxa"/>
            <w:vAlign w:val="center"/>
            <w:hideMark/>
          </w:tcPr>
          <w:p w14:paraId="0575A0B6" w14:textId="7A0C2F5D" w:rsidR="00AD5B3B" w:rsidRPr="00AB4FB8" w:rsidRDefault="00903D74"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563C1"/>
                <w:u w:val="single"/>
                <w:lang w:eastAsia="en-GB"/>
              </w:rPr>
            </w:pPr>
            <w:hyperlink r:id="rId36" w:history="1">
              <w:r w:rsidR="007C3C00" w:rsidRPr="00930265">
                <w:rPr>
                  <w:rStyle w:val="Hyperlink"/>
                  <w:rFonts w:ascii="Calibri" w:eastAsia="Times New Roman" w:hAnsi="Calibri" w:cs="Times New Roman"/>
                  <w:lang w:eastAsia="en-GB"/>
                </w:rPr>
                <w:t>http://www.fpml.org/spec/coding-scheme/fpml-schemes.html#s5.95</w:t>
              </w:r>
            </w:hyperlink>
          </w:p>
        </w:tc>
      </w:tr>
      <w:tr w:rsidR="00AD5B3B" w:rsidRPr="00AB4FB8" w14:paraId="15485848" w14:textId="77777777" w:rsidTr="00452B51">
        <w:trPr>
          <w:trHeight w:val="417"/>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7AC72CE" w14:textId="77777777" w:rsidR="00AD5B3B" w:rsidRPr="00AB4FB8" w:rsidRDefault="00AD5B3B" w:rsidP="00452B51">
            <w:pPr>
              <w:spacing w:line="276" w:lineRule="auto"/>
              <w:rPr>
                <w:rFonts w:ascii="Calibri" w:eastAsia="Times New Roman" w:hAnsi="Calibri" w:cs="Times New Roman"/>
                <w:b w:val="0"/>
                <w:color w:val="000000"/>
                <w:lang w:eastAsia="en-GB"/>
              </w:rPr>
            </w:pPr>
            <w:r w:rsidRPr="00AB4FB8">
              <w:rPr>
                <w:rFonts w:ascii="Calibri" w:eastAsia="Times New Roman" w:hAnsi="Calibri" w:cs="Times New Roman"/>
                <w:b w:val="0"/>
                <w:color w:val="000000"/>
                <w:lang w:eastAsia="en-GB"/>
              </w:rPr>
              <w:t>Rates - CPI</w:t>
            </w:r>
          </w:p>
        </w:tc>
        <w:tc>
          <w:tcPr>
            <w:tcW w:w="2410" w:type="dxa"/>
            <w:noWrap/>
            <w:vAlign w:val="center"/>
            <w:hideMark/>
          </w:tcPr>
          <w:p w14:paraId="5DBD255F" w14:textId="77777777" w:rsidR="00AD5B3B" w:rsidRPr="00AB4FB8" w:rsidRDefault="00AD5B3B"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Reference Rate</w:t>
            </w:r>
          </w:p>
        </w:tc>
        <w:tc>
          <w:tcPr>
            <w:tcW w:w="1028" w:type="dxa"/>
            <w:noWrap/>
            <w:vAlign w:val="center"/>
            <w:hideMark/>
          </w:tcPr>
          <w:p w14:paraId="3C4F93DD" w14:textId="77777777" w:rsidR="00AD5B3B" w:rsidRPr="00AB4FB8" w:rsidRDefault="00AD5B3B"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FpML</w:t>
            </w:r>
          </w:p>
        </w:tc>
        <w:tc>
          <w:tcPr>
            <w:tcW w:w="4609" w:type="dxa"/>
            <w:vAlign w:val="center"/>
            <w:hideMark/>
          </w:tcPr>
          <w:p w14:paraId="53E863C5" w14:textId="7F016D7F" w:rsidR="00AD5B3B" w:rsidRPr="00AB4FB8" w:rsidRDefault="00903D74"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563C1"/>
                <w:u w:val="single"/>
                <w:lang w:eastAsia="en-GB"/>
              </w:rPr>
            </w:pPr>
            <w:hyperlink r:id="rId37" w:anchor="s5.105" w:history="1">
              <w:r w:rsidR="007C3C00" w:rsidRPr="00284B6A">
                <w:rPr>
                  <w:rStyle w:val="Hyperlink"/>
                </w:rPr>
                <w:t>http://www.fpml.org/spec/coding-scheme/fpml-schemes.html#s5.105</w:t>
              </w:r>
            </w:hyperlink>
          </w:p>
        </w:tc>
      </w:tr>
      <w:tr w:rsidR="00AD5B3B" w:rsidRPr="00AB4FB8" w14:paraId="6574DBF2" w14:textId="77777777" w:rsidTr="00452B51">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136F8239" w14:textId="77777777" w:rsidR="00AD5B3B" w:rsidRPr="00AB4FB8" w:rsidRDefault="00AD5B3B" w:rsidP="00452B51">
            <w:pPr>
              <w:spacing w:line="276" w:lineRule="auto"/>
              <w:rPr>
                <w:rFonts w:ascii="Calibri" w:eastAsia="Times New Roman" w:hAnsi="Calibri" w:cs="Times New Roman"/>
                <w:b w:val="0"/>
                <w:color w:val="000000"/>
                <w:lang w:eastAsia="en-GB"/>
              </w:rPr>
            </w:pPr>
            <w:r>
              <w:rPr>
                <w:rFonts w:ascii="Calibri" w:eastAsia="Times New Roman" w:hAnsi="Calibri" w:cs="Times New Roman"/>
                <w:b w:val="0"/>
                <w:color w:val="000000"/>
                <w:lang w:eastAsia="en-GB"/>
              </w:rPr>
              <w:t>Commodities</w:t>
            </w:r>
          </w:p>
        </w:tc>
        <w:tc>
          <w:tcPr>
            <w:tcW w:w="2410" w:type="dxa"/>
            <w:noWrap/>
            <w:vAlign w:val="center"/>
          </w:tcPr>
          <w:p w14:paraId="37E383CC" w14:textId="77777777" w:rsidR="00AD5B3B" w:rsidRPr="00AB4FB8"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Underlying Instrument Index</w:t>
            </w:r>
          </w:p>
        </w:tc>
        <w:tc>
          <w:tcPr>
            <w:tcW w:w="1028" w:type="dxa"/>
            <w:noWrap/>
            <w:vAlign w:val="center"/>
          </w:tcPr>
          <w:p w14:paraId="2E4400B4" w14:textId="77777777" w:rsidR="00AD5B3B" w:rsidRPr="00AB4FB8"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
        </w:tc>
        <w:tc>
          <w:tcPr>
            <w:tcW w:w="4609" w:type="dxa"/>
            <w:vAlign w:val="center"/>
          </w:tcPr>
          <w:p w14:paraId="01DBB9D5" w14:textId="77777777" w:rsidR="00AD5B3B" w:rsidRPr="001B4D2C"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563C1"/>
                <w:lang w:eastAsia="en-GB"/>
              </w:rPr>
            </w:pPr>
            <w:r>
              <w:rPr>
                <w:rFonts w:ascii="Calibri" w:eastAsia="Times New Roman" w:hAnsi="Calibri" w:cs="Times New Roman"/>
                <w:lang w:eastAsia="en-GB"/>
              </w:rPr>
              <w:t>Standard Market Indices</w:t>
            </w:r>
          </w:p>
        </w:tc>
      </w:tr>
      <w:tr w:rsidR="00AD5B3B" w:rsidRPr="00AB4FB8" w14:paraId="2F9B52E6" w14:textId="77777777" w:rsidTr="00452B51">
        <w:trPr>
          <w:trHeight w:val="409"/>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F26BC44" w14:textId="77777777" w:rsidR="00AD5B3B" w:rsidRPr="00AB4FB8" w:rsidRDefault="00AD5B3B" w:rsidP="00452B51">
            <w:pPr>
              <w:spacing w:line="276" w:lineRule="auto"/>
              <w:rPr>
                <w:rFonts w:ascii="Calibri" w:eastAsia="Times New Roman" w:hAnsi="Calibri" w:cs="Times New Roman"/>
                <w:b w:val="0"/>
                <w:color w:val="000000"/>
                <w:lang w:eastAsia="en-GB"/>
              </w:rPr>
            </w:pPr>
            <w:r w:rsidRPr="00AB4FB8">
              <w:rPr>
                <w:rFonts w:ascii="Calibri" w:eastAsia="Times New Roman" w:hAnsi="Calibri" w:cs="Times New Roman"/>
                <w:b w:val="0"/>
                <w:color w:val="000000"/>
                <w:lang w:eastAsia="en-GB"/>
              </w:rPr>
              <w:t>Commodities</w:t>
            </w:r>
          </w:p>
        </w:tc>
        <w:tc>
          <w:tcPr>
            <w:tcW w:w="2410" w:type="dxa"/>
            <w:noWrap/>
            <w:vAlign w:val="center"/>
            <w:hideMark/>
          </w:tcPr>
          <w:p w14:paraId="1C115605" w14:textId="77777777" w:rsidR="00AD5B3B" w:rsidRPr="00AB4FB8" w:rsidRDefault="00AD5B3B"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Reference Rate</w:t>
            </w:r>
          </w:p>
        </w:tc>
        <w:tc>
          <w:tcPr>
            <w:tcW w:w="1028" w:type="dxa"/>
            <w:noWrap/>
            <w:vAlign w:val="center"/>
            <w:hideMark/>
          </w:tcPr>
          <w:p w14:paraId="601DC512" w14:textId="77777777" w:rsidR="00AD5B3B" w:rsidRPr="00AB4FB8" w:rsidRDefault="00AD5B3B"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FpML</w:t>
            </w:r>
          </w:p>
        </w:tc>
        <w:tc>
          <w:tcPr>
            <w:tcW w:w="4609" w:type="dxa"/>
            <w:vAlign w:val="center"/>
          </w:tcPr>
          <w:p w14:paraId="711E39C6" w14:textId="77777777" w:rsidR="00AD5B3B" w:rsidRPr="00AB4FB8" w:rsidRDefault="00AD5B3B"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563C1"/>
                <w:u w:val="single"/>
                <w:lang w:eastAsia="en-GB"/>
              </w:rPr>
            </w:pPr>
            <w:r w:rsidRPr="00AB4FB8">
              <w:rPr>
                <w:rFonts w:ascii="Calibri" w:eastAsia="Times New Roman" w:hAnsi="Calibri" w:cs="Times New Roman"/>
                <w:color w:val="0563C1"/>
                <w:u w:val="single"/>
                <w:lang w:eastAsia="en-GB"/>
              </w:rPr>
              <w:t xml:space="preserve"> ISDA Taxonomy 2.0</w:t>
            </w:r>
          </w:p>
        </w:tc>
      </w:tr>
      <w:tr w:rsidR="00AD5B3B" w:rsidRPr="00AB4FB8" w14:paraId="7D61089F" w14:textId="77777777" w:rsidTr="00452B51">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74C7FFAB" w14:textId="77777777" w:rsidR="00AD5B3B" w:rsidRPr="00AB4FB8" w:rsidRDefault="00AD5B3B" w:rsidP="00452B51">
            <w:pPr>
              <w:spacing w:line="276" w:lineRule="auto"/>
              <w:rPr>
                <w:rFonts w:ascii="Calibri" w:eastAsia="Times New Roman" w:hAnsi="Calibri" w:cs="Times New Roman"/>
                <w:b w:val="0"/>
                <w:color w:val="000000"/>
                <w:lang w:eastAsia="en-GB"/>
              </w:rPr>
            </w:pPr>
            <w:r w:rsidRPr="00AB4FB8">
              <w:rPr>
                <w:rFonts w:ascii="Calibri" w:eastAsia="Times New Roman" w:hAnsi="Calibri" w:cs="Times New Roman"/>
                <w:b w:val="0"/>
                <w:color w:val="000000"/>
                <w:lang w:eastAsia="en-GB"/>
              </w:rPr>
              <w:t>Credit</w:t>
            </w:r>
          </w:p>
        </w:tc>
        <w:tc>
          <w:tcPr>
            <w:tcW w:w="2410" w:type="dxa"/>
            <w:vAlign w:val="center"/>
            <w:hideMark/>
          </w:tcPr>
          <w:p w14:paraId="37A83337" w14:textId="77777777" w:rsidR="00AD5B3B" w:rsidRPr="00AB4FB8"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Underlying Instrument Index</w:t>
            </w:r>
          </w:p>
        </w:tc>
        <w:tc>
          <w:tcPr>
            <w:tcW w:w="1028" w:type="dxa"/>
            <w:vAlign w:val="center"/>
            <w:hideMark/>
          </w:tcPr>
          <w:p w14:paraId="4AC194A1" w14:textId="77777777" w:rsidR="00AD5B3B" w:rsidRPr="00AB4FB8"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B4FB8">
              <w:rPr>
                <w:rFonts w:ascii="Calibri" w:eastAsia="Times New Roman" w:hAnsi="Calibri" w:cs="Times New Roman"/>
                <w:color w:val="000000"/>
                <w:lang w:eastAsia="en-GB"/>
              </w:rPr>
              <w:t>Markit</w:t>
            </w:r>
            <w:proofErr w:type="spellEnd"/>
          </w:p>
        </w:tc>
        <w:tc>
          <w:tcPr>
            <w:tcW w:w="4609" w:type="dxa"/>
            <w:vAlign w:val="center"/>
            <w:hideMark/>
          </w:tcPr>
          <w:p w14:paraId="7F6FC18C" w14:textId="77777777" w:rsidR="00AD5B3B" w:rsidRPr="00AB4FB8"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B4FB8">
              <w:rPr>
                <w:rFonts w:ascii="Calibri" w:eastAsia="Times New Roman" w:hAnsi="Calibri" w:cs="Times New Roman"/>
                <w:color w:val="000000"/>
                <w:lang w:eastAsia="en-GB"/>
              </w:rPr>
              <w:t>Markit</w:t>
            </w:r>
            <w:proofErr w:type="spellEnd"/>
            <w:r w:rsidRPr="00AB4FB8">
              <w:rPr>
                <w:rFonts w:ascii="Calibri" w:eastAsia="Times New Roman" w:hAnsi="Calibri" w:cs="Times New Roman"/>
                <w:color w:val="000000"/>
                <w:lang w:eastAsia="en-GB"/>
              </w:rPr>
              <w:t xml:space="preserve"> Index Legal Long name</w:t>
            </w:r>
          </w:p>
        </w:tc>
      </w:tr>
      <w:tr w:rsidR="00AD5B3B" w:rsidRPr="00AB4FB8" w14:paraId="706E4CBC" w14:textId="77777777" w:rsidTr="00452B51">
        <w:trPr>
          <w:trHeight w:val="582"/>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0E94CA34" w14:textId="77777777" w:rsidR="00AD5B3B" w:rsidRPr="00AB4FB8" w:rsidRDefault="00AD5B3B" w:rsidP="00452B51">
            <w:pPr>
              <w:spacing w:line="276" w:lineRule="auto"/>
              <w:rPr>
                <w:rFonts w:ascii="Calibri" w:eastAsia="Times New Roman" w:hAnsi="Calibri" w:cs="Times New Roman"/>
                <w:b w:val="0"/>
                <w:color w:val="000000"/>
                <w:lang w:eastAsia="en-GB"/>
              </w:rPr>
            </w:pPr>
            <w:r w:rsidRPr="00AB4FB8">
              <w:rPr>
                <w:rFonts w:ascii="Calibri" w:eastAsia="Times New Roman" w:hAnsi="Calibri" w:cs="Times New Roman"/>
                <w:b w:val="0"/>
                <w:color w:val="000000"/>
                <w:lang w:eastAsia="en-GB"/>
              </w:rPr>
              <w:t>Equities</w:t>
            </w:r>
          </w:p>
        </w:tc>
        <w:tc>
          <w:tcPr>
            <w:tcW w:w="2410" w:type="dxa"/>
            <w:vAlign w:val="center"/>
            <w:hideMark/>
          </w:tcPr>
          <w:p w14:paraId="7D1DEBE7" w14:textId="77777777" w:rsidR="00AD5B3B" w:rsidRPr="00AB4FB8" w:rsidRDefault="00AD5B3B"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Underlying Instrument Index</w:t>
            </w:r>
          </w:p>
        </w:tc>
        <w:tc>
          <w:tcPr>
            <w:tcW w:w="1028" w:type="dxa"/>
            <w:noWrap/>
            <w:vAlign w:val="center"/>
            <w:hideMark/>
          </w:tcPr>
          <w:p w14:paraId="7FEFF3E7" w14:textId="77777777" w:rsidR="00AD5B3B" w:rsidRPr="00AB4FB8" w:rsidRDefault="00AD5B3B"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AB4FB8">
              <w:rPr>
                <w:rFonts w:ascii="Calibri" w:eastAsia="Times New Roman" w:hAnsi="Calibri" w:cs="Times New Roman"/>
                <w:color w:val="000000"/>
                <w:lang w:eastAsia="en-GB"/>
              </w:rPr>
              <w:t>ESMA</w:t>
            </w:r>
          </w:p>
        </w:tc>
        <w:tc>
          <w:tcPr>
            <w:tcW w:w="4609" w:type="dxa"/>
            <w:vAlign w:val="center"/>
            <w:hideMark/>
          </w:tcPr>
          <w:p w14:paraId="336CCFD7" w14:textId="77777777" w:rsidR="00AD5B3B" w:rsidRPr="00AB4FB8" w:rsidRDefault="00903D74"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hyperlink r:id="rId38" w:history="1">
              <w:r w:rsidR="00AD5B3B" w:rsidRPr="00AB4FB8">
                <w:rPr>
                  <w:rStyle w:val="Hyperlink"/>
                </w:rPr>
                <w:t>https://www.esma.europa.eu/sites/default/files/equity_derivatives_i.xlsx</w:t>
              </w:r>
            </w:hyperlink>
          </w:p>
        </w:tc>
      </w:tr>
    </w:tbl>
    <w:p w14:paraId="30ADF928" w14:textId="77777777" w:rsidR="00AD5B3B" w:rsidRDefault="00AD5B3B" w:rsidP="00AD5B3B">
      <w:pPr>
        <w:pStyle w:val="Heading2"/>
        <w:ind w:left="567"/>
      </w:pPr>
      <w:bookmarkStart w:id="24" w:name="_Toc500926770"/>
      <w:bookmarkStart w:id="25" w:name="_Toc527364483"/>
      <w:r>
        <w:lastRenderedPageBreak/>
        <w:t>Proprietary Indices</w:t>
      </w:r>
      <w:bookmarkEnd w:id="24"/>
      <w:bookmarkEnd w:id="25"/>
    </w:p>
    <w:p w14:paraId="1D3C4894" w14:textId="77777777" w:rsidR="00AD5B3B" w:rsidRDefault="00AD5B3B" w:rsidP="00AD5B3B"/>
    <w:p w14:paraId="2CB90F76" w14:textId="77777777" w:rsidR="00AD5B3B" w:rsidRDefault="00AD5B3B" w:rsidP="00AD5B3B">
      <w:r>
        <w:t>The DSB has developed a change workflow for Proprietary Indices that is being published on Wednesday 25</w:t>
      </w:r>
      <w:r w:rsidRPr="000C7A3E">
        <w:rPr>
          <w:vertAlign w:val="superscript"/>
        </w:rPr>
        <w:t>th</w:t>
      </w:r>
      <w:r>
        <w:t xml:space="preserve"> September.</w:t>
      </w:r>
    </w:p>
    <w:p w14:paraId="5292F676" w14:textId="77777777" w:rsidR="00AD5B3B" w:rsidRDefault="00AD5B3B" w:rsidP="00AD5B3B"/>
    <w:p w14:paraId="6B05E97A" w14:textId="77777777" w:rsidR="00AD5B3B" w:rsidRPr="000C7A3E" w:rsidRDefault="00AD5B3B" w:rsidP="00AD5B3B">
      <w:r>
        <w:t xml:space="preserve">The workflow with allow </w:t>
      </w:r>
      <w:proofErr w:type="spellStart"/>
      <w:r>
        <w:t>authorised</w:t>
      </w:r>
      <w:proofErr w:type="spellEnd"/>
      <w:r>
        <w:t xml:space="preserve"> requesters to submit proprietary indices to the DSB for use as underlying references for ISIN creation.</w:t>
      </w:r>
    </w:p>
    <w:p w14:paraId="5CDADAA4" w14:textId="77777777" w:rsidR="00AD5B3B" w:rsidRDefault="00AD5B3B" w:rsidP="00AD5B3B"/>
    <w:tbl>
      <w:tblPr>
        <w:tblStyle w:val="GridTable4-Accent5"/>
        <w:tblW w:w="8784" w:type="dxa"/>
        <w:tblLook w:val="04A0" w:firstRow="1" w:lastRow="0" w:firstColumn="1" w:lastColumn="0" w:noHBand="0" w:noVBand="1"/>
      </w:tblPr>
      <w:tblGrid>
        <w:gridCol w:w="1403"/>
        <w:gridCol w:w="1711"/>
        <w:gridCol w:w="766"/>
        <w:gridCol w:w="4904"/>
      </w:tblGrid>
      <w:tr w:rsidR="00AD5B3B" w:rsidRPr="00CC4885" w14:paraId="53833D01" w14:textId="77777777" w:rsidTr="00452B5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03" w:type="dxa"/>
            <w:noWrap/>
            <w:vAlign w:val="center"/>
            <w:hideMark/>
          </w:tcPr>
          <w:p w14:paraId="5302A004" w14:textId="77777777" w:rsidR="00AD5B3B" w:rsidRPr="00CC4885" w:rsidRDefault="00AD5B3B" w:rsidP="00452B51">
            <w:pPr>
              <w:spacing w:line="276" w:lineRule="auto"/>
              <w:rPr>
                <w:rFonts w:ascii="Calibri" w:eastAsia="Times New Roman" w:hAnsi="Calibri" w:cs="Times New Roman"/>
                <w:b w:val="0"/>
                <w:bCs w:val="0"/>
                <w:color w:val="FFFFFF"/>
                <w:sz w:val="20"/>
                <w:szCs w:val="20"/>
                <w:lang w:eastAsia="en-GB"/>
              </w:rPr>
            </w:pPr>
            <w:r w:rsidRPr="00CC4885">
              <w:rPr>
                <w:rFonts w:ascii="Calibri" w:eastAsia="Times New Roman" w:hAnsi="Calibri" w:cs="Times New Roman"/>
                <w:b w:val="0"/>
                <w:bCs w:val="0"/>
                <w:color w:val="FFFFFF"/>
                <w:sz w:val="20"/>
                <w:szCs w:val="20"/>
                <w:lang w:eastAsia="en-GB"/>
              </w:rPr>
              <w:t>Asset Class</w:t>
            </w:r>
          </w:p>
        </w:tc>
        <w:tc>
          <w:tcPr>
            <w:tcW w:w="1711" w:type="dxa"/>
            <w:noWrap/>
            <w:vAlign w:val="center"/>
            <w:hideMark/>
          </w:tcPr>
          <w:p w14:paraId="26C19C83" w14:textId="77777777" w:rsidR="00AD5B3B" w:rsidRPr="00CC4885" w:rsidRDefault="00AD5B3B" w:rsidP="00452B5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0"/>
                <w:szCs w:val="20"/>
                <w:lang w:eastAsia="en-GB"/>
              </w:rPr>
            </w:pPr>
            <w:r w:rsidRPr="00CC4885">
              <w:rPr>
                <w:rFonts w:ascii="Calibri" w:eastAsia="Times New Roman" w:hAnsi="Calibri" w:cs="Times New Roman"/>
                <w:b w:val="0"/>
                <w:bCs w:val="0"/>
                <w:color w:val="FFFFFF"/>
                <w:sz w:val="20"/>
                <w:szCs w:val="20"/>
                <w:lang w:eastAsia="en-GB"/>
              </w:rPr>
              <w:t>RTS 23 Field</w:t>
            </w:r>
          </w:p>
        </w:tc>
        <w:tc>
          <w:tcPr>
            <w:tcW w:w="766" w:type="dxa"/>
            <w:noWrap/>
            <w:vAlign w:val="center"/>
            <w:hideMark/>
          </w:tcPr>
          <w:p w14:paraId="6C9E0602" w14:textId="77777777" w:rsidR="00AD5B3B" w:rsidRPr="00CC4885" w:rsidRDefault="00AD5B3B" w:rsidP="00452B5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0"/>
                <w:szCs w:val="20"/>
                <w:lang w:eastAsia="en-GB"/>
              </w:rPr>
            </w:pPr>
            <w:r w:rsidRPr="00CC4885">
              <w:rPr>
                <w:rFonts w:ascii="Calibri" w:eastAsia="Times New Roman" w:hAnsi="Calibri" w:cs="Times New Roman"/>
                <w:b w:val="0"/>
                <w:bCs w:val="0"/>
                <w:color w:val="FFFFFF"/>
                <w:sz w:val="20"/>
                <w:szCs w:val="20"/>
                <w:lang w:eastAsia="en-GB"/>
              </w:rPr>
              <w:t>Owner</w:t>
            </w:r>
          </w:p>
        </w:tc>
        <w:tc>
          <w:tcPr>
            <w:tcW w:w="4904" w:type="dxa"/>
            <w:noWrap/>
            <w:vAlign w:val="center"/>
            <w:hideMark/>
          </w:tcPr>
          <w:p w14:paraId="05597251" w14:textId="77777777" w:rsidR="00AD5B3B" w:rsidRPr="00CC4885" w:rsidRDefault="00AD5B3B" w:rsidP="00452B51">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FFFFFF"/>
                <w:sz w:val="20"/>
                <w:szCs w:val="20"/>
                <w:lang w:eastAsia="en-GB"/>
              </w:rPr>
            </w:pPr>
            <w:r w:rsidRPr="00CC4885">
              <w:rPr>
                <w:rFonts w:ascii="Calibri" w:eastAsia="Times New Roman" w:hAnsi="Calibri" w:cs="Times New Roman"/>
                <w:b w:val="0"/>
                <w:bCs w:val="0"/>
                <w:color w:val="FFFFFF"/>
                <w:sz w:val="20"/>
                <w:szCs w:val="20"/>
                <w:lang w:eastAsia="en-GB"/>
              </w:rPr>
              <w:t>Source</w:t>
            </w:r>
          </w:p>
        </w:tc>
      </w:tr>
      <w:tr w:rsidR="00AD5B3B" w:rsidRPr="00CC4885" w14:paraId="0F0B819F" w14:textId="77777777" w:rsidTr="00452B51">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403" w:type="dxa"/>
            <w:noWrap/>
            <w:vAlign w:val="center"/>
            <w:hideMark/>
          </w:tcPr>
          <w:p w14:paraId="6CC83650" w14:textId="77777777" w:rsidR="00AD5B3B" w:rsidRPr="00AE21E6" w:rsidRDefault="00AD5B3B" w:rsidP="00452B51">
            <w:pPr>
              <w:spacing w:line="276" w:lineRule="auto"/>
              <w:rPr>
                <w:rFonts w:ascii="Calibri" w:eastAsia="Times New Roman" w:hAnsi="Calibri" w:cs="Times New Roman"/>
                <w:b w:val="0"/>
                <w:color w:val="000000"/>
                <w:sz w:val="20"/>
                <w:szCs w:val="20"/>
                <w:lang w:eastAsia="en-GB"/>
              </w:rPr>
            </w:pPr>
            <w:r w:rsidRPr="00AE21E6">
              <w:rPr>
                <w:rFonts w:ascii="Calibri" w:eastAsia="Times New Roman" w:hAnsi="Calibri" w:cs="Times New Roman"/>
                <w:b w:val="0"/>
                <w:color w:val="000000"/>
                <w:sz w:val="20"/>
                <w:szCs w:val="20"/>
                <w:lang w:eastAsia="en-GB"/>
              </w:rPr>
              <w:t>Commodities</w:t>
            </w:r>
          </w:p>
        </w:tc>
        <w:tc>
          <w:tcPr>
            <w:tcW w:w="1711" w:type="dxa"/>
            <w:noWrap/>
            <w:vAlign w:val="center"/>
            <w:hideMark/>
          </w:tcPr>
          <w:p w14:paraId="57D88AEE" w14:textId="77777777" w:rsidR="00AD5B3B" w:rsidRPr="00CC4885"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CC4885">
              <w:rPr>
                <w:rFonts w:ascii="Calibri" w:eastAsia="Times New Roman" w:hAnsi="Calibri" w:cs="Times New Roman"/>
                <w:color w:val="000000"/>
                <w:sz w:val="20"/>
                <w:szCs w:val="20"/>
                <w:lang w:eastAsia="en-GB"/>
              </w:rPr>
              <w:t>Underlying Instrument Index</w:t>
            </w:r>
          </w:p>
        </w:tc>
        <w:tc>
          <w:tcPr>
            <w:tcW w:w="766" w:type="dxa"/>
            <w:noWrap/>
            <w:vAlign w:val="center"/>
            <w:hideMark/>
          </w:tcPr>
          <w:p w14:paraId="2956ADA5" w14:textId="77777777" w:rsidR="00AD5B3B" w:rsidRPr="00CC4885"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DSB</w:t>
            </w:r>
          </w:p>
        </w:tc>
        <w:tc>
          <w:tcPr>
            <w:tcW w:w="4904" w:type="dxa"/>
            <w:vAlign w:val="center"/>
          </w:tcPr>
          <w:p w14:paraId="7D505CF8" w14:textId="77777777" w:rsidR="00AD5B3B" w:rsidRPr="000C7A3E"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563C1"/>
                <w:sz w:val="20"/>
                <w:szCs w:val="20"/>
                <w:lang w:eastAsia="en-GB"/>
              </w:rPr>
            </w:pPr>
            <w:r w:rsidRPr="000C7A3E">
              <w:rPr>
                <w:rFonts w:ascii="Calibri" w:eastAsia="Times New Roman" w:hAnsi="Calibri" w:cs="Times New Roman"/>
                <w:sz w:val="20"/>
                <w:szCs w:val="20"/>
                <w:lang w:eastAsia="en-GB"/>
              </w:rPr>
              <w:t xml:space="preserve">Proprietary Index list comprised of industry submission &amp; maintained by the DSB </w:t>
            </w:r>
          </w:p>
        </w:tc>
      </w:tr>
      <w:tr w:rsidR="00AD5B3B" w:rsidRPr="00CC4885" w14:paraId="39817E80" w14:textId="77777777" w:rsidTr="00452B51">
        <w:trPr>
          <w:trHeight w:val="698"/>
        </w:trPr>
        <w:tc>
          <w:tcPr>
            <w:cnfStyle w:val="001000000000" w:firstRow="0" w:lastRow="0" w:firstColumn="1" w:lastColumn="0" w:oddVBand="0" w:evenVBand="0" w:oddHBand="0" w:evenHBand="0" w:firstRowFirstColumn="0" w:firstRowLastColumn="0" w:lastRowFirstColumn="0" w:lastRowLastColumn="0"/>
            <w:tcW w:w="1403" w:type="dxa"/>
            <w:vAlign w:val="center"/>
            <w:hideMark/>
          </w:tcPr>
          <w:p w14:paraId="4778570D" w14:textId="77777777" w:rsidR="00AD5B3B" w:rsidRPr="00AE21E6" w:rsidRDefault="00AD5B3B" w:rsidP="00452B51">
            <w:pPr>
              <w:spacing w:line="276" w:lineRule="auto"/>
              <w:rPr>
                <w:rFonts w:ascii="Calibri" w:eastAsia="Times New Roman" w:hAnsi="Calibri" w:cs="Times New Roman"/>
                <w:b w:val="0"/>
                <w:color w:val="000000"/>
                <w:sz w:val="20"/>
                <w:szCs w:val="20"/>
                <w:lang w:eastAsia="en-GB"/>
              </w:rPr>
            </w:pPr>
            <w:r w:rsidRPr="00AE21E6">
              <w:rPr>
                <w:rFonts w:ascii="Calibri" w:eastAsia="Times New Roman" w:hAnsi="Calibri" w:cs="Times New Roman"/>
                <w:b w:val="0"/>
                <w:color w:val="000000"/>
                <w:sz w:val="20"/>
                <w:szCs w:val="20"/>
                <w:lang w:eastAsia="en-GB"/>
              </w:rPr>
              <w:t>Credit</w:t>
            </w:r>
          </w:p>
        </w:tc>
        <w:tc>
          <w:tcPr>
            <w:tcW w:w="1711" w:type="dxa"/>
            <w:vAlign w:val="center"/>
            <w:hideMark/>
          </w:tcPr>
          <w:p w14:paraId="6EB06097" w14:textId="77777777" w:rsidR="00AD5B3B" w:rsidRPr="00CC4885" w:rsidRDefault="00AD5B3B"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CC4885">
              <w:rPr>
                <w:rFonts w:ascii="Calibri" w:eastAsia="Times New Roman" w:hAnsi="Calibri" w:cs="Times New Roman"/>
                <w:color w:val="000000"/>
                <w:sz w:val="20"/>
                <w:szCs w:val="20"/>
                <w:lang w:eastAsia="en-GB"/>
              </w:rPr>
              <w:t>Underlying Instrument Index</w:t>
            </w:r>
          </w:p>
        </w:tc>
        <w:tc>
          <w:tcPr>
            <w:tcW w:w="766" w:type="dxa"/>
            <w:vAlign w:val="center"/>
            <w:hideMark/>
          </w:tcPr>
          <w:p w14:paraId="7F767D02" w14:textId="77777777" w:rsidR="00AD5B3B" w:rsidRPr="00CC4885" w:rsidRDefault="00AD5B3B"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DSB</w:t>
            </w:r>
          </w:p>
        </w:tc>
        <w:tc>
          <w:tcPr>
            <w:tcW w:w="4904" w:type="dxa"/>
            <w:vAlign w:val="center"/>
            <w:hideMark/>
          </w:tcPr>
          <w:p w14:paraId="7FA6B52D" w14:textId="77777777" w:rsidR="00AD5B3B" w:rsidRPr="00CC4885" w:rsidRDefault="00AD5B3B" w:rsidP="00452B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en-GB"/>
              </w:rPr>
            </w:pPr>
            <w:r w:rsidRPr="000C7A3E">
              <w:rPr>
                <w:rFonts w:ascii="Calibri" w:eastAsia="Times New Roman" w:hAnsi="Calibri" w:cs="Times New Roman"/>
                <w:sz w:val="20"/>
                <w:szCs w:val="20"/>
                <w:lang w:eastAsia="en-GB"/>
              </w:rPr>
              <w:t>Proprietary Index list comprised of industry submission &amp; maintained by the DSB</w:t>
            </w:r>
          </w:p>
        </w:tc>
      </w:tr>
      <w:tr w:rsidR="00AD5B3B" w:rsidRPr="00B639EF" w14:paraId="43CCA517" w14:textId="77777777" w:rsidTr="00452B51">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403" w:type="dxa"/>
            <w:noWrap/>
            <w:vAlign w:val="center"/>
            <w:hideMark/>
          </w:tcPr>
          <w:p w14:paraId="37DED7C8" w14:textId="77777777" w:rsidR="00AD5B3B" w:rsidRPr="00AE21E6" w:rsidRDefault="00AD5B3B" w:rsidP="00452B51">
            <w:pPr>
              <w:spacing w:line="276" w:lineRule="auto"/>
              <w:rPr>
                <w:rFonts w:ascii="Calibri" w:eastAsia="Times New Roman" w:hAnsi="Calibri" w:cs="Times New Roman"/>
                <w:b w:val="0"/>
                <w:color w:val="000000"/>
                <w:sz w:val="20"/>
                <w:szCs w:val="20"/>
                <w:lang w:eastAsia="en-GB"/>
              </w:rPr>
            </w:pPr>
            <w:r w:rsidRPr="00AE21E6">
              <w:rPr>
                <w:rFonts w:ascii="Calibri" w:eastAsia="Times New Roman" w:hAnsi="Calibri" w:cs="Times New Roman"/>
                <w:b w:val="0"/>
                <w:color w:val="000000"/>
                <w:sz w:val="20"/>
                <w:szCs w:val="20"/>
                <w:lang w:eastAsia="en-GB"/>
              </w:rPr>
              <w:t>Equities</w:t>
            </w:r>
          </w:p>
        </w:tc>
        <w:tc>
          <w:tcPr>
            <w:tcW w:w="1711" w:type="dxa"/>
            <w:vAlign w:val="center"/>
            <w:hideMark/>
          </w:tcPr>
          <w:p w14:paraId="7B08E0FB" w14:textId="77777777" w:rsidR="00AD5B3B" w:rsidRPr="00CC4885"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CC4885">
              <w:rPr>
                <w:rFonts w:ascii="Calibri" w:eastAsia="Times New Roman" w:hAnsi="Calibri" w:cs="Times New Roman"/>
                <w:color w:val="000000"/>
                <w:sz w:val="20"/>
                <w:szCs w:val="20"/>
                <w:lang w:eastAsia="en-GB"/>
              </w:rPr>
              <w:t>Underlying Instrument Index</w:t>
            </w:r>
          </w:p>
        </w:tc>
        <w:tc>
          <w:tcPr>
            <w:tcW w:w="766" w:type="dxa"/>
            <w:noWrap/>
            <w:vAlign w:val="center"/>
            <w:hideMark/>
          </w:tcPr>
          <w:p w14:paraId="1EABE869" w14:textId="77777777" w:rsidR="00AD5B3B" w:rsidRPr="00CC4885"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Pr>
                <w:rFonts w:ascii="Calibri" w:eastAsia="Times New Roman" w:hAnsi="Calibri" w:cs="Times New Roman"/>
                <w:color w:val="000000"/>
                <w:sz w:val="20"/>
                <w:szCs w:val="20"/>
                <w:lang w:eastAsia="en-GB"/>
              </w:rPr>
              <w:t>DSB</w:t>
            </w:r>
          </w:p>
        </w:tc>
        <w:tc>
          <w:tcPr>
            <w:tcW w:w="4904" w:type="dxa"/>
            <w:vAlign w:val="center"/>
            <w:hideMark/>
          </w:tcPr>
          <w:p w14:paraId="43FFB4EC" w14:textId="77777777" w:rsidR="00AD5B3B" w:rsidRPr="00B639EF" w:rsidRDefault="00AD5B3B" w:rsidP="00452B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en-GB"/>
              </w:rPr>
            </w:pPr>
            <w:r w:rsidRPr="000C7A3E">
              <w:rPr>
                <w:rFonts w:ascii="Calibri" w:eastAsia="Times New Roman" w:hAnsi="Calibri" w:cs="Times New Roman"/>
                <w:sz w:val="20"/>
                <w:szCs w:val="20"/>
                <w:lang w:eastAsia="en-GB"/>
              </w:rPr>
              <w:t>Proprietary Index list comprised of industry submission &amp; maintained by the DSB</w:t>
            </w:r>
          </w:p>
        </w:tc>
      </w:tr>
    </w:tbl>
    <w:p w14:paraId="1CE637A7" w14:textId="77777777" w:rsidR="00AD5B3B" w:rsidRDefault="00AD5B3B" w:rsidP="00AD5B3B"/>
    <w:p w14:paraId="46F1C268" w14:textId="77777777" w:rsidR="00AD5B3B" w:rsidRDefault="00AD5B3B" w:rsidP="00AD5B3B">
      <w:r>
        <w:br w:type="page"/>
      </w:r>
    </w:p>
    <w:p w14:paraId="43BBE739" w14:textId="77777777" w:rsidR="00AD5B3B" w:rsidRDefault="00AD5B3B" w:rsidP="00AD5B3B">
      <w:pPr>
        <w:pStyle w:val="Heading1"/>
      </w:pPr>
      <w:bookmarkStart w:id="26" w:name="_Toc500926771"/>
      <w:bookmarkStart w:id="27" w:name="_Toc527364484"/>
      <w:r>
        <w:lastRenderedPageBreak/>
        <w:t xml:space="preserve">Appendix 1 - </w:t>
      </w:r>
      <w:proofErr w:type="spellStart"/>
      <w:r>
        <w:t>Normalisation</w:t>
      </w:r>
      <w:bookmarkEnd w:id="26"/>
      <w:bookmarkEnd w:id="27"/>
      <w:proofErr w:type="spellEnd"/>
    </w:p>
    <w:p w14:paraId="1AA24E93" w14:textId="77777777" w:rsidR="00AD5B3B" w:rsidRPr="002E2DD2" w:rsidRDefault="00AD5B3B" w:rsidP="00AD5B3B"/>
    <w:p w14:paraId="5FAD2136" w14:textId="77777777" w:rsidR="00AD5B3B" w:rsidRDefault="00AD5B3B" w:rsidP="00AD5B3B">
      <w:pPr>
        <w:pStyle w:val="Heading2"/>
        <w:ind w:left="567"/>
      </w:pPr>
      <w:bookmarkStart w:id="28" w:name="_Toc500926772"/>
      <w:bookmarkStart w:id="29" w:name="_Toc527364485"/>
      <w:r>
        <w:t>Common Normalization</w:t>
      </w:r>
      <w:bookmarkEnd w:id="28"/>
      <w:bookmarkEnd w:id="29"/>
    </w:p>
    <w:p w14:paraId="0FDFFD38" w14:textId="77777777" w:rsidR="00AD5B3B" w:rsidRDefault="00AD5B3B" w:rsidP="00AD5B3B"/>
    <w:p w14:paraId="1F0216B3" w14:textId="77777777" w:rsidR="00AD5B3B" w:rsidRDefault="00AD5B3B" w:rsidP="00AD5B3B">
      <w:r>
        <w:t>This normalization is applicable all instruments.</w:t>
      </w:r>
    </w:p>
    <w:p w14:paraId="2E2DA433" w14:textId="77777777" w:rsidR="00AD5B3B" w:rsidRDefault="00AD5B3B" w:rsidP="00AD5B3B">
      <w:r>
        <w:t xml:space="preserve">For both legs: </w:t>
      </w:r>
    </w:p>
    <w:p w14:paraId="280103D5" w14:textId="77777777" w:rsidR="00AD5B3B" w:rsidRDefault="00AD5B3B" w:rsidP="00AD5B3B"/>
    <w:p w14:paraId="49FCCAE9" w14:textId="77777777" w:rsidR="00AD5B3B" w:rsidRPr="002218DE" w:rsidRDefault="00AD5B3B" w:rsidP="00AD5B3B">
      <w:pPr>
        <w:pStyle w:val="ListParagraph"/>
        <w:numPr>
          <w:ilvl w:val="0"/>
          <w:numId w:val="11"/>
        </w:numPr>
        <w:rPr>
          <w:rFonts w:ascii="Calibri" w:eastAsia="Times New Roman" w:hAnsi="Calibri" w:cs="Calibri"/>
          <w:color w:val="000000"/>
          <w:lang w:eastAsia="en-GB"/>
        </w:rPr>
      </w:pPr>
      <w:r>
        <w:t xml:space="preserve">If </w:t>
      </w:r>
      <w:r w:rsidRPr="002218DE">
        <w:rPr>
          <w:rFonts w:ascii="Calibri" w:eastAsia="Times New Roman" w:hAnsi="Calibri" w:cs="Calibri"/>
          <w:color w:val="000000"/>
          <w:lang w:eastAsia="en-GB"/>
        </w:rPr>
        <w:t>Reference Rate Term Unit = “DAYS” and Reference Rate Term Value is divisible by 7, record it in weeks:</w:t>
      </w:r>
    </w:p>
    <w:p w14:paraId="02011FE5" w14:textId="77777777" w:rsidR="00AD5B3B" w:rsidRDefault="00AD5B3B" w:rsidP="00AD5B3B">
      <w:pPr>
        <w:pStyle w:val="ListParagraph"/>
      </w:pPr>
    </w:p>
    <w:tbl>
      <w:tblPr>
        <w:tblStyle w:val="TableGrid"/>
        <w:tblW w:w="0" w:type="auto"/>
        <w:tblLook w:val="04A0" w:firstRow="1" w:lastRow="0" w:firstColumn="1" w:lastColumn="0" w:noHBand="0" w:noVBand="1"/>
      </w:tblPr>
      <w:tblGrid>
        <w:gridCol w:w="2830"/>
        <w:gridCol w:w="709"/>
        <w:gridCol w:w="504"/>
        <w:gridCol w:w="741"/>
      </w:tblGrid>
      <w:tr w:rsidR="00AD5B3B" w14:paraId="0817E07E" w14:textId="77777777" w:rsidTr="00452B51">
        <w:tc>
          <w:tcPr>
            <w:tcW w:w="2830" w:type="dxa"/>
            <w:vAlign w:val="bottom"/>
          </w:tcPr>
          <w:p w14:paraId="0031401B"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Reference Rate Term Value</w:t>
            </w:r>
          </w:p>
        </w:tc>
        <w:tc>
          <w:tcPr>
            <w:tcW w:w="709" w:type="dxa"/>
            <w:tcBorders>
              <w:right w:val="single" w:sz="4" w:space="0" w:color="auto"/>
            </w:tcBorders>
          </w:tcPr>
          <w:p w14:paraId="7C74E9DB" w14:textId="77777777" w:rsidR="00AD5B3B" w:rsidRDefault="00AD5B3B" w:rsidP="00452B51">
            <w:pPr>
              <w:jc w:val="center"/>
            </w:pPr>
            <w:r>
              <w:t>7</w:t>
            </w:r>
          </w:p>
        </w:tc>
        <w:tc>
          <w:tcPr>
            <w:tcW w:w="504" w:type="dxa"/>
            <w:vMerge w:val="restart"/>
            <w:tcBorders>
              <w:top w:val="single" w:sz="4" w:space="0" w:color="auto"/>
              <w:left w:val="single" w:sz="4" w:space="0" w:color="auto"/>
              <w:bottom w:val="single" w:sz="4" w:space="0" w:color="auto"/>
              <w:right w:val="single" w:sz="4" w:space="0" w:color="auto"/>
            </w:tcBorders>
            <w:vAlign w:val="center"/>
          </w:tcPr>
          <w:p w14:paraId="2C3C612D" w14:textId="77777777" w:rsidR="00AD5B3B" w:rsidRDefault="00AD5B3B" w:rsidP="00452B51">
            <w:r w:rsidRPr="005816AD">
              <w:rPr>
                <w:rFonts w:ascii="Calibri" w:eastAsia="Times New Roman" w:hAnsi="Calibri" w:cs="Calibri"/>
                <w:color w:val="000000"/>
                <w:lang w:eastAsia="en-GB"/>
              </w:rPr>
              <w:sym w:font="Wingdings" w:char="F0E0"/>
            </w:r>
          </w:p>
        </w:tc>
        <w:tc>
          <w:tcPr>
            <w:tcW w:w="741" w:type="dxa"/>
            <w:tcBorders>
              <w:top w:val="single" w:sz="4" w:space="0" w:color="auto"/>
              <w:left w:val="single" w:sz="4" w:space="0" w:color="auto"/>
              <w:bottom w:val="single" w:sz="4" w:space="0" w:color="auto"/>
              <w:right w:val="single" w:sz="4" w:space="0" w:color="auto"/>
            </w:tcBorders>
          </w:tcPr>
          <w:p w14:paraId="2368D749" w14:textId="77777777" w:rsidR="00AD5B3B" w:rsidRDefault="00AD5B3B" w:rsidP="00452B51">
            <w:pPr>
              <w:jc w:val="center"/>
            </w:pPr>
            <w:r>
              <w:t>1</w:t>
            </w:r>
          </w:p>
        </w:tc>
      </w:tr>
      <w:tr w:rsidR="00AD5B3B" w14:paraId="467BDE42" w14:textId="77777777" w:rsidTr="00452B51">
        <w:tc>
          <w:tcPr>
            <w:tcW w:w="2830" w:type="dxa"/>
            <w:vAlign w:val="bottom"/>
          </w:tcPr>
          <w:p w14:paraId="170BF481"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Reference Rate Term Unit</w:t>
            </w:r>
          </w:p>
        </w:tc>
        <w:tc>
          <w:tcPr>
            <w:tcW w:w="709" w:type="dxa"/>
            <w:tcBorders>
              <w:right w:val="single" w:sz="4" w:space="0" w:color="auto"/>
            </w:tcBorders>
          </w:tcPr>
          <w:p w14:paraId="40AFAB37" w14:textId="77777777" w:rsidR="00AD5B3B" w:rsidRDefault="00AD5B3B" w:rsidP="00452B51">
            <w:r>
              <w:t>DAYS</w:t>
            </w:r>
          </w:p>
        </w:tc>
        <w:tc>
          <w:tcPr>
            <w:tcW w:w="504" w:type="dxa"/>
            <w:vMerge/>
            <w:tcBorders>
              <w:top w:val="single" w:sz="4" w:space="0" w:color="auto"/>
              <w:left w:val="single" w:sz="4" w:space="0" w:color="auto"/>
              <w:bottom w:val="single" w:sz="4" w:space="0" w:color="auto"/>
              <w:right w:val="single" w:sz="4" w:space="0" w:color="auto"/>
            </w:tcBorders>
          </w:tcPr>
          <w:p w14:paraId="2E483938" w14:textId="77777777" w:rsidR="00AD5B3B" w:rsidRDefault="00AD5B3B" w:rsidP="00452B51"/>
        </w:tc>
        <w:tc>
          <w:tcPr>
            <w:tcW w:w="741" w:type="dxa"/>
            <w:tcBorders>
              <w:top w:val="single" w:sz="4" w:space="0" w:color="auto"/>
              <w:left w:val="single" w:sz="4" w:space="0" w:color="auto"/>
              <w:bottom w:val="single" w:sz="4" w:space="0" w:color="auto"/>
              <w:right w:val="single" w:sz="4" w:space="0" w:color="auto"/>
            </w:tcBorders>
          </w:tcPr>
          <w:p w14:paraId="23C7E3D3" w14:textId="77777777" w:rsidR="00AD5B3B" w:rsidRDefault="00AD5B3B" w:rsidP="00452B51">
            <w:r>
              <w:t>WEEK</w:t>
            </w:r>
          </w:p>
        </w:tc>
      </w:tr>
    </w:tbl>
    <w:p w14:paraId="190A6431" w14:textId="77777777" w:rsidR="00AD5B3B" w:rsidRDefault="00AD5B3B" w:rsidP="00AD5B3B"/>
    <w:p w14:paraId="3EB279F4" w14:textId="77777777" w:rsidR="00AD5B3B" w:rsidRDefault="00AD5B3B" w:rsidP="00AD5B3B">
      <w:pPr>
        <w:pStyle w:val="ListParagraph"/>
        <w:numPr>
          <w:ilvl w:val="0"/>
          <w:numId w:val="11"/>
        </w:numPr>
      </w:pPr>
      <w:r>
        <w:t xml:space="preserve">If </w:t>
      </w:r>
      <w:r w:rsidRPr="00AF02BC">
        <w:t>Reference Rate Term Unit = “</w:t>
      </w:r>
      <w:r>
        <w:t>MNTH</w:t>
      </w:r>
      <w:r w:rsidRPr="00AF02BC">
        <w:t xml:space="preserve">” and </w:t>
      </w:r>
      <w:r w:rsidRPr="00770667">
        <w:t>Reference Rate Term Value</w:t>
      </w:r>
      <w:r w:rsidRPr="00AF02BC">
        <w:t xml:space="preserve"> is divisible by </w:t>
      </w:r>
      <w:r>
        <w:t>1</w:t>
      </w:r>
      <w:r w:rsidRPr="00AF02BC">
        <w:t>2, record it in years:</w:t>
      </w:r>
    </w:p>
    <w:p w14:paraId="5FFD4A6C" w14:textId="77777777" w:rsidR="00AD5B3B" w:rsidRPr="00AF02BC" w:rsidRDefault="00AD5B3B" w:rsidP="00AD5B3B">
      <w:pPr>
        <w:pStyle w:val="ListParagraph"/>
      </w:pPr>
    </w:p>
    <w:tbl>
      <w:tblPr>
        <w:tblStyle w:val="TableGrid"/>
        <w:tblW w:w="0" w:type="auto"/>
        <w:tblLook w:val="04A0" w:firstRow="1" w:lastRow="0" w:firstColumn="1" w:lastColumn="0" w:noHBand="0" w:noVBand="1"/>
      </w:tblPr>
      <w:tblGrid>
        <w:gridCol w:w="2830"/>
        <w:gridCol w:w="791"/>
        <w:gridCol w:w="504"/>
        <w:gridCol w:w="741"/>
      </w:tblGrid>
      <w:tr w:rsidR="00AD5B3B" w14:paraId="75663D2A" w14:textId="77777777" w:rsidTr="00452B51">
        <w:tc>
          <w:tcPr>
            <w:tcW w:w="2830" w:type="dxa"/>
            <w:vAlign w:val="bottom"/>
          </w:tcPr>
          <w:p w14:paraId="131D07B3"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Reference Rate Term Value</w:t>
            </w:r>
          </w:p>
        </w:tc>
        <w:tc>
          <w:tcPr>
            <w:tcW w:w="791" w:type="dxa"/>
          </w:tcPr>
          <w:p w14:paraId="5BBD182C" w14:textId="77777777" w:rsidR="00AD5B3B" w:rsidRDefault="00AD5B3B" w:rsidP="00452B51">
            <w:pPr>
              <w:jc w:val="center"/>
            </w:pPr>
            <w:r>
              <w:t>12</w:t>
            </w:r>
          </w:p>
        </w:tc>
        <w:tc>
          <w:tcPr>
            <w:tcW w:w="504" w:type="dxa"/>
            <w:vMerge w:val="restart"/>
            <w:tcBorders>
              <w:bottom w:val="single" w:sz="4" w:space="0" w:color="auto"/>
            </w:tcBorders>
            <w:vAlign w:val="center"/>
          </w:tcPr>
          <w:p w14:paraId="00552808" w14:textId="77777777" w:rsidR="00AD5B3B" w:rsidRDefault="00AD5B3B" w:rsidP="00452B51">
            <w:r w:rsidRPr="005816AD">
              <w:rPr>
                <w:rFonts w:ascii="Calibri" w:eastAsia="Times New Roman" w:hAnsi="Calibri" w:cs="Calibri"/>
                <w:color w:val="000000"/>
                <w:lang w:eastAsia="en-GB"/>
              </w:rPr>
              <w:sym w:font="Wingdings" w:char="F0E0"/>
            </w:r>
          </w:p>
        </w:tc>
        <w:tc>
          <w:tcPr>
            <w:tcW w:w="741" w:type="dxa"/>
          </w:tcPr>
          <w:p w14:paraId="5DED586D" w14:textId="77777777" w:rsidR="00AD5B3B" w:rsidRDefault="00AD5B3B" w:rsidP="00452B51">
            <w:pPr>
              <w:jc w:val="center"/>
            </w:pPr>
            <w:r>
              <w:t>1</w:t>
            </w:r>
          </w:p>
        </w:tc>
      </w:tr>
      <w:tr w:rsidR="00AD5B3B" w14:paraId="3AC7532B" w14:textId="77777777" w:rsidTr="00452B51">
        <w:tc>
          <w:tcPr>
            <w:tcW w:w="2830" w:type="dxa"/>
            <w:vAlign w:val="bottom"/>
          </w:tcPr>
          <w:p w14:paraId="6E456E3D"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Reference Rate Term Unit</w:t>
            </w:r>
          </w:p>
        </w:tc>
        <w:tc>
          <w:tcPr>
            <w:tcW w:w="791" w:type="dxa"/>
          </w:tcPr>
          <w:p w14:paraId="78A30F45" w14:textId="77777777" w:rsidR="00AD5B3B" w:rsidRDefault="00AD5B3B" w:rsidP="00452B51">
            <w:r>
              <w:t>MNTH</w:t>
            </w:r>
          </w:p>
        </w:tc>
        <w:tc>
          <w:tcPr>
            <w:tcW w:w="504" w:type="dxa"/>
            <w:vMerge/>
            <w:tcBorders>
              <w:bottom w:val="single" w:sz="4" w:space="0" w:color="auto"/>
            </w:tcBorders>
          </w:tcPr>
          <w:p w14:paraId="228DC6AD" w14:textId="77777777" w:rsidR="00AD5B3B" w:rsidRDefault="00AD5B3B" w:rsidP="00452B51"/>
        </w:tc>
        <w:tc>
          <w:tcPr>
            <w:tcW w:w="741" w:type="dxa"/>
          </w:tcPr>
          <w:p w14:paraId="340B9106" w14:textId="77777777" w:rsidR="00AD5B3B" w:rsidRDefault="00AD5B3B" w:rsidP="00452B51">
            <w:r>
              <w:t>YEAR</w:t>
            </w:r>
          </w:p>
        </w:tc>
      </w:tr>
    </w:tbl>
    <w:p w14:paraId="656314B3" w14:textId="77777777" w:rsidR="006C4DF9" w:rsidRDefault="006C4DF9" w:rsidP="00840502"/>
    <w:p w14:paraId="0124B00F" w14:textId="205B3092" w:rsidR="00840502" w:rsidRPr="00840502" w:rsidRDefault="00840502" w:rsidP="00840502">
      <w:r>
        <w:t xml:space="preserve">The above normalization does not apply for negative reference rate values/units. The DSB </w:t>
      </w:r>
      <w:r w:rsidR="008441F2">
        <w:t xml:space="preserve">has received a request to enhance this normalization and will revert to industry with relevant timelines. In the interim, users should not expect normalization to occur for negative term value &amp; unit and so should input -7 DAYS as -1 </w:t>
      </w:r>
      <w:proofErr w:type="gramStart"/>
      <w:r w:rsidR="008441F2">
        <w:t>WEEK</w:t>
      </w:r>
      <w:proofErr w:type="gramEnd"/>
      <w:r w:rsidR="008441F2">
        <w:t>, -14 DAYS as -2 WEEK etc and -12 MNTH as -1 YEAR, -24 MNTH as -2 YEAR etc.</w:t>
      </w:r>
    </w:p>
    <w:p w14:paraId="2A23E500" w14:textId="77777777" w:rsidR="00840502" w:rsidRPr="00840502" w:rsidRDefault="00840502" w:rsidP="00840502"/>
    <w:p w14:paraId="0ABC2286" w14:textId="77777777" w:rsidR="00AD5B3B" w:rsidRDefault="00AD5B3B" w:rsidP="00AD5B3B">
      <w:pPr>
        <w:pStyle w:val="Heading2"/>
        <w:ind w:left="567"/>
      </w:pPr>
      <w:bookmarkStart w:id="30" w:name="_Toc500926773"/>
      <w:bookmarkStart w:id="31" w:name="_Toc527364486"/>
      <w:r w:rsidRPr="00465AD7">
        <w:t>Basis Swap/Cross Currency Swap normalization</w:t>
      </w:r>
      <w:bookmarkEnd w:id="30"/>
      <w:bookmarkEnd w:id="31"/>
    </w:p>
    <w:p w14:paraId="6E852EBE" w14:textId="77777777" w:rsidR="00AD5B3B" w:rsidRDefault="00AD5B3B" w:rsidP="00AD5B3B"/>
    <w:p w14:paraId="065F147B" w14:textId="77777777" w:rsidR="00AD5B3B" w:rsidRDefault="00AD5B3B" w:rsidP="00AD5B3B">
      <w:r>
        <w:t xml:space="preserve">The purpose of this appendix is to specify normalization for Basis Swap, Cross Currency Basis Swap and Cross Currency Fixed </w:t>
      </w:r>
      <w:proofErr w:type="spellStart"/>
      <w:r>
        <w:t>Fixed</w:t>
      </w:r>
      <w:proofErr w:type="spellEnd"/>
      <w:r>
        <w:t xml:space="preserve"> Swap products.</w:t>
      </w:r>
    </w:p>
    <w:p w14:paraId="08A16411" w14:textId="77777777" w:rsidR="00AD5B3B" w:rsidRDefault="00AD5B3B" w:rsidP="00AD5B3B"/>
    <w:p w14:paraId="32888830" w14:textId="77777777" w:rsidR="00AD5B3B" w:rsidRDefault="00AD5B3B" w:rsidP="00AD5B3B">
      <w:pPr>
        <w:pStyle w:val="Heading3"/>
        <w:ind w:left="709"/>
      </w:pPr>
      <w:bookmarkStart w:id="32" w:name="_Toc500926774"/>
      <w:bookmarkStart w:id="33" w:name="_Toc527364487"/>
      <w:r>
        <w:t>Basis Swap</w:t>
      </w:r>
      <w:bookmarkEnd w:id="32"/>
      <w:bookmarkEnd w:id="33"/>
    </w:p>
    <w:p w14:paraId="3ADD7321" w14:textId="77777777" w:rsidR="00AD5B3B" w:rsidRDefault="00AD5B3B" w:rsidP="00AD5B3B"/>
    <w:p w14:paraId="5C967CB9" w14:textId="77777777" w:rsidR="00AD5B3B" w:rsidRDefault="00AD5B3B" w:rsidP="00AD5B3B">
      <w:r>
        <w:t>For a Basis Swap the user provides the following input:</w:t>
      </w:r>
    </w:p>
    <w:p w14:paraId="143BA6D7" w14:textId="77777777" w:rsidR="00AD5B3B" w:rsidRDefault="00AD5B3B" w:rsidP="00AD5B3B"/>
    <w:tbl>
      <w:tblPr>
        <w:tblStyle w:val="GridTable4-Accent5"/>
        <w:tblW w:w="0" w:type="auto"/>
        <w:tblLook w:val="04A0" w:firstRow="1" w:lastRow="0" w:firstColumn="1" w:lastColumn="0" w:noHBand="0" w:noVBand="1"/>
      </w:tblPr>
      <w:tblGrid>
        <w:gridCol w:w="3681"/>
        <w:gridCol w:w="3239"/>
      </w:tblGrid>
      <w:tr w:rsidR="00AD5B3B" w:rsidRPr="004D2543" w14:paraId="4D7D4BEC" w14:textId="77777777" w:rsidTr="00452B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tcPr>
          <w:p w14:paraId="4F7C5395" w14:textId="77777777" w:rsidR="00AD5B3B" w:rsidRPr="004D2543" w:rsidRDefault="00AD5B3B" w:rsidP="00452B51">
            <w:pPr>
              <w:rPr>
                <w:rFonts w:ascii="Calibri" w:eastAsia="Times New Roman" w:hAnsi="Calibri" w:cs="Calibri"/>
                <w:lang w:eastAsia="en-GB"/>
              </w:rPr>
            </w:pPr>
            <w:r w:rsidRPr="004D2543">
              <w:rPr>
                <w:rFonts w:ascii="Calibri" w:eastAsia="Times New Roman" w:hAnsi="Calibri" w:cs="Calibri"/>
                <w:lang w:eastAsia="en-GB"/>
              </w:rPr>
              <w:t>Attribute</w:t>
            </w:r>
          </w:p>
        </w:tc>
        <w:tc>
          <w:tcPr>
            <w:tcW w:w="0" w:type="auto"/>
            <w:noWrap/>
          </w:tcPr>
          <w:p w14:paraId="6F9F4DEC"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4D2543">
              <w:rPr>
                <w:rFonts w:ascii="Calibri" w:eastAsia="Times New Roman" w:hAnsi="Calibri" w:cs="Calibri"/>
                <w:lang w:eastAsia="en-GB"/>
              </w:rPr>
              <w:t>Sample Value</w:t>
            </w:r>
          </w:p>
        </w:tc>
      </w:tr>
      <w:tr w:rsidR="00AD5B3B" w:rsidRPr="00770667" w14:paraId="4889607B"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AD679DE"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Notional Currency</w:t>
            </w:r>
          </w:p>
        </w:tc>
        <w:tc>
          <w:tcPr>
            <w:tcW w:w="0" w:type="auto"/>
            <w:noWrap/>
            <w:hideMark/>
          </w:tcPr>
          <w:p w14:paraId="710E3162" w14:textId="77777777" w:rsidR="00AD5B3B" w:rsidRPr="00770667"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USD</w:t>
            </w:r>
          </w:p>
        </w:tc>
      </w:tr>
      <w:tr w:rsidR="00AD5B3B" w:rsidRPr="00770667" w14:paraId="3FBF98DE"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9472D77"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Expiry date</w:t>
            </w:r>
          </w:p>
        </w:tc>
        <w:tc>
          <w:tcPr>
            <w:tcW w:w="0" w:type="auto"/>
            <w:noWrap/>
            <w:hideMark/>
          </w:tcPr>
          <w:p w14:paraId="1AA825D2" w14:textId="77777777" w:rsidR="00AD5B3B" w:rsidRPr="00770667"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20211231</w:t>
            </w:r>
          </w:p>
        </w:tc>
      </w:tr>
      <w:tr w:rsidR="00AD5B3B" w:rsidRPr="00465AD7" w14:paraId="017020E3"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458639A" w14:textId="77777777" w:rsidR="00AD5B3B" w:rsidRPr="004D2543" w:rsidRDefault="00AD5B3B" w:rsidP="00452B51">
            <w:pPr>
              <w:rPr>
                <w:rFonts w:ascii="Calibri" w:eastAsia="Times New Roman" w:hAnsi="Calibri" w:cs="Calibri"/>
                <w:b w:val="0"/>
                <w:color w:val="000000"/>
                <w:highlight w:val="yellow"/>
                <w:lang w:eastAsia="en-GB"/>
              </w:rPr>
            </w:pPr>
            <w:r w:rsidRPr="004D2543">
              <w:rPr>
                <w:rFonts w:ascii="Calibri" w:eastAsia="Times New Roman" w:hAnsi="Calibri" w:cs="Calibri"/>
                <w:b w:val="0"/>
                <w:color w:val="000000"/>
                <w:highlight w:val="yellow"/>
                <w:lang w:eastAsia="en-GB"/>
              </w:rPr>
              <w:t>Reference Rate</w:t>
            </w:r>
          </w:p>
        </w:tc>
        <w:tc>
          <w:tcPr>
            <w:tcW w:w="0" w:type="auto"/>
            <w:noWrap/>
            <w:hideMark/>
          </w:tcPr>
          <w:p w14:paraId="3DF1D473" w14:textId="77777777" w:rsidR="00AD5B3B" w:rsidRPr="00465AD7"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lang w:eastAsia="en-GB"/>
              </w:rPr>
            </w:pPr>
            <w:r w:rsidRPr="00465AD7">
              <w:rPr>
                <w:rFonts w:ascii="Calibri" w:eastAsia="Times New Roman" w:hAnsi="Calibri" w:cs="Calibri"/>
                <w:color w:val="000000"/>
                <w:highlight w:val="yellow"/>
                <w:lang w:eastAsia="en-GB"/>
              </w:rPr>
              <w:t>USD-LIBOR-BBA</w:t>
            </w:r>
          </w:p>
        </w:tc>
      </w:tr>
      <w:tr w:rsidR="00AD5B3B" w:rsidRPr="00770667" w14:paraId="36859AD2"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5AA6787"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Reference Rate Term Value</w:t>
            </w:r>
          </w:p>
        </w:tc>
        <w:tc>
          <w:tcPr>
            <w:tcW w:w="0" w:type="auto"/>
            <w:noWrap/>
            <w:hideMark/>
          </w:tcPr>
          <w:p w14:paraId="35526F53" w14:textId="77777777" w:rsidR="00AD5B3B" w:rsidRPr="00770667"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3</w:t>
            </w:r>
          </w:p>
        </w:tc>
      </w:tr>
      <w:tr w:rsidR="00AD5B3B" w:rsidRPr="00770667" w14:paraId="3724A6AF"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E9131B2"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Reference Rate Term Unit</w:t>
            </w:r>
          </w:p>
        </w:tc>
        <w:tc>
          <w:tcPr>
            <w:tcW w:w="0" w:type="auto"/>
            <w:noWrap/>
            <w:hideMark/>
          </w:tcPr>
          <w:p w14:paraId="632C5779" w14:textId="77777777" w:rsidR="00AD5B3B" w:rsidRPr="00770667"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MNTH</w:t>
            </w:r>
          </w:p>
        </w:tc>
      </w:tr>
      <w:tr w:rsidR="00AD5B3B" w:rsidRPr="00465AD7" w14:paraId="1509F893"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41B465E" w14:textId="77777777" w:rsidR="00AD5B3B" w:rsidRPr="004D2543" w:rsidRDefault="00AD5B3B" w:rsidP="00452B51">
            <w:pPr>
              <w:rPr>
                <w:rFonts w:ascii="Calibri" w:eastAsia="Times New Roman" w:hAnsi="Calibri" w:cs="Calibri"/>
                <w:b w:val="0"/>
                <w:color w:val="000000"/>
                <w:highlight w:val="yellow"/>
                <w:lang w:eastAsia="en-GB"/>
              </w:rPr>
            </w:pPr>
            <w:r w:rsidRPr="004D2543">
              <w:rPr>
                <w:rFonts w:ascii="Calibri" w:eastAsia="Times New Roman" w:hAnsi="Calibri" w:cs="Calibri"/>
                <w:b w:val="0"/>
                <w:color w:val="000000"/>
                <w:highlight w:val="yellow"/>
                <w:lang w:eastAsia="en-GB"/>
              </w:rPr>
              <w:t>Other Leg Reference Rate</w:t>
            </w:r>
          </w:p>
        </w:tc>
        <w:tc>
          <w:tcPr>
            <w:tcW w:w="0" w:type="auto"/>
            <w:noWrap/>
            <w:hideMark/>
          </w:tcPr>
          <w:p w14:paraId="75673FDD" w14:textId="77777777" w:rsidR="00AD5B3B" w:rsidRPr="00465AD7"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eastAsia="en-GB"/>
              </w:rPr>
            </w:pPr>
            <w:r w:rsidRPr="00465AD7">
              <w:rPr>
                <w:rFonts w:ascii="Calibri" w:eastAsia="Times New Roman" w:hAnsi="Calibri" w:cs="Calibri"/>
                <w:color w:val="000000"/>
                <w:highlight w:val="yellow"/>
                <w:lang w:eastAsia="en-GB"/>
              </w:rPr>
              <w:t>USD-SIFMA Municipal Swap Index</w:t>
            </w:r>
          </w:p>
        </w:tc>
      </w:tr>
      <w:tr w:rsidR="00AD5B3B" w:rsidRPr="00770667" w14:paraId="1E16A2EA"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3A91D979"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Other Leg Reference Rate Term Value</w:t>
            </w:r>
          </w:p>
        </w:tc>
        <w:tc>
          <w:tcPr>
            <w:tcW w:w="0" w:type="auto"/>
            <w:noWrap/>
            <w:hideMark/>
          </w:tcPr>
          <w:p w14:paraId="0850C808" w14:textId="77777777" w:rsidR="00AD5B3B" w:rsidRPr="00770667"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9</w:t>
            </w:r>
          </w:p>
        </w:tc>
      </w:tr>
      <w:tr w:rsidR="00AD5B3B" w:rsidRPr="00770667" w14:paraId="064E6B13"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6574B3D6"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Other Leg Reference Rate Term Unit</w:t>
            </w:r>
          </w:p>
        </w:tc>
        <w:tc>
          <w:tcPr>
            <w:tcW w:w="0" w:type="auto"/>
            <w:noWrap/>
            <w:hideMark/>
          </w:tcPr>
          <w:p w14:paraId="492407DC" w14:textId="77777777" w:rsidR="00AD5B3B" w:rsidRPr="00770667"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MNTH</w:t>
            </w:r>
          </w:p>
        </w:tc>
      </w:tr>
      <w:tr w:rsidR="00AD5B3B" w:rsidRPr="00770667" w14:paraId="3CD63A23" w14:textId="77777777" w:rsidTr="00452B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096E7DD0" w14:textId="77777777" w:rsidR="00AD5B3B" w:rsidRPr="004D2543" w:rsidRDefault="00AD5B3B" w:rsidP="00452B51">
            <w:pPr>
              <w:rPr>
                <w:rFonts w:ascii="Calibri" w:eastAsia="Times New Roman" w:hAnsi="Calibri" w:cs="Calibri"/>
                <w:b w:val="0"/>
                <w:lang w:eastAsia="en-GB"/>
              </w:rPr>
            </w:pPr>
            <w:r w:rsidRPr="004D2543">
              <w:rPr>
                <w:rFonts w:ascii="Calibri" w:eastAsia="Times New Roman" w:hAnsi="Calibri" w:cs="Calibri"/>
                <w:b w:val="0"/>
                <w:lang w:eastAsia="en-GB"/>
              </w:rPr>
              <w:t>Notional Schedule</w:t>
            </w:r>
          </w:p>
        </w:tc>
        <w:tc>
          <w:tcPr>
            <w:tcW w:w="0" w:type="auto"/>
            <w:noWrap/>
            <w:hideMark/>
          </w:tcPr>
          <w:p w14:paraId="6EDD5A18" w14:textId="77777777" w:rsidR="00AD5B3B" w:rsidRPr="00770667"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C - Constant</w:t>
            </w:r>
          </w:p>
        </w:tc>
      </w:tr>
    </w:tbl>
    <w:p w14:paraId="01812E74" w14:textId="77777777" w:rsidR="00AD5B3B" w:rsidRPr="00770667" w:rsidRDefault="00AD5B3B" w:rsidP="00AD5B3B"/>
    <w:p w14:paraId="53DFD488" w14:textId="77777777" w:rsidR="00AD5B3B" w:rsidRDefault="00AD5B3B" w:rsidP="00AD5B3B">
      <w:r>
        <w:t>Regardless of the order in which the reference legs are supplied, the DSB assumes the same ISIN would be allocated to the instrument, i.e. the instrument in the example above is the same as if it were entered as follows:</w:t>
      </w:r>
    </w:p>
    <w:p w14:paraId="4CE94EAE" w14:textId="77777777" w:rsidR="00AD5B3B" w:rsidRDefault="00AD5B3B" w:rsidP="00AD5B3B"/>
    <w:tbl>
      <w:tblPr>
        <w:tblStyle w:val="GridTable4-Accent5"/>
        <w:tblW w:w="0" w:type="auto"/>
        <w:tblLook w:val="04A0" w:firstRow="1" w:lastRow="0" w:firstColumn="1" w:lastColumn="0" w:noHBand="0" w:noVBand="1"/>
      </w:tblPr>
      <w:tblGrid>
        <w:gridCol w:w="3681"/>
        <w:gridCol w:w="3239"/>
      </w:tblGrid>
      <w:tr w:rsidR="00AD5B3B" w:rsidRPr="004D2543" w14:paraId="348F82DF" w14:textId="77777777" w:rsidTr="00452B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tcPr>
          <w:p w14:paraId="2D7C5662" w14:textId="77777777" w:rsidR="00AD5B3B" w:rsidRPr="004D2543" w:rsidRDefault="00AD5B3B" w:rsidP="00452B51">
            <w:pPr>
              <w:rPr>
                <w:rFonts w:ascii="Calibri" w:eastAsia="Times New Roman" w:hAnsi="Calibri" w:cs="Calibri"/>
                <w:lang w:eastAsia="en-GB"/>
              </w:rPr>
            </w:pPr>
            <w:r w:rsidRPr="004D2543">
              <w:rPr>
                <w:rFonts w:ascii="Calibri" w:eastAsia="Times New Roman" w:hAnsi="Calibri" w:cs="Calibri"/>
                <w:lang w:eastAsia="en-GB"/>
              </w:rPr>
              <w:lastRenderedPageBreak/>
              <w:t>Attribute</w:t>
            </w:r>
          </w:p>
        </w:tc>
        <w:tc>
          <w:tcPr>
            <w:tcW w:w="0" w:type="auto"/>
            <w:noWrap/>
          </w:tcPr>
          <w:p w14:paraId="160ABA08"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GB"/>
              </w:rPr>
            </w:pPr>
            <w:r w:rsidRPr="004D2543">
              <w:rPr>
                <w:rFonts w:ascii="Calibri" w:eastAsia="Times New Roman" w:hAnsi="Calibri" w:cs="Calibri"/>
                <w:lang w:eastAsia="en-GB"/>
              </w:rPr>
              <w:t>Sample Value</w:t>
            </w:r>
          </w:p>
        </w:tc>
      </w:tr>
      <w:tr w:rsidR="00AD5B3B" w:rsidRPr="00770667" w14:paraId="118901E8"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009C872C"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Notional Currency</w:t>
            </w:r>
          </w:p>
        </w:tc>
        <w:tc>
          <w:tcPr>
            <w:tcW w:w="0" w:type="auto"/>
            <w:noWrap/>
            <w:hideMark/>
          </w:tcPr>
          <w:p w14:paraId="0FFA5484" w14:textId="77777777" w:rsidR="00AD5B3B" w:rsidRPr="00770667"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USD</w:t>
            </w:r>
          </w:p>
        </w:tc>
      </w:tr>
      <w:tr w:rsidR="00AD5B3B" w:rsidRPr="00770667" w14:paraId="7120FD9E"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01AD7DE"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Expiry date</w:t>
            </w:r>
          </w:p>
        </w:tc>
        <w:tc>
          <w:tcPr>
            <w:tcW w:w="0" w:type="auto"/>
            <w:noWrap/>
            <w:hideMark/>
          </w:tcPr>
          <w:p w14:paraId="30D832C8" w14:textId="77777777" w:rsidR="00AD5B3B" w:rsidRPr="00770667"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20211231</w:t>
            </w:r>
          </w:p>
        </w:tc>
      </w:tr>
      <w:tr w:rsidR="00AD5B3B" w:rsidRPr="00465AD7" w14:paraId="133DF4FF"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9AE83DF" w14:textId="77777777" w:rsidR="00AD5B3B" w:rsidRPr="004D2543" w:rsidRDefault="00AD5B3B" w:rsidP="00452B51">
            <w:pPr>
              <w:rPr>
                <w:rFonts w:ascii="Calibri" w:eastAsia="Times New Roman" w:hAnsi="Calibri" w:cs="Calibri"/>
                <w:b w:val="0"/>
                <w:color w:val="000000"/>
                <w:highlight w:val="yellow"/>
                <w:lang w:eastAsia="en-GB"/>
              </w:rPr>
            </w:pPr>
            <w:r w:rsidRPr="004D2543">
              <w:rPr>
                <w:rFonts w:ascii="Calibri" w:eastAsia="Times New Roman" w:hAnsi="Calibri" w:cs="Calibri"/>
                <w:b w:val="0"/>
                <w:color w:val="000000"/>
                <w:highlight w:val="yellow"/>
                <w:lang w:eastAsia="en-GB"/>
              </w:rPr>
              <w:t>Reference Rate</w:t>
            </w:r>
          </w:p>
        </w:tc>
        <w:tc>
          <w:tcPr>
            <w:tcW w:w="0" w:type="auto"/>
            <w:noWrap/>
          </w:tcPr>
          <w:p w14:paraId="5705C406" w14:textId="77777777" w:rsidR="00AD5B3B" w:rsidRPr="00465AD7"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highlight w:val="yellow"/>
                <w:lang w:eastAsia="en-GB"/>
              </w:rPr>
            </w:pPr>
            <w:r w:rsidRPr="00465AD7">
              <w:rPr>
                <w:rFonts w:ascii="Calibri" w:eastAsia="Times New Roman" w:hAnsi="Calibri" w:cs="Calibri"/>
                <w:color w:val="000000"/>
                <w:highlight w:val="yellow"/>
                <w:lang w:eastAsia="en-GB"/>
              </w:rPr>
              <w:t>USD-SIFMA Municipal Swap Index</w:t>
            </w:r>
          </w:p>
        </w:tc>
      </w:tr>
      <w:tr w:rsidR="00AD5B3B" w:rsidRPr="00770667" w14:paraId="2405FA56"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4AEC93CF"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Reference Rate Term Value</w:t>
            </w:r>
          </w:p>
        </w:tc>
        <w:tc>
          <w:tcPr>
            <w:tcW w:w="0" w:type="auto"/>
            <w:noWrap/>
          </w:tcPr>
          <w:p w14:paraId="70EF3660" w14:textId="77777777" w:rsidR="00AD5B3B" w:rsidRPr="00770667"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9</w:t>
            </w:r>
          </w:p>
        </w:tc>
      </w:tr>
      <w:tr w:rsidR="00AD5B3B" w:rsidRPr="00770667" w14:paraId="541118A2"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46179A8"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Reference Rate Term Unit</w:t>
            </w:r>
          </w:p>
        </w:tc>
        <w:tc>
          <w:tcPr>
            <w:tcW w:w="0" w:type="auto"/>
            <w:noWrap/>
          </w:tcPr>
          <w:p w14:paraId="7A84CF49" w14:textId="77777777" w:rsidR="00AD5B3B" w:rsidRPr="00770667"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MNTH</w:t>
            </w:r>
          </w:p>
        </w:tc>
      </w:tr>
      <w:tr w:rsidR="00AD5B3B" w:rsidRPr="00465AD7" w14:paraId="020E8219"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2EEAD518" w14:textId="77777777" w:rsidR="00AD5B3B" w:rsidRPr="004D2543" w:rsidRDefault="00AD5B3B" w:rsidP="00452B51">
            <w:pPr>
              <w:rPr>
                <w:rFonts w:ascii="Calibri" w:eastAsia="Times New Roman" w:hAnsi="Calibri" w:cs="Calibri"/>
                <w:b w:val="0"/>
                <w:color w:val="000000"/>
                <w:highlight w:val="yellow"/>
                <w:lang w:eastAsia="en-GB"/>
              </w:rPr>
            </w:pPr>
            <w:r w:rsidRPr="004D2543">
              <w:rPr>
                <w:rFonts w:ascii="Calibri" w:eastAsia="Times New Roman" w:hAnsi="Calibri" w:cs="Calibri"/>
                <w:b w:val="0"/>
                <w:color w:val="000000"/>
                <w:highlight w:val="yellow"/>
                <w:lang w:eastAsia="en-GB"/>
              </w:rPr>
              <w:t>Other Leg Reference Rate</w:t>
            </w:r>
          </w:p>
        </w:tc>
        <w:tc>
          <w:tcPr>
            <w:tcW w:w="0" w:type="auto"/>
            <w:noWrap/>
          </w:tcPr>
          <w:p w14:paraId="01FDD62F" w14:textId="77777777" w:rsidR="00AD5B3B" w:rsidRPr="00465AD7"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highlight w:val="yellow"/>
                <w:lang w:eastAsia="en-GB"/>
              </w:rPr>
            </w:pPr>
            <w:r w:rsidRPr="00465AD7">
              <w:rPr>
                <w:rFonts w:ascii="Calibri" w:eastAsia="Times New Roman" w:hAnsi="Calibri" w:cs="Calibri"/>
                <w:color w:val="000000"/>
                <w:highlight w:val="yellow"/>
                <w:lang w:eastAsia="en-GB"/>
              </w:rPr>
              <w:t>USD-LIBOR-BBA</w:t>
            </w:r>
          </w:p>
        </w:tc>
      </w:tr>
      <w:tr w:rsidR="00AD5B3B" w:rsidRPr="00770667" w14:paraId="6D7C4BAA"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01A1B555"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Other Leg Reference Rate Term Value</w:t>
            </w:r>
          </w:p>
        </w:tc>
        <w:tc>
          <w:tcPr>
            <w:tcW w:w="0" w:type="auto"/>
            <w:noWrap/>
          </w:tcPr>
          <w:p w14:paraId="33B6237D" w14:textId="77777777" w:rsidR="00AD5B3B" w:rsidRPr="00770667"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3</w:t>
            </w:r>
          </w:p>
        </w:tc>
      </w:tr>
      <w:tr w:rsidR="00AD5B3B" w:rsidRPr="00770667" w14:paraId="32484AF9"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681" w:type="dxa"/>
            <w:noWrap/>
            <w:hideMark/>
          </w:tcPr>
          <w:p w14:paraId="546F9B70" w14:textId="77777777" w:rsidR="00AD5B3B" w:rsidRPr="004D2543" w:rsidRDefault="00AD5B3B" w:rsidP="00452B51">
            <w:pPr>
              <w:rPr>
                <w:rFonts w:ascii="Calibri" w:eastAsia="Times New Roman" w:hAnsi="Calibri" w:cs="Calibri"/>
                <w:b w:val="0"/>
                <w:color w:val="000000"/>
                <w:lang w:eastAsia="en-GB"/>
              </w:rPr>
            </w:pPr>
            <w:r w:rsidRPr="004D2543">
              <w:rPr>
                <w:rFonts w:ascii="Calibri" w:eastAsia="Times New Roman" w:hAnsi="Calibri" w:cs="Calibri"/>
                <w:b w:val="0"/>
                <w:color w:val="000000"/>
                <w:lang w:eastAsia="en-GB"/>
              </w:rPr>
              <w:t>Other Leg Reference Rate Term Unit</w:t>
            </w:r>
          </w:p>
        </w:tc>
        <w:tc>
          <w:tcPr>
            <w:tcW w:w="0" w:type="auto"/>
            <w:noWrap/>
          </w:tcPr>
          <w:p w14:paraId="58AAFA11" w14:textId="77777777" w:rsidR="00AD5B3B" w:rsidRPr="00770667"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MNTH</w:t>
            </w:r>
          </w:p>
        </w:tc>
      </w:tr>
      <w:tr w:rsidR="00AD5B3B" w:rsidRPr="00770667" w14:paraId="5B10B6FA" w14:textId="77777777" w:rsidTr="00452B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681" w:type="dxa"/>
            <w:noWrap/>
            <w:hideMark/>
          </w:tcPr>
          <w:p w14:paraId="1A710268" w14:textId="77777777" w:rsidR="00AD5B3B" w:rsidRPr="004D2543" w:rsidRDefault="00AD5B3B" w:rsidP="00452B51">
            <w:pPr>
              <w:rPr>
                <w:rFonts w:ascii="Calibri" w:eastAsia="Times New Roman" w:hAnsi="Calibri" w:cs="Calibri"/>
                <w:b w:val="0"/>
                <w:lang w:eastAsia="en-GB"/>
              </w:rPr>
            </w:pPr>
            <w:r w:rsidRPr="004D2543">
              <w:rPr>
                <w:rFonts w:ascii="Calibri" w:eastAsia="Times New Roman" w:hAnsi="Calibri" w:cs="Calibri"/>
                <w:b w:val="0"/>
                <w:lang w:eastAsia="en-GB"/>
              </w:rPr>
              <w:t>Notional Schedule</w:t>
            </w:r>
          </w:p>
        </w:tc>
        <w:tc>
          <w:tcPr>
            <w:tcW w:w="0" w:type="auto"/>
            <w:noWrap/>
            <w:hideMark/>
          </w:tcPr>
          <w:p w14:paraId="7C762259" w14:textId="77777777" w:rsidR="00AD5B3B" w:rsidRPr="00770667"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770667">
              <w:rPr>
                <w:rFonts w:ascii="Calibri" w:eastAsia="Times New Roman" w:hAnsi="Calibri" w:cs="Calibri"/>
                <w:color w:val="000000"/>
                <w:lang w:eastAsia="en-GB"/>
              </w:rPr>
              <w:t>C - Constant</w:t>
            </w:r>
          </w:p>
        </w:tc>
      </w:tr>
    </w:tbl>
    <w:p w14:paraId="2B487E65" w14:textId="77777777" w:rsidR="00AD5B3B" w:rsidRDefault="00AD5B3B" w:rsidP="00AD5B3B"/>
    <w:p w14:paraId="1725BFE9" w14:textId="77777777" w:rsidR="00AD5B3B" w:rsidRDefault="00AD5B3B" w:rsidP="00AD5B3B">
      <w:r>
        <w:t xml:space="preserve">The DSB will normalize data submitted by the user to ensure that the same ISIN is returned for a given set of attributes. </w:t>
      </w:r>
    </w:p>
    <w:p w14:paraId="1E40119B" w14:textId="77777777" w:rsidR="00AD5B3B" w:rsidRDefault="00AD5B3B" w:rsidP="00AD5B3B"/>
    <w:p w14:paraId="1AF0377C" w14:textId="77777777" w:rsidR="00AD5B3B" w:rsidRDefault="00AD5B3B" w:rsidP="00AD5B3B">
      <w:r>
        <w:t>Normalization rules:</w:t>
      </w:r>
    </w:p>
    <w:p w14:paraId="0C8D512A" w14:textId="77777777" w:rsidR="00AD5B3B" w:rsidRDefault="00AD5B3B" w:rsidP="00AD5B3B"/>
    <w:p w14:paraId="246F65D1" w14:textId="77777777" w:rsidR="00AD5B3B" w:rsidRPr="00092F93" w:rsidRDefault="00AD5B3B" w:rsidP="00AD5B3B">
      <w:pPr>
        <w:pStyle w:val="ListParagraph"/>
        <w:numPr>
          <w:ilvl w:val="0"/>
          <w:numId w:val="8"/>
        </w:numPr>
        <w:rPr>
          <w:rFonts w:ascii="Calibri" w:eastAsia="Times New Roman" w:hAnsi="Calibri" w:cs="Calibri"/>
          <w:color w:val="000000"/>
          <w:lang w:eastAsia="en-GB"/>
        </w:rPr>
      </w:pPr>
      <w:r>
        <w:t>Order alphabetically “</w:t>
      </w:r>
      <w:r>
        <w:rPr>
          <w:rFonts w:ascii="Calibri" w:eastAsia="Times New Roman" w:hAnsi="Calibri" w:cs="Calibri"/>
          <w:color w:val="000000"/>
          <w:lang w:eastAsia="en-GB"/>
        </w:rPr>
        <w:t>Reference Rate”</w:t>
      </w:r>
      <w:r w:rsidRPr="00092F93">
        <w:rPr>
          <w:rFonts w:ascii="Calibri" w:eastAsia="Times New Roman" w:hAnsi="Calibri" w:cs="Calibri"/>
          <w:color w:val="000000"/>
          <w:lang w:eastAsia="en-GB"/>
        </w:rPr>
        <w:t xml:space="preserve"> and </w:t>
      </w:r>
      <w:r>
        <w:rPr>
          <w:rFonts w:ascii="Calibri" w:eastAsia="Times New Roman" w:hAnsi="Calibri" w:cs="Calibri"/>
          <w:color w:val="000000"/>
          <w:lang w:eastAsia="en-GB"/>
        </w:rPr>
        <w:t>“</w:t>
      </w:r>
      <w:r w:rsidRPr="00092F93">
        <w:rPr>
          <w:rFonts w:ascii="Calibri" w:eastAsia="Times New Roman" w:hAnsi="Calibri" w:cs="Calibri"/>
          <w:color w:val="000000"/>
          <w:lang w:eastAsia="en-GB"/>
        </w:rPr>
        <w:t>Other Leg Reference Rate</w:t>
      </w:r>
      <w:r>
        <w:rPr>
          <w:rFonts w:ascii="Calibri" w:eastAsia="Times New Roman" w:hAnsi="Calibri" w:cs="Calibri"/>
          <w:color w:val="000000"/>
          <w:lang w:eastAsia="en-GB"/>
        </w:rPr>
        <w:t>”</w:t>
      </w:r>
    </w:p>
    <w:p w14:paraId="60A1C72F" w14:textId="77777777" w:rsidR="00AD5B3B" w:rsidRPr="00092F93" w:rsidRDefault="00AD5B3B" w:rsidP="00AD5B3B">
      <w:pPr>
        <w:pStyle w:val="ListParagraph"/>
        <w:numPr>
          <w:ilvl w:val="0"/>
          <w:numId w:val="8"/>
        </w:numPr>
        <w:spacing w:after="160" w:line="259" w:lineRule="auto"/>
      </w:pPr>
      <w:r>
        <w:t>If “</w:t>
      </w:r>
      <w:r>
        <w:rPr>
          <w:rFonts w:ascii="Calibri" w:eastAsia="Times New Roman" w:hAnsi="Calibri" w:cs="Calibri"/>
          <w:color w:val="000000"/>
          <w:lang w:eastAsia="en-GB"/>
        </w:rPr>
        <w:t xml:space="preserve">Reference Rate” is first alphabetically, record it as </w:t>
      </w:r>
      <w:r>
        <w:t>“</w:t>
      </w:r>
      <w:r>
        <w:rPr>
          <w:rFonts w:ascii="Calibri" w:eastAsia="Times New Roman" w:hAnsi="Calibri" w:cs="Calibri"/>
          <w:color w:val="000000"/>
          <w:lang w:eastAsia="en-GB"/>
        </w:rPr>
        <w:t>Reference Rate”</w:t>
      </w:r>
    </w:p>
    <w:p w14:paraId="3963421F" w14:textId="77777777" w:rsidR="00AD5B3B" w:rsidRPr="00CD1191" w:rsidRDefault="00AD5B3B" w:rsidP="00AD5B3B">
      <w:pPr>
        <w:pStyle w:val="ListParagraph"/>
        <w:numPr>
          <w:ilvl w:val="0"/>
          <w:numId w:val="8"/>
        </w:numPr>
        <w:spacing w:after="160" w:line="259" w:lineRule="auto"/>
        <w:rPr>
          <w:rFonts w:ascii="Calibri" w:eastAsia="Times New Roman" w:hAnsi="Calibri" w:cs="Calibri"/>
          <w:color w:val="000000"/>
          <w:lang w:eastAsia="en-GB"/>
        </w:rPr>
      </w:pPr>
      <w:r>
        <w:t>If “</w:t>
      </w:r>
      <w:r>
        <w:rPr>
          <w:rFonts w:ascii="Calibri" w:eastAsia="Times New Roman" w:hAnsi="Calibri" w:cs="Calibri"/>
          <w:color w:val="000000"/>
          <w:lang w:eastAsia="en-GB"/>
        </w:rPr>
        <w:t>Reference Rate</w:t>
      </w:r>
      <w:r w:rsidRPr="00CD1191">
        <w:rPr>
          <w:rFonts w:ascii="Calibri" w:eastAsia="Times New Roman" w:hAnsi="Calibri" w:cs="Calibri"/>
          <w:color w:val="000000"/>
          <w:lang w:eastAsia="en-GB"/>
        </w:rPr>
        <w:t>” is not first alphabetically, then record the following fields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849"/>
        <w:gridCol w:w="4485"/>
      </w:tblGrid>
      <w:tr w:rsidR="00AD5B3B" w:rsidRPr="00770667" w14:paraId="0F820168" w14:textId="77777777" w:rsidTr="00452B51">
        <w:trPr>
          <w:trHeight w:val="300"/>
        </w:trPr>
        <w:tc>
          <w:tcPr>
            <w:tcW w:w="3682" w:type="dxa"/>
            <w:tcBorders>
              <w:right w:val="single" w:sz="4" w:space="0" w:color="auto"/>
            </w:tcBorders>
            <w:shd w:val="clear" w:color="auto" w:fill="auto"/>
            <w:noWrap/>
            <w:vAlign w:val="bottom"/>
            <w:hideMark/>
          </w:tcPr>
          <w:p w14:paraId="2FEC7641"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w:t>
            </w:r>
          </w:p>
        </w:tc>
        <w:tc>
          <w:tcPr>
            <w:tcW w:w="849" w:type="dxa"/>
            <w:vMerge w:val="restart"/>
            <w:tcBorders>
              <w:top w:val="single" w:sz="4" w:space="0" w:color="auto"/>
              <w:left w:val="single" w:sz="4" w:space="0" w:color="auto"/>
              <w:bottom w:val="single" w:sz="4" w:space="0" w:color="auto"/>
              <w:right w:val="single" w:sz="4" w:space="0" w:color="auto"/>
            </w:tcBorders>
            <w:vAlign w:val="center"/>
          </w:tcPr>
          <w:p w14:paraId="1D817109" w14:textId="77777777" w:rsidR="00AD5B3B" w:rsidRPr="00770667" w:rsidRDefault="00AD5B3B" w:rsidP="00452B51">
            <w:pPr>
              <w:jc w:val="center"/>
              <w:rPr>
                <w:rFonts w:ascii="Calibri" w:eastAsia="Times New Roman" w:hAnsi="Calibri" w:cs="Calibri"/>
                <w:color w:val="000000"/>
                <w:lang w:eastAsia="en-GB"/>
              </w:rPr>
            </w:pPr>
            <w:r w:rsidRPr="00465AD7">
              <w:rPr>
                <w:rFonts w:ascii="Calibri" w:eastAsia="Times New Roman" w:hAnsi="Calibri" w:cs="Calibri"/>
                <w:color w:val="000000"/>
                <w:lang w:eastAsia="en-GB"/>
              </w:rPr>
              <w:sym w:font="Wingdings" w:char="F0E0"/>
            </w:r>
          </w:p>
        </w:tc>
        <w:tc>
          <w:tcPr>
            <w:tcW w:w="4485" w:type="dxa"/>
            <w:tcBorders>
              <w:left w:val="single" w:sz="4" w:space="0" w:color="auto"/>
            </w:tcBorders>
            <w:vAlign w:val="bottom"/>
          </w:tcPr>
          <w:p w14:paraId="09DA1C72"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p>
        </w:tc>
      </w:tr>
      <w:tr w:rsidR="00AD5B3B" w:rsidRPr="00770667" w14:paraId="54617776" w14:textId="77777777" w:rsidTr="00452B51">
        <w:trPr>
          <w:trHeight w:val="300"/>
        </w:trPr>
        <w:tc>
          <w:tcPr>
            <w:tcW w:w="3682" w:type="dxa"/>
            <w:tcBorders>
              <w:right w:val="single" w:sz="4" w:space="0" w:color="auto"/>
            </w:tcBorders>
            <w:shd w:val="clear" w:color="auto" w:fill="auto"/>
            <w:noWrap/>
            <w:vAlign w:val="bottom"/>
            <w:hideMark/>
          </w:tcPr>
          <w:p w14:paraId="097CAAE8"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Value</w:t>
            </w:r>
          </w:p>
        </w:tc>
        <w:tc>
          <w:tcPr>
            <w:tcW w:w="849" w:type="dxa"/>
            <w:vMerge/>
            <w:tcBorders>
              <w:top w:val="single" w:sz="4" w:space="0" w:color="auto"/>
              <w:left w:val="single" w:sz="4" w:space="0" w:color="auto"/>
              <w:bottom w:val="single" w:sz="4" w:space="0" w:color="auto"/>
              <w:right w:val="single" w:sz="4" w:space="0" w:color="auto"/>
            </w:tcBorders>
          </w:tcPr>
          <w:p w14:paraId="0EB53BA2" w14:textId="77777777" w:rsidR="00AD5B3B" w:rsidRPr="00770667" w:rsidRDefault="00AD5B3B" w:rsidP="00452B51">
            <w:pPr>
              <w:rPr>
                <w:rFonts w:ascii="Calibri" w:eastAsia="Times New Roman" w:hAnsi="Calibri" w:cs="Calibri"/>
                <w:color w:val="000000"/>
                <w:lang w:eastAsia="en-GB"/>
              </w:rPr>
            </w:pPr>
          </w:p>
        </w:tc>
        <w:tc>
          <w:tcPr>
            <w:tcW w:w="4485" w:type="dxa"/>
            <w:tcBorders>
              <w:left w:val="single" w:sz="4" w:space="0" w:color="auto"/>
            </w:tcBorders>
            <w:vAlign w:val="bottom"/>
          </w:tcPr>
          <w:p w14:paraId="59BD75EA"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Pr="00770667">
              <w:rPr>
                <w:rFonts w:ascii="Calibri" w:eastAsia="Times New Roman" w:hAnsi="Calibri" w:cs="Calibri"/>
                <w:color w:val="000000"/>
                <w:lang w:eastAsia="en-GB"/>
              </w:rPr>
              <w:t xml:space="preserve"> Term Value</w:t>
            </w:r>
          </w:p>
        </w:tc>
      </w:tr>
      <w:tr w:rsidR="00AD5B3B" w:rsidRPr="00770667" w14:paraId="79441020" w14:textId="77777777" w:rsidTr="00452B51">
        <w:trPr>
          <w:trHeight w:val="300"/>
        </w:trPr>
        <w:tc>
          <w:tcPr>
            <w:tcW w:w="3682" w:type="dxa"/>
            <w:tcBorders>
              <w:right w:val="single" w:sz="4" w:space="0" w:color="auto"/>
            </w:tcBorders>
            <w:shd w:val="clear" w:color="auto" w:fill="auto"/>
            <w:noWrap/>
            <w:vAlign w:val="bottom"/>
            <w:hideMark/>
          </w:tcPr>
          <w:p w14:paraId="3A30C176"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Unit</w:t>
            </w:r>
          </w:p>
        </w:tc>
        <w:tc>
          <w:tcPr>
            <w:tcW w:w="849" w:type="dxa"/>
            <w:vMerge/>
            <w:tcBorders>
              <w:top w:val="single" w:sz="4" w:space="0" w:color="auto"/>
              <w:left w:val="single" w:sz="4" w:space="0" w:color="auto"/>
              <w:bottom w:val="single" w:sz="4" w:space="0" w:color="auto"/>
              <w:right w:val="single" w:sz="4" w:space="0" w:color="auto"/>
            </w:tcBorders>
          </w:tcPr>
          <w:p w14:paraId="7B7A8C4D" w14:textId="77777777" w:rsidR="00AD5B3B" w:rsidRDefault="00AD5B3B" w:rsidP="00452B51">
            <w:pPr>
              <w:rPr>
                <w:rFonts w:ascii="Calibri" w:eastAsia="Times New Roman" w:hAnsi="Calibri" w:cs="Calibri"/>
                <w:color w:val="000000"/>
                <w:lang w:eastAsia="en-GB"/>
              </w:rPr>
            </w:pPr>
          </w:p>
        </w:tc>
        <w:tc>
          <w:tcPr>
            <w:tcW w:w="4485" w:type="dxa"/>
            <w:tcBorders>
              <w:left w:val="single" w:sz="4" w:space="0" w:color="auto"/>
            </w:tcBorders>
            <w:vAlign w:val="bottom"/>
          </w:tcPr>
          <w:p w14:paraId="27656E45"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Pr="00770667">
              <w:rPr>
                <w:rFonts w:ascii="Calibri" w:eastAsia="Times New Roman" w:hAnsi="Calibri" w:cs="Calibri"/>
                <w:color w:val="000000"/>
                <w:lang w:eastAsia="en-GB"/>
              </w:rPr>
              <w:t xml:space="preserve"> Term Unit</w:t>
            </w:r>
          </w:p>
        </w:tc>
      </w:tr>
    </w:tbl>
    <w:p w14:paraId="432B8B45" w14:textId="77777777" w:rsidR="00AD5B3B" w:rsidRDefault="00AD5B3B" w:rsidP="00AD5B3B"/>
    <w:p w14:paraId="788AA26A" w14:textId="77777777" w:rsidR="00AD5B3B" w:rsidRDefault="00AD5B3B" w:rsidP="00AD5B3B">
      <w:r>
        <w:t>And record the following fields as:</w:t>
      </w:r>
    </w:p>
    <w:p w14:paraId="7985C03B" w14:textId="77777777" w:rsidR="00AD5B3B" w:rsidRDefault="00AD5B3B" w:rsidP="00AD5B3B"/>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849"/>
        <w:gridCol w:w="4485"/>
      </w:tblGrid>
      <w:tr w:rsidR="00AD5B3B" w:rsidRPr="00770667" w14:paraId="53972DEC" w14:textId="77777777" w:rsidTr="00452B51">
        <w:trPr>
          <w:trHeight w:val="300"/>
        </w:trPr>
        <w:tc>
          <w:tcPr>
            <w:tcW w:w="3682" w:type="dxa"/>
            <w:vAlign w:val="bottom"/>
          </w:tcPr>
          <w:p w14:paraId="1B2C7DDD"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p>
        </w:tc>
        <w:tc>
          <w:tcPr>
            <w:tcW w:w="849" w:type="dxa"/>
            <w:vMerge w:val="restart"/>
            <w:vAlign w:val="center"/>
          </w:tcPr>
          <w:p w14:paraId="14E54674" w14:textId="77777777" w:rsidR="00AD5B3B" w:rsidRPr="00770667" w:rsidRDefault="00AD5B3B" w:rsidP="00452B51">
            <w:pPr>
              <w:jc w:val="center"/>
              <w:rPr>
                <w:rFonts w:ascii="Calibri" w:eastAsia="Times New Roman" w:hAnsi="Calibri" w:cs="Calibri"/>
                <w:color w:val="000000"/>
                <w:lang w:eastAsia="en-GB"/>
              </w:rPr>
            </w:pPr>
            <w:r w:rsidRPr="00465AD7">
              <w:rPr>
                <w:rFonts w:ascii="Calibri" w:eastAsia="Times New Roman" w:hAnsi="Calibri" w:cs="Calibri"/>
                <w:color w:val="000000"/>
                <w:lang w:eastAsia="en-GB"/>
              </w:rPr>
              <w:sym w:font="Wingdings" w:char="F0E0"/>
            </w:r>
          </w:p>
        </w:tc>
        <w:tc>
          <w:tcPr>
            <w:tcW w:w="4485" w:type="dxa"/>
            <w:vAlign w:val="bottom"/>
          </w:tcPr>
          <w:p w14:paraId="3ACC8856"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w:t>
            </w:r>
          </w:p>
        </w:tc>
      </w:tr>
      <w:tr w:rsidR="00AD5B3B" w:rsidRPr="00770667" w14:paraId="61E84D88" w14:textId="77777777" w:rsidTr="00452B51">
        <w:trPr>
          <w:trHeight w:val="300"/>
        </w:trPr>
        <w:tc>
          <w:tcPr>
            <w:tcW w:w="3682" w:type="dxa"/>
            <w:vAlign w:val="bottom"/>
          </w:tcPr>
          <w:p w14:paraId="69C9990A"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Pr="00770667">
              <w:rPr>
                <w:rFonts w:ascii="Calibri" w:eastAsia="Times New Roman" w:hAnsi="Calibri" w:cs="Calibri"/>
                <w:color w:val="000000"/>
                <w:lang w:eastAsia="en-GB"/>
              </w:rPr>
              <w:t xml:space="preserve"> Term Value</w:t>
            </w:r>
          </w:p>
        </w:tc>
        <w:tc>
          <w:tcPr>
            <w:tcW w:w="849" w:type="dxa"/>
            <w:vMerge/>
          </w:tcPr>
          <w:p w14:paraId="7600FA75" w14:textId="77777777" w:rsidR="00AD5B3B" w:rsidRPr="00770667" w:rsidRDefault="00AD5B3B" w:rsidP="00452B51">
            <w:pPr>
              <w:rPr>
                <w:rFonts w:ascii="Calibri" w:eastAsia="Times New Roman" w:hAnsi="Calibri" w:cs="Calibri"/>
                <w:color w:val="000000"/>
                <w:lang w:eastAsia="en-GB"/>
              </w:rPr>
            </w:pPr>
          </w:p>
        </w:tc>
        <w:tc>
          <w:tcPr>
            <w:tcW w:w="4485" w:type="dxa"/>
            <w:vAlign w:val="bottom"/>
          </w:tcPr>
          <w:p w14:paraId="1E9554F0"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Value</w:t>
            </w:r>
          </w:p>
        </w:tc>
      </w:tr>
      <w:tr w:rsidR="00AD5B3B" w:rsidRPr="00770667" w14:paraId="3EC36983" w14:textId="77777777" w:rsidTr="00452B51">
        <w:trPr>
          <w:trHeight w:val="300"/>
        </w:trPr>
        <w:tc>
          <w:tcPr>
            <w:tcW w:w="3682" w:type="dxa"/>
            <w:vAlign w:val="bottom"/>
          </w:tcPr>
          <w:p w14:paraId="27F34C26"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Pr="00770667">
              <w:rPr>
                <w:rFonts w:ascii="Calibri" w:eastAsia="Times New Roman" w:hAnsi="Calibri" w:cs="Calibri"/>
                <w:color w:val="000000"/>
                <w:lang w:eastAsia="en-GB"/>
              </w:rPr>
              <w:t xml:space="preserve"> Term Unit</w:t>
            </w:r>
          </w:p>
        </w:tc>
        <w:tc>
          <w:tcPr>
            <w:tcW w:w="849" w:type="dxa"/>
            <w:vMerge/>
          </w:tcPr>
          <w:p w14:paraId="3BBD1D4E" w14:textId="77777777" w:rsidR="00AD5B3B" w:rsidRDefault="00AD5B3B" w:rsidP="00452B51">
            <w:pPr>
              <w:rPr>
                <w:rFonts w:ascii="Calibri" w:eastAsia="Times New Roman" w:hAnsi="Calibri" w:cs="Calibri"/>
                <w:color w:val="000000"/>
                <w:lang w:eastAsia="en-GB"/>
              </w:rPr>
            </w:pPr>
          </w:p>
        </w:tc>
        <w:tc>
          <w:tcPr>
            <w:tcW w:w="4485" w:type="dxa"/>
            <w:vAlign w:val="bottom"/>
          </w:tcPr>
          <w:p w14:paraId="611A0875"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Unit</w:t>
            </w:r>
          </w:p>
        </w:tc>
      </w:tr>
    </w:tbl>
    <w:p w14:paraId="69B3ADD7" w14:textId="77777777" w:rsidR="00AD5B3B" w:rsidRDefault="00AD5B3B" w:rsidP="00AD5B3B"/>
    <w:p w14:paraId="2D20F67C" w14:textId="77777777" w:rsidR="00AD5B3B" w:rsidRDefault="00AD5B3B" w:rsidP="00AD5B3B">
      <w:r>
        <w:t>Should the Reference Rate and Other Leg Reference rate be identical then the DSB will normalize the term value &amp; unit to ensure a singular ISIN for any given basis combination.</w:t>
      </w:r>
    </w:p>
    <w:p w14:paraId="649CC3AB" w14:textId="77777777" w:rsidR="00AD5B3B" w:rsidRDefault="00AD5B3B" w:rsidP="00AD5B3B"/>
    <w:p w14:paraId="6D0B620B" w14:textId="77777777" w:rsidR="00AD5B3B" w:rsidRDefault="00AD5B3B" w:rsidP="00AD5B3B">
      <w:r>
        <w:t>Normalization rules:</w:t>
      </w:r>
    </w:p>
    <w:p w14:paraId="68BD218D" w14:textId="77777777" w:rsidR="00AD5B3B" w:rsidRDefault="00AD5B3B" w:rsidP="00AD5B3B"/>
    <w:p w14:paraId="3ABD0B3E" w14:textId="77777777" w:rsidR="00AD5B3B" w:rsidRDefault="00AD5B3B" w:rsidP="00AD5B3B">
      <w:pPr>
        <w:pStyle w:val="ListParagraph"/>
        <w:numPr>
          <w:ilvl w:val="0"/>
          <w:numId w:val="17"/>
        </w:numPr>
      </w:pPr>
      <w:r>
        <w:t>If the term unit is the same, then order Term Value numerically from lowest to highest</w:t>
      </w:r>
    </w:p>
    <w:p w14:paraId="01652E62" w14:textId="77777777" w:rsidR="00AD5B3B" w:rsidRDefault="00AD5B3B" w:rsidP="00AD5B3B">
      <w:pPr>
        <w:pStyle w:val="ListParagraph"/>
        <w:numPr>
          <w:ilvl w:val="0"/>
          <w:numId w:val="17"/>
        </w:numPr>
      </w:pPr>
      <w:r>
        <w:t>If the term unit is different, then retain the respective Term Unit with the Term Value as input by the user and order chronologically by Term unit (ie DAY, WEEK, MNTH, YEAR)</w:t>
      </w:r>
    </w:p>
    <w:p w14:paraId="21B10573" w14:textId="77777777" w:rsidR="00AD5B3B" w:rsidRDefault="00AD5B3B" w:rsidP="00AD5B3B"/>
    <w:p w14:paraId="1F2AC7D3" w14:textId="77777777" w:rsidR="00AD5B3B" w:rsidRDefault="00AD5B3B" w:rsidP="00AD5B3B">
      <w:pPr>
        <w:pStyle w:val="Heading3"/>
        <w:ind w:left="709"/>
      </w:pPr>
      <w:bookmarkStart w:id="34" w:name="_Toc500926775"/>
      <w:bookmarkStart w:id="35" w:name="_Toc527364488"/>
      <w:r w:rsidRPr="00465AD7">
        <w:t>Cross Currency Basis Swap</w:t>
      </w:r>
      <w:bookmarkEnd w:id="34"/>
      <w:bookmarkEnd w:id="35"/>
    </w:p>
    <w:p w14:paraId="4740ADB9" w14:textId="77777777" w:rsidR="00AD5B3B" w:rsidRDefault="00AD5B3B" w:rsidP="00AD5B3B"/>
    <w:p w14:paraId="17558004" w14:textId="77777777" w:rsidR="00AD5B3B" w:rsidRDefault="00AD5B3B" w:rsidP="00AD5B3B">
      <w:r>
        <w:t xml:space="preserve">For a Cross Currency Basis </w:t>
      </w:r>
      <w:proofErr w:type="gramStart"/>
      <w:r>
        <w:t>Swap</w:t>
      </w:r>
      <w:proofErr w:type="gramEnd"/>
      <w:r>
        <w:t xml:space="preserve"> the user is required to provide the following input:</w:t>
      </w:r>
    </w:p>
    <w:p w14:paraId="461CE787" w14:textId="77777777" w:rsidR="00AD5B3B" w:rsidRDefault="00AD5B3B" w:rsidP="00AD5B3B"/>
    <w:tbl>
      <w:tblPr>
        <w:tblStyle w:val="GridTable4-Accent5"/>
        <w:tblW w:w="0" w:type="auto"/>
        <w:tblLook w:val="04A0" w:firstRow="1" w:lastRow="0" w:firstColumn="1" w:lastColumn="0" w:noHBand="0" w:noVBand="1"/>
      </w:tblPr>
      <w:tblGrid>
        <w:gridCol w:w="3823"/>
        <w:gridCol w:w="2834"/>
      </w:tblGrid>
      <w:tr w:rsidR="00AD5B3B" w:rsidRPr="004D2543" w14:paraId="57D4643B" w14:textId="77777777" w:rsidTr="00452B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DEB0A38" w14:textId="77777777" w:rsidR="00AD5B3B" w:rsidRPr="004D2543" w:rsidRDefault="00AD5B3B" w:rsidP="00452B51">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2834" w:type="dxa"/>
            <w:noWrap/>
            <w:hideMark/>
          </w:tcPr>
          <w:p w14:paraId="1CF400EE"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AD5B3B" w:rsidRPr="004D2543" w14:paraId="3890E252"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A160700"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Notional Currency</w:t>
            </w:r>
          </w:p>
        </w:tc>
        <w:tc>
          <w:tcPr>
            <w:tcW w:w="2834" w:type="dxa"/>
            <w:noWrap/>
            <w:hideMark/>
          </w:tcPr>
          <w:p w14:paraId="0A173D21"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GBP</w:t>
            </w:r>
          </w:p>
        </w:tc>
      </w:tr>
      <w:tr w:rsidR="00AD5B3B" w:rsidRPr="004D2543" w14:paraId="3C6241A8"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9473AA2"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Expiry date</w:t>
            </w:r>
          </w:p>
        </w:tc>
        <w:tc>
          <w:tcPr>
            <w:tcW w:w="2834" w:type="dxa"/>
            <w:noWrap/>
            <w:hideMark/>
          </w:tcPr>
          <w:p w14:paraId="2CA12056"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20180211</w:t>
            </w:r>
          </w:p>
        </w:tc>
      </w:tr>
      <w:tr w:rsidR="00AD5B3B" w:rsidRPr="004D2543" w14:paraId="5A05CACC"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07DAFA3"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w:t>
            </w:r>
          </w:p>
        </w:tc>
        <w:tc>
          <w:tcPr>
            <w:tcW w:w="2834" w:type="dxa"/>
            <w:noWrap/>
            <w:hideMark/>
          </w:tcPr>
          <w:p w14:paraId="10C7BF62"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GBP-LIBOR-BBA</w:t>
            </w:r>
          </w:p>
        </w:tc>
      </w:tr>
      <w:tr w:rsidR="00AD5B3B" w:rsidRPr="004D2543" w14:paraId="1D4D76C4"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2B41D6CB"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 Term Value</w:t>
            </w:r>
          </w:p>
        </w:tc>
        <w:tc>
          <w:tcPr>
            <w:tcW w:w="2834" w:type="dxa"/>
            <w:noWrap/>
            <w:hideMark/>
          </w:tcPr>
          <w:p w14:paraId="17D9E5B1"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3</w:t>
            </w:r>
          </w:p>
        </w:tc>
      </w:tr>
      <w:tr w:rsidR="00AD5B3B" w:rsidRPr="004D2543" w14:paraId="49D2E9EE"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3FD21146"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 Term Unit</w:t>
            </w:r>
          </w:p>
        </w:tc>
        <w:tc>
          <w:tcPr>
            <w:tcW w:w="2834" w:type="dxa"/>
            <w:noWrap/>
            <w:hideMark/>
          </w:tcPr>
          <w:p w14:paraId="78ED7C9F"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MNTH</w:t>
            </w:r>
          </w:p>
        </w:tc>
      </w:tr>
      <w:tr w:rsidR="00AD5B3B" w:rsidRPr="004D2543" w14:paraId="697F3E64"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3B652734"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lastRenderedPageBreak/>
              <w:t>Other Notional Currency</w:t>
            </w:r>
          </w:p>
        </w:tc>
        <w:tc>
          <w:tcPr>
            <w:tcW w:w="2834" w:type="dxa"/>
            <w:noWrap/>
            <w:hideMark/>
          </w:tcPr>
          <w:p w14:paraId="329DC444"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USD</w:t>
            </w:r>
          </w:p>
        </w:tc>
      </w:tr>
      <w:tr w:rsidR="00AD5B3B" w:rsidRPr="004D2543" w14:paraId="587E6BE9"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1896C6D"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w:t>
            </w:r>
          </w:p>
        </w:tc>
        <w:tc>
          <w:tcPr>
            <w:tcW w:w="2834" w:type="dxa"/>
            <w:noWrap/>
            <w:hideMark/>
          </w:tcPr>
          <w:p w14:paraId="2011733B"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USD-LIBOR-BBA</w:t>
            </w:r>
          </w:p>
        </w:tc>
      </w:tr>
      <w:tr w:rsidR="00AD5B3B" w:rsidRPr="004D2543" w14:paraId="281E9383"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4FE9C72"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 Term Value</w:t>
            </w:r>
          </w:p>
        </w:tc>
        <w:tc>
          <w:tcPr>
            <w:tcW w:w="2834" w:type="dxa"/>
            <w:noWrap/>
            <w:hideMark/>
          </w:tcPr>
          <w:p w14:paraId="36C469E0"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3</w:t>
            </w:r>
          </w:p>
        </w:tc>
      </w:tr>
      <w:tr w:rsidR="00AD5B3B" w:rsidRPr="004D2543" w14:paraId="01E3CD9A"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380DD9F6"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 Term Unit</w:t>
            </w:r>
          </w:p>
        </w:tc>
        <w:tc>
          <w:tcPr>
            <w:tcW w:w="2834" w:type="dxa"/>
            <w:noWrap/>
            <w:hideMark/>
          </w:tcPr>
          <w:p w14:paraId="066F9640"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MNTH</w:t>
            </w:r>
          </w:p>
        </w:tc>
      </w:tr>
      <w:tr w:rsidR="00AD5B3B" w:rsidRPr="004D2543" w14:paraId="541FEB6A" w14:textId="77777777" w:rsidTr="00452B51">
        <w:trPr>
          <w:trHeight w:val="7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1B5330D7" w14:textId="77777777" w:rsidR="00AD5B3B" w:rsidRPr="004D2543" w:rsidRDefault="00AD5B3B" w:rsidP="00452B51">
            <w:pPr>
              <w:rPr>
                <w:rFonts w:ascii="Calibri" w:eastAsia="Times New Roman" w:hAnsi="Calibri" w:cs="Times New Roman"/>
                <w:b w:val="0"/>
                <w:lang w:eastAsia="en-GB"/>
              </w:rPr>
            </w:pPr>
            <w:r w:rsidRPr="004D2543">
              <w:rPr>
                <w:rFonts w:ascii="Calibri" w:eastAsia="Times New Roman" w:hAnsi="Calibri" w:cs="Times New Roman"/>
                <w:b w:val="0"/>
                <w:lang w:eastAsia="en-GB"/>
              </w:rPr>
              <w:t>Notional Schedule</w:t>
            </w:r>
          </w:p>
        </w:tc>
        <w:tc>
          <w:tcPr>
            <w:tcW w:w="2834" w:type="dxa"/>
            <w:noWrap/>
            <w:hideMark/>
          </w:tcPr>
          <w:p w14:paraId="61855BCE"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C - Constant</w:t>
            </w:r>
          </w:p>
        </w:tc>
      </w:tr>
    </w:tbl>
    <w:p w14:paraId="67972BD4" w14:textId="77777777" w:rsidR="00AD5B3B" w:rsidRDefault="00AD5B3B" w:rsidP="00AD5B3B"/>
    <w:p w14:paraId="2D795A8E" w14:textId="77777777" w:rsidR="00AD5B3B" w:rsidRDefault="00AD5B3B" w:rsidP="00AD5B3B">
      <w:r>
        <w:t>The Notional Currency is always associated with the Reference Rate and Other Currency with the Other Reference Rate.</w:t>
      </w:r>
    </w:p>
    <w:p w14:paraId="2393BAB3" w14:textId="77777777" w:rsidR="00AD5B3B" w:rsidRDefault="00AD5B3B" w:rsidP="00AD5B3B"/>
    <w:p w14:paraId="756E38F2" w14:textId="77777777" w:rsidR="00AD5B3B" w:rsidRDefault="00AD5B3B" w:rsidP="00AD5B3B">
      <w:r>
        <w:t>Regardless of the order in which the notional currencies are supplied, the DSB assumes the same ISIN would be allocated to the instrument, i.e. the instrument in the example above is the same as if it was entered as follows:</w:t>
      </w:r>
    </w:p>
    <w:p w14:paraId="208B868A" w14:textId="77777777" w:rsidR="00AD5B3B" w:rsidRDefault="00AD5B3B" w:rsidP="00AD5B3B"/>
    <w:tbl>
      <w:tblPr>
        <w:tblStyle w:val="GridTable4-Accent5"/>
        <w:tblW w:w="0" w:type="auto"/>
        <w:tblLook w:val="04A0" w:firstRow="1" w:lastRow="0" w:firstColumn="1" w:lastColumn="0" w:noHBand="0" w:noVBand="1"/>
      </w:tblPr>
      <w:tblGrid>
        <w:gridCol w:w="3823"/>
        <w:gridCol w:w="2835"/>
      </w:tblGrid>
      <w:tr w:rsidR="00AD5B3B" w:rsidRPr="004D2543" w14:paraId="5804E7AE" w14:textId="77777777" w:rsidTr="00452B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tcPr>
          <w:p w14:paraId="23B521E5" w14:textId="77777777" w:rsidR="00AD5B3B" w:rsidRPr="004D2543" w:rsidRDefault="00AD5B3B" w:rsidP="00452B51">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2835" w:type="dxa"/>
            <w:noWrap/>
          </w:tcPr>
          <w:p w14:paraId="76E205C9"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AD5B3B" w:rsidRPr="004D2543" w14:paraId="0B38277E"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F38DB32"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Notional Currency</w:t>
            </w:r>
          </w:p>
        </w:tc>
        <w:tc>
          <w:tcPr>
            <w:tcW w:w="2835" w:type="dxa"/>
            <w:noWrap/>
            <w:hideMark/>
          </w:tcPr>
          <w:p w14:paraId="533DF6F6"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USD</w:t>
            </w:r>
          </w:p>
        </w:tc>
      </w:tr>
      <w:tr w:rsidR="00AD5B3B" w:rsidRPr="004D2543" w14:paraId="7A427F1B"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044FC460"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Expiry date</w:t>
            </w:r>
          </w:p>
        </w:tc>
        <w:tc>
          <w:tcPr>
            <w:tcW w:w="2835" w:type="dxa"/>
            <w:noWrap/>
            <w:hideMark/>
          </w:tcPr>
          <w:p w14:paraId="032D41D0"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20180211</w:t>
            </w:r>
          </w:p>
        </w:tc>
      </w:tr>
      <w:tr w:rsidR="00AD5B3B" w:rsidRPr="004D2543" w14:paraId="694AC867"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64133801"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w:t>
            </w:r>
          </w:p>
        </w:tc>
        <w:tc>
          <w:tcPr>
            <w:tcW w:w="2835" w:type="dxa"/>
            <w:noWrap/>
          </w:tcPr>
          <w:p w14:paraId="50585F3F"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USD-LIBOR-BBA</w:t>
            </w:r>
          </w:p>
        </w:tc>
      </w:tr>
      <w:tr w:rsidR="00AD5B3B" w:rsidRPr="004D2543" w14:paraId="338051FD"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4F7136C"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 Term Value</w:t>
            </w:r>
          </w:p>
        </w:tc>
        <w:tc>
          <w:tcPr>
            <w:tcW w:w="2835" w:type="dxa"/>
            <w:noWrap/>
          </w:tcPr>
          <w:p w14:paraId="45B107AD"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3</w:t>
            </w:r>
          </w:p>
        </w:tc>
      </w:tr>
      <w:tr w:rsidR="00AD5B3B" w:rsidRPr="004D2543" w14:paraId="38C194D9"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5CD61E17"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Reference Rate Term Unit</w:t>
            </w:r>
          </w:p>
        </w:tc>
        <w:tc>
          <w:tcPr>
            <w:tcW w:w="2835" w:type="dxa"/>
            <w:noWrap/>
          </w:tcPr>
          <w:p w14:paraId="1D4D47A0"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MNTH</w:t>
            </w:r>
          </w:p>
        </w:tc>
      </w:tr>
      <w:tr w:rsidR="00AD5B3B" w:rsidRPr="004D2543" w14:paraId="127D0334"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75782CDC"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Other Notional Currency</w:t>
            </w:r>
          </w:p>
        </w:tc>
        <w:tc>
          <w:tcPr>
            <w:tcW w:w="2835" w:type="dxa"/>
            <w:noWrap/>
            <w:hideMark/>
          </w:tcPr>
          <w:p w14:paraId="1E5DE092"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GBP</w:t>
            </w:r>
          </w:p>
        </w:tc>
      </w:tr>
      <w:tr w:rsidR="00AD5B3B" w:rsidRPr="004D2543" w14:paraId="10DE89EC"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60F0A447"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w:t>
            </w:r>
          </w:p>
        </w:tc>
        <w:tc>
          <w:tcPr>
            <w:tcW w:w="2835" w:type="dxa"/>
            <w:noWrap/>
            <w:hideMark/>
          </w:tcPr>
          <w:p w14:paraId="0ADB0F17"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GBP-LIBOR-BBA</w:t>
            </w:r>
          </w:p>
        </w:tc>
      </w:tr>
      <w:tr w:rsidR="00AD5B3B" w:rsidRPr="004D2543" w14:paraId="75294768"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45DEEC9"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 Term Value</w:t>
            </w:r>
          </w:p>
        </w:tc>
        <w:tc>
          <w:tcPr>
            <w:tcW w:w="2835" w:type="dxa"/>
            <w:noWrap/>
            <w:hideMark/>
          </w:tcPr>
          <w:p w14:paraId="629E7CDE"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3</w:t>
            </w:r>
          </w:p>
        </w:tc>
      </w:tr>
      <w:tr w:rsidR="00AD5B3B" w:rsidRPr="004D2543" w14:paraId="2344A650"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4BA55D29"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Other Leg Reference Rate Term Unit</w:t>
            </w:r>
          </w:p>
        </w:tc>
        <w:tc>
          <w:tcPr>
            <w:tcW w:w="2835" w:type="dxa"/>
            <w:noWrap/>
            <w:hideMark/>
          </w:tcPr>
          <w:p w14:paraId="21F3DBD1"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MNTH</w:t>
            </w:r>
          </w:p>
        </w:tc>
      </w:tr>
      <w:tr w:rsidR="00AD5B3B" w:rsidRPr="004D2543" w14:paraId="53987A12" w14:textId="77777777" w:rsidTr="00452B51">
        <w:trPr>
          <w:trHeight w:val="600"/>
        </w:trPr>
        <w:tc>
          <w:tcPr>
            <w:cnfStyle w:val="001000000000" w:firstRow="0" w:lastRow="0" w:firstColumn="1" w:lastColumn="0" w:oddVBand="0" w:evenVBand="0" w:oddHBand="0" w:evenHBand="0" w:firstRowFirstColumn="0" w:firstRowLastColumn="0" w:lastRowFirstColumn="0" w:lastRowLastColumn="0"/>
            <w:tcW w:w="3823" w:type="dxa"/>
            <w:noWrap/>
            <w:hideMark/>
          </w:tcPr>
          <w:p w14:paraId="1BAD062F" w14:textId="77777777" w:rsidR="00AD5B3B" w:rsidRPr="004D2543" w:rsidRDefault="00AD5B3B" w:rsidP="00452B51">
            <w:pPr>
              <w:rPr>
                <w:rFonts w:ascii="Calibri" w:eastAsia="Times New Roman" w:hAnsi="Calibri" w:cs="Times New Roman"/>
                <w:b w:val="0"/>
                <w:lang w:eastAsia="en-GB"/>
              </w:rPr>
            </w:pPr>
            <w:r w:rsidRPr="004D2543">
              <w:rPr>
                <w:rFonts w:ascii="Calibri" w:eastAsia="Times New Roman" w:hAnsi="Calibri" w:cs="Times New Roman"/>
                <w:b w:val="0"/>
                <w:lang w:eastAsia="en-GB"/>
              </w:rPr>
              <w:t>Notional Schedule</w:t>
            </w:r>
          </w:p>
        </w:tc>
        <w:tc>
          <w:tcPr>
            <w:tcW w:w="2835" w:type="dxa"/>
            <w:noWrap/>
            <w:hideMark/>
          </w:tcPr>
          <w:p w14:paraId="57D2F89D"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C - Constant</w:t>
            </w:r>
          </w:p>
        </w:tc>
      </w:tr>
    </w:tbl>
    <w:p w14:paraId="1B8FF8FB" w14:textId="77777777" w:rsidR="00AD5B3B" w:rsidRDefault="00AD5B3B" w:rsidP="00AD5B3B"/>
    <w:p w14:paraId="7D4F72FF" w14:textId="77777777" w:rsidR="00AD5B3B" w:rsidRDefault="00AD5B3B" w:rsidP="00AD5B3B">
      <w:r>
        <w:t xml:space="preserve">The DSB will normalize data submitted by the user to ensure that the same ISIN is returned for a given set of attributes. </w:t>
      </w:r>
    </w:p>
    <w:p w14:paraId="6BFB9B38" w14:textId="77777777" w:rsidR="00AD5B3B" w:rsidRDefault="00AD5B3B" w:rsidP="00AD5B3B"/>
    <w:p w14:paraId="2E7E937A" w14:textId="77777777" w:rsidR="00AD5B3B" w:rsidRDefault="00AD5B3B" w:rsidP="00AD5B3B">
      <w:r>
        <w:t>Normalization rules:</w:t>
      </w:r>
    </w:p>
    <w:p w14:paraId="48EC8AF5" w14:textId="77777777" w:rsidR="00AD5B3B" w:rsidRDefault="00AD5B3B" w:rsidP="00AD5B3B"/>
    <w:p w14:paraId="359BB877" w14:textId="77777777" w:rsidR="00AD5B3B" w:rsidRDefault="00AD5B3B" w:rsidP="00AD5B3B">
      <w:pPr>
        <w:pStyle w:val="ListParagraph"/>
        <w:numPr>
          <w:ilvl w:val="0"/>
          <w:numId w:val="9"/>
        </w:numPr>
        <w:spacing w:after="160" w:line="259" w:lineRule="auto"/>
      </w:pPr>
      <w:r>
        <w:t xml:space="preserve">Order alphabetically “Notional Currency” and “Other Notional Currency”. </w:t>
      </w:r>
    </w:p>
    <w:p w14:paraId="32007071" w14:textId="77777777" w:rsidR="00AD5B3B" w:rsidRPr="00092F93" w:rsidRDefault="00AD5B3B" w:rsidP="00AD5B3B">
      <w:pPr>
        <w:pStyle w:val="ListParagraph"/>
        <w:numPr>
          <w:ilvl w:val="0"/>
          <w:numId w:val="9"/>
        </w:numPr>
        <w:spacing w:after="160" w:line="259" w:lineRule="auto"/>
      </w:pPr>
      <w:r>
        <w:t>If “Notional Currency</w:t>
      </w:r>
      <w:r>
        <w:rPr>
          <w:rFonts w:ascii="Calibri" w:eastAsia="Times New Roman" w:hAnsi="Calibri" w:cs="Calibri"/>
          <w:color w:val="000000"/>
          <w:lang w:eastAsia="en-GB"/>
        </w:rPr>
        <w:t xml:space="preserve">” is first alphabetically, record it as </w:t>
      </w:r>
      <w:r>
        <w:t>“Notional Currency</w:t>
      </w:r>
      <w:r>
        <w:rPr>
          <w:rFonts w:ascii="Calibri" w:eastAsia="Times New Roman" w:hAnsi="Calibri" w:cs="Calibri"/>
          <w:color w:val="000000"/>
          <w:lang w:eastAsia="en-GB"/>
        </w:rPr>
        <w:t>”</w:t>
      </w:r>
    </w:p>
    <w:p w14:paraId="55E67644" w14:textId="77777777" w:rsidR="00AD5B3B" w:rsidRPr="00C803E4" w:rsidRDefault="00AD5B3B" w:rsidP="00AD5B3B">
      <w:pPr>
        <w:pStyle w:val="ListParagraph"/>
        <w:numPr>
          <w:ilvl w:val="0"/>
          <w:numId w:val="9"/>
        </w:numPr>
        <w:spacing w:after="160" w:line="259" w:lineRule="auto"/>
      </w:pPr>
      <w:r>
        <w:t>If “Notional Currency</w:t>
      </w:r>
      <w:r>
        <w:rPr>
          <w:rFonts w:ascii="Calibri" w:eastAsia="Times New Roman" w:hAnsi="Calibri" w:cs="Calibri"/>
          <w:color w:val="000000"/>
          <w:lang w:eastAsia="en-GB"/>
        </w:rPr>
        <w:t>” is not first alphabetically, then record the following fields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849"/>
        <w:gridCol w:w="4485"/>
      </w:tblGrid>
      <w:tr w:rsidR="00AD5B3B" w:rsidRPr="00770667" w14:paraId="02A34AEE" w14:textId="77777777" w:rsidTr="00452B51">
        <w:trPr>
          <w:trHeight w:val="300"/>
        </w:trPr>
        <w:tc>
          <w:tcPr>
            <w:tcW w:w="3682" w:type="dxa"/>
            <w:shd w:val="clear" w:color="auto" w:fill="auto"/>
            <w:noWrap/>
            <w:vAlign w:val="bottom"/>
          </w:tcPr>
          <w:p w14:paraId="0553F908" w14:textId="77777777" w:rsidR="00AD5B3B" w:rsidRPr="00770667" w:rsidRDefault="00AD5B3B" w:rsidP="00452B51">
            <w:pPr>
              <w:rPr>
                <w:rFonts w:ascii="Calibri" w:eastAsia="Times New Roman" w:hAnsi="Calibri" w:cs="Calibri"/>
                <w:color w:val="000000"/>
                <w:lang w:eastAsia="en-GB"/>
              </w:rPr>
            </w:pPr>
            <w:r>
              <w:t>Other Notional Currency</w:t>
            </w:r>
          </w:p>
        </w:tc>
        <w:tc>
          <w:tcPr>
            <w:tcW w:w="849" w:type="dxa"/>
            <w:vMerge w:val="restart"/>
            <w:vAlign w:val="center"/>
          </w:tcPr>
          <w:p w14:paraId="018551B8" w14:textId="77777777" w:rsidR="00AD5B3B" w:rsidRDefault="00AD5B3B" w:rsidP="00452B51">
            <w:pPr>
              <w:jc w:val="center"/>
              <w:rPr>
                <w:rFonts w:ascii="Calibri" w:eastAsia="Times New Roman" w:hAnsi="Calibri" w:cs="Calibri"/>
                <w:color w:val="000000"/>
                <w:lang w:eastAsia="en-GB"/>
              </w:rPr>
            </w:pPr>
            <w:r w:rsidRPr="00465AD7">
              <w:rPr>
                <w:rFonts w:ascii="Calibri" w:eastAsia="Times New Roman" w:hAnsi="Calibri" w:cs="Calibri"/>
                <w:color w:val="000000"/>
                <w:lang w:eastAsia="en-GB"/>
              </w:rPr>
              <w:sym w:font="Wingdings" w:char="F0E0"/>
            </w:r>
          </w:p>
        </w:tc>
        <w:tc>
          <w:tcPr>
            <w:tcW w:w="4485" w:type="dxa"/>
            <w:vAlign w:val="bottom"/>
          </w:tcPr>
          <w:p w14:paraId="729CC0F4" w14:textId="77777777" w:rsidR="00AD5B3B" w:rsidRPr="00770667" w:rsidRDefault="00AD5B3B" w:rsidP="00452B51">
            <w:pPr>
              <w:rPr>
                <w:rFonts w:ascii="Calibri" w:eastAsia="Times New Roman" w:hAnsi="Calibri" w:cs="Calibri"/>
                <w:color w:val="000000"/>
                <w:lang w:eastAsia="en-GB"/>
              </w:rPr>
            </w:pPr>
            <w:r>
              <w:t>Notional Currency</w:t>
            </w:r>
          </w:p>
        </w:tc>
      </w:tr>
      <w:tr w:rsidR="00AD5B3B" w:rsidRPr="00770667" w14:paraId="37E87891" w14:textId="77777777" w:rsidTr="00452B51">
        <w:trPr>
          <w:trHeight w:val="300"/>
        </w:trPr>
        <w:tc>
          <w:tcPr>
            <w:tcW w:w="3682" w:type="dxa"/>
            <w:shd w:val="clear" w:color="auto" w:fill="auto"/>
            <w:noWrap/>
            <w:vAlign w:val="bottom"/>
            <w:hideMark/>
          </w:tcPr>
          <w:p w14:paraId="4D7E35E5"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w:t>
            </w:r>
          </w:p>
        </w:tc>
        <w:tc>
          <w:tcPr>
            <w:tcW w:w="849" w:type="dxa"/>
            <w:vMerge/>
            <w:vAlign w:val="center"/>
          </w:tcPr>
          <w:p w14:paraId="7DE67D30" w14:textId="77777777" w:rsidR="00AD5B3B" w:rsidRPr="00770667" w:rsidRDefault="00AD5B3B" w:rsidP="00452B51">
            <w:pPr>
              <w:jc w:val="center"/>
              <w:rPr>
                <w:rFonts w:ascii="Calibri" w:eastAsia="Times New Roman" w:hAnsi="Calibri" w:cs="Calibri"/>
                <w:color w:val="000000"/>
                <w:lang w:eastAsia="en-GB"/>
              </w:rPr>
            </w:pPr>
          </w:p>
        </w:tc>
        <w:tc>
          <w:tcPr>
            <w:tcW w:w="4485" w:type="dxa"/>
            <w:vAlign w:val="bottom"/>
          </w:tcPr>
          <w:p w14:paraId="0E5D99F8"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p>
        </w:tc>
      </w:tr>
      <w:tr w:rsidR="00AD5B3B" w:rsidRPr="00770667" w14:paraId="28B8C349" w14:textId="77777777" w:rsidTr="00452B51">
        <w:trPr>
          <w:trHeight w:val="300"/>
        </w:trPr>
        <w:tc>
          <w:tcPr>
            <w:tcW w:w="3682" w:type="dxa"/>
            <w:shd w:val="clear" w:color="auto" w:fill="auto"/>
            <w:noWrap/>
            <w:vAlign w:val="bottom"/>
            <w:hideMark/>
          </w:tcPr>
          <w:p w14:paraId="6C66125D"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Value</w:t>
            </w:r>
          </w:p>
        </w:tc>
        <w:tc>
          <w:tcPr>
            <w:tcW w:w="849" w:type="dxa"/>
            <w:vMerge/>
          </w:tcPr>
          <w:p w14:paraId="22DB62C3" w14:textId="77777777" w:rsidR="00AD5B3B" w:rsidRPr="00770667" w:rsidRDefault="00AD5B3B" w:rsidP="00452B51">
            <w:pPr>
              <w:rPr>
                <w:rFonts w:ascii="Calibri" w:eastAsia="Times New Roman" w:hAnsi="Calibri" w:cs="Calibri"/>
                <w:color w:val="000000"/>
                <w:lang w:eastAsia="en-GB"/>
              </w:rPr>
            </w:pPr>
          </w:p>
        </w:tc>
        <w:tc>
          <w:tcPr>
            <w:tcW w:w="4485" w:type="dxa"/>
            <w:vAlign w:val="bottom"/>
          </w:tcPr>
          <w:p w14:paraId="556898BF"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Pr="00770667">
              <w:rPr>
                <w:rFonts w:ascii="Calibri" w:eastAsia="Times New Roman" w:hAnsi="Calibri" w:cs="Calibri"/>
                <w:color w:val="000000"/>
                <w:lang w:eastAsia="en-GB"/>
              </w:rPr>
              <w:t xml:space="preserve"> Term Value</w:t>
            </w:r>
          </w:p>
        </w:tc>
      </w:tr>
      <w:tr w:rsidR="00AD5B3B" w:rsidRPr="00770667" w14:paraId="201614FB" w14:textId="77777777" w:rsidTr="00452B51">
        <w:trPr>
          <w:trHeight w:val="300"/>
        </w:trPr>
        <w:tc>
          <w:tcPr>
            <w:tcW w:w="3682" w:type="dxa"/>
            <w:shd w:val="clear" w:color="auto" w:fill="auto"/>
            <w:noWrap/>
            <w:vAlign w:val="bottom"/>
            <w:hideMark/>
          </w:tcPr>
          <w:p w14:paraId="53289093"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Unit</w:t>
            </w:r>
          </w:p>
        </w:tc>
        <w:tc>
          <w:tcPr>
            <w:tcW w:w="849" w:type="dxa"/>
            <w:vMerge/>
          </w:tcPr>
          <w:p w14:paraId="563F3510" w14:textId="77777777" w:rsidR="00AD5B3B" w:rsidRDefault="00AD5B3B" w:rsidP="00452B51">
            <w:pPr>
              <w:rPr>
                <w:rFonts w:ascii="Calibri" w:eastAsia="Times New Roman" w:hAnsi="Calibri" w:cs="Calibri"/>
                <w:color w:val="000000"/>
                <w:lang w:eastAsia="en-GB"/>
              </w:rPr>
            </w:pPr>
          </w:p>
        </w:tc>
        <w:tc>
          <w:tcPr>
            <w:tcW w:w="4485" w:type="dxa"/>
            <w:vAlign w:val="bottom"/>
          </w:tcPr>
          <w:p w14:paraId="51E38299"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Pr="00770667">
              <w:rPr>
                <w:rFonts w:ascii="Calibri" w:eastAsia="Times New Roman" w:hAnsi="Calibri" w:cs="Calibri"/>
                <w:color w:val="000000"/>
                <w:lang w:eastAsia="en-GB"/>
              </w:rPr>
              <w:t xml:space="preserve"> Term Unit</w:t>
            </w:r>
          </w:p>
        </w:tc>
      </w:tr>
    </w:tbl>
    <w:p w14:paraId="0A2F9C28" w14:textId="77777777" w:rsidR="00AD5B3B" w:rsidRDefault="00AD5B3B" w:rsidP="00AD5B3B">
      <w:pPr>
        <w:pStyle w:val="ListParagraph"/>
      </w:pPr>
    </w:p>
    <w:p w14:paraId="5F865C22" w14:textId="77777777" w:rsidR="00AD5B3B" w:rsidRDefault="00AD5B3B" w:rsidP="00AD5B3B">
      <w:r>
        <w:t>And record the following fields as:</w:t>
      </w: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849"/>
        <w:gridCol w:w="4485"/>
      </w:tblGrid>
      <w:tr w:rsidR="00AD5B3B" w:rsidRPr="00770667" w14:paraId="7864D42D" w14:textId="77777777" w:rsidTr="00452B51">
        <w:trPr>
          <w:trHeight w:val="300"/>
        </w:trPr>
        <w:tc>
          <w:tcPr>
            <w:tcW w:w="3682" w:type="dxa"/>
            <w:vAlign w:val="bottom"/>
          </w:tcPr>
          <w:p w14:paraId="408967A2" w14:textId="77777777" w:rsidR="00AD5B3B" w:rsidRPr="00770667" w:rsidRDefault="00AD5B3B" w:rsidP="00452B51">
            <w:pPr>
              <w:rPr>
                <w:rFonts w:ascii="Calibri" w:eastAsia="Times New Roman" w:hAnsi="Calibri" w:cs="Calibri"/>
                <w:color w:val="000000"/>
                <w:lang w:eastAsia="en-GB"/>
              </w:rPr>
            </w:pPr>
            <w:r>
              <w:t>Notional Currency</w:t>
            </w:r>
          </w:p>
        </w:tc>
        <w:tc>
          <w:tcPr>
            <w:tcW w:w="849" w:type="dxa"/>
            <w:vMerge w:val="restart"/>
            <w:vAlign w:val="center"/>
          </w:tcPr>
          <w:p w14:paraId="72597F2D" w14:textId="77777777" w:rsidR="00AD5B3B" w:rsidRDefault="00AD5B3B" w:rsidP="00452B51">
            <w:pPr>
              <w:jc w:val="center"/>
              <w:rPr>
                <w:rFonts w:ascii="Calibri" w:eastAsia="Times New Roman" w:hAnsi="Calibri" w:cs="Calibri"/>
                <w:color w:val="000000"/>
                <w:lang w:eastAsia="en-GB"/>
              </w:rPr>
            </w:pPr>
            <w:r w:rsidRPr="00465AD7">
              <w:rPr>
                <w:rFonts w:ascii="Calibri" w:eastAsia="Times New Roman" w:hAnsi="Calibri" w:cs="Calibri"/>
                <w:color w:val="000000"/>
                <w:lang w:eastAsia="en-GB"/>
              </w:rPr>
              <w:sym w:font="Wingdings" w:char="F0E0"/>
            </w:r>
          </w:p>
        </w:tc>
        <w:tc>
          <w:tcPr>
            <w:tcW w:w="4485" w:type="dxa"/>
            <w:vAlign w:val="bottom"/>
          </w:tcPr>
          <w:p w14:paraId="6E70CC91" w14:textId="77777777" w:rsidR="00AD5B3B" w:rsidRPr="00770667" w:rsidRDefault="00AD5B3B" w:rsidP="00452B51">
            <w:pPr>
              <w:rPr>
                <w:rFonts w:ascii="Calibri" w:eastAsia="Times New Roman" w:hAnsi="Calibri" w:cs="Calibri"/>
                <w:color w:val="000000"/>
                <w:lang w:eastAsia="en-GB"/>
              </w:rPr>
            </w:pPr>
            <w:r>
              <w:t>Other Notional Currency</w:t>
            </w:r>
          </w:p>
        </w:tc>
      </w:tr>
      <w:tr w:rsidR="00AD5B3B" w:rsidRPr="00770667" w14:paraId="64B0B432" w14:textId="77777777" w:rsidTr="00452B51">
        <w:trPr>
          <w:trHeight w:val="300"/>
        </w:trPr>
        <w:tc>
          <w:tcPr>
            <w:tcW w:w="3682" w:type="dxa"/>
            <w:vAlign w:val="bottom"/>
          </w:tcPr>
          <w:p w14:paraId="4F2CCC24"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p>
        </w:tc>
        <w:tc>
          <w:tcPr>
            <w:tcW w:w="849" w:type="dxa"/>
            <w:vMerge/>
            <w:vAlign w:val="center"/>
          </w:tcPr>
          <w:p w14:paraId="04A05C6B" w14:textId="77777777" w:rsidR="00AD5B3B" w:rsidRPr="00770667" w:rsidRDefault="00AD5B3B" w:rsidP="00452B51">
            <w:pPr>
              <w:jc w:val="center"/>
              <w:rPr>
                <w:rFonts w:ascii="Calibri" w:eastAsia="Times New Roman" w:hAnsi="Calibri" w:cs="Calibri"/>
                <w:color w:val="000000"/>
                <w:lang w:eastAsia="en-GB"/>
              </w:rPr>
            </w:pPr>
          </w:p>
        </w:tc>
        <w:tc>
          <w:tcPr>
            <w:tcW w:w="4485" w:type="dxa"/>
            <w:vAlign w:val="bottom"/>
          </w:tcPr>
          <w:p w14:paraId="17063876"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w:t>
            </w:r>
          </w:p>
        </w:tc>
      </w:tr>
      <w:tr w:rsidR="00AD5B3B" w:rsidRPr="00770667" w14:paraId="0710DC4A" w14:textId="77777777" w:rsidTr="00452B51">
        <w:trPr>
          <w:trHeight w:val="300"/>
        </w:trPr>
        <w:tc>
          <w:tcPr>
            <w:tcW w:w="3682" w:type="dxa"/>
            <w:vAlign w:val="bottom"/>
          </w:tcPr>
          <w:p w14:paraId="69FDDE3E"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Pr="00770667">
              <w:rPr>
                <w:rFonts w:ascii="Calibri" w:eastAsia="Times New Roman" w:hAnsi="Calibri" w:cs="Calibri"/>
                <w:color w:val="000000"/>
                <w:lang w:eastAsia="en-GB"/>
              </w:rPr>
              <w:t xml:space="preserve"> Term Value</w:t>
            </w:r>
          </w:p>
        </w:tc>
        <w:tc>
          <w:tcPr>
            <w:tcW w:w="849" w:type="dxa"/>
            <w:vMerge/>
          </w:tcPr>
          <w:p w14:paraId="4B43E8EF" w14:textId="77777777" w:rsidR="00AD5B3B" w:rsidRPr="00770667" w:rsidRDefault="00AD5B3B" w:rsidP="00452B51">
            <w:pPr>
              <w:rPr>
                <w:rFonts w:ascii="Calibri" w:eastAsia="Times New Roman" w:hAnsi="Calibri" w:cs="Calibri"/>
                <w:color w:val="000000"/>
                <w:lang w:eastAsia="en-GB"/>
              </w:rPr>
            </w:pPr>
          </w:p>
        </w:tc>
        <w:tc>
          <w:tcPr>
            <w:tcW w:w="4485" w:type="dxa"/>
            <w:vAlign w:val="bottom"/>
          </w:tcPr>
          <w:p w14:paraId="074BEEB2"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Value</w:t>
            </w:r>
          </w:p>
        </w:tc>
      </w:tr>
      <w:tr w:rsidR="00AD5B3B" w:rsidRPr="00770667" w14:paraId="01409A5A" w14:textId="77777777" w:rsidTr="00452B51">
        <w:trPr>
          <w:trHeight w:val="300"/>
        </w:trPr>
        <w:tc>
          <w:tcPr>
            <w:tcW w:w="3682" w:type="dxa"/>
            <w:vAlign w:val="bottom"/>
          </w:tcPr>
          <w:p w14:paraId="2CDFAA26"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Reference Rate</w:t>
            </w:r>
            <w:r w:rsidRPr="00770667">
              <w:rPr>
                <w:rFonts w:ascii="Calibri" w:eastAsia="Times New Roman" w:hAnsi="Calibri" w:cs="Calibri"/>
                <w:color w:val="000000"/>
                <w:lang w:eastAsia="en-GB"/>
              </w:rPr>
              <w:t xml:space="preserve"> Term Unit</w:t>
            </w:r>
          </w:p>
        </w:tc>
        <w:tc>
          <w:tcPr>
            <w:tcW w:w="849" w:type="dxa"/>
            <w:vMerge/>
          </w:tcPr>
          <w:p w14:paraId="1B8F2E2D" w14:textId="77777777" w:rsidR="00AD5B3B" w:rsidRDefault="00AD5B3B" w:rsidP="00452B51">
            <w:pPr>
              <w:rPr>
                <w:rFonts w:ascii="Calibri" w:eastAsia="Times New Roman" w:hAnsi="Calibri" w:cs="Calibri"/>
                <w:color w:val="000000"/>
                <w:lang w:eastAsia="en-GB"/>
              </w:rPr>
            </w:pPr>
          </w:p>
        </w:tc>
        <w:tc>
          <w:tcPr>
            <w:tcW w:w="4485" w:type="dxa"/>
            <w:vAlign w:val="bottom"/>
          </w:tcPr>
          <w:p w14:paraId="5EEB3AEE" w14:textId="77777777" w:rsidR="00AD5B3B" w:rsidRPr="00770667" w:rsidRDefault="00AD5B3B" w:rsidP="00452B51">
            <w:pPr>
              <w:rPr>
                <w:rFonts w:ascii="Calibri" w:eastAsia="Times New Roman" w:hAnsi="Calibri" w:cs="Calibri"/>
                <w:color w:val="000000"/>
                <w:lang w:eastAsia="en-GB"/>
              </w:rPr>
            </w:pPr>
            <w:r w:rsidRPr="00770667">
              <w:rPr>
                <w:rFonts w:ascii="Calibri" w:eastAsia="Times New Roman" w:hAnsi="Calibri" w:cs="Calibri"/>
                <w:color w:val="000000"/>
                <w:lang w:eastAsia="en-GB"/>
              </w:rPr>
              <w:t>Other Leg Reference Rate Term Unit</w:t>
            </w:r>
          </w:p>
        </w:tc>
      </w:tr>
    </w:tbl>
    <w:p w14:paraId="266E12AA" w14:textId="77777777" w:rsidR="00AD5B3B" w:rsidRDefault="00AD5B3B" w:rsidP="00AD5B3B"/>
    <w:p w14:paraId="67CEBE6D" w14:textId="77777777" w:rsidR="00AD5B3B" w:rsidRDefault="00AD5B3B" w:rsidP="00AD5B3B">
      <w:pPr>
        <w:pStyle w:val="Heading3"/>
        <w:ind w:left="709"/>
      </w:pPr>
      <w:bookmarkStart w:id="36" w:name="_Toc500926776"/>
      <w:bookmarkStart w:id="37" w:name="_Toc527364489"/>
      <w:r w:rsidRPr="00465AD7">
        <w:t>Cross Currency Swap</w:t>
      </w:r>
      <w:r>
        <w:t>s</w:t>
      </w:r>
      <w:bookmarkEnd w:id="36"/>
      <w:bookmarkEnd w:id="37"/>
    </w:p>
    <w:p w14:paraId="016C498F" w14:textId="77777777" w:rsidR="00AD5B3B" w:rsidRDefault="00AD5B3B" w:rsidP="00AD5B3B"/>
    <w:p w14:paraId="324EA899" w14:textId="77777777" w:rsidR="00AD5B3B" w:rsidRDefault="00AD5B3B" w:rsidP="00AD5B3B">
      <w:r>
        <w:lastRenderedPageBreak/>
        <w:t>For a Cross Currency Fixed Float Swap the user is required to provide the following input:</w:t>
      </w:r>
    </w:p>
    <w:p w14:paraId="0EA6D186" w14:textId="77777777" w:rsidR="00AD5B3B" w:rsidRDefault="00AD5B3B" w:rsidP="00AD5B3B"/>
    <w:tbl>
      <w:tblPr>
        <w:tblStyle w:val="GridTable4-Accent5"/>
        <w:tblW w:w="0" w:type="auto"/>
        <w:tblLook w:val="04A0" w:firstRow="1" w:lastRow="0" w:firstColumn="1" w:lastColumn="0" w:noHBand="0" w:noVBand="1"/>
      </w:tblPr>
      <w:tblGrid>
        <w:gridCol w:w="2694"/>
        <w:gridCol w:w="1842"/>
      </w:tblGrid>
      <w:tr w:rsidR="00AD5B3B" w:rsidRPr="004D2543" w14:paraId="7310EC9A" w14:textId="77777777" w:rsidTr="00452B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0C0BBCA" w14:textId="77777777" w:rsidR="00AD5B3B" w:rsidRPr="004D2543" w:rsidRDefault="00AD5B3B" w:rsidP="00452B51">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1842" w:type="dxa"/>
            <w:noWrap/>
            <w:hideMark/>
          </w:tcPr>
          <w:p w14:paraId="6CF0F5C1"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AD5B3B" w:rsidRPr="004D2543" w14:paraId="0C7D4126"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B51BF5D"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Notional Currency</w:t>
            </w:r>
          </w:p>
        </w:tc>
        <w:tc>
          <w:tcPr>
            <w:tcW w:w="1842" w:type="dxa"/>
            <w:noWrap/>
            <w:hideMark/>
          </w:tcPr>
          <w:p w14:paraId="3A273085"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Pr>
                <w:rFonts w:ascii="Calibri" w:eastAsia="Times New Roman" w:hAnsi="Calibri" w:cs="Times New Roman"/>
                <w:color w:val="000000"/>
                <w:highlight w:val="yellow"/>
                <w:lang w:eastAsia="en-GB"/>
              </w:rPr>
              <w:t>USD</w:t>
            </w:r>
          </w:p>
        </w:tc>
      </w:tr>
      <w:tr w:rsidR="00AD5B3B" w:rsidRPr="004D2543" w14:paraId="1D3C2CB7"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3C3918AF"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Expiry date</w:t>
            </w:r>
          </w:p>
        </w:tc>
        <w:tc>
          <w:tcPr>
            <w:tcW w:w="1842" w:type="dxa"/>
            <w:noWrap/>
            <w:hideMark/>
          </w:tcPr>
          <w:p w14:paraId="7574CF28"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20211231</w:t>
            </w:r>
          </w:p>
        </w:tc>
      </w:tr>
      <w:tr w:rsidR="00AD5B3B" w:rsidRPr="004D2543" w14:paraId="603016AF"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288C33A3" w14:textId="77777777" w:rsidR="00AD5B3B" w:rsidRPr="0048673E" w:rsidRDefault="00AD5B3B" w:rsidP="00452B51">
            <w:pPr>
              <w:rPr>
                <w:rFonts w:ascii="Calibri" w:eastAsia="Times New Roman" w:hAnsi="Calibri" w:cs="Times New Roman"/>
                <w:b w:val="0"/>
                <w:color w:val="000000"/>
                <w:lang w:eastAsia="en-GB"/>
              </w:rPr>
            </w:pPr>
            <w:r w:rsidRPr="0048673E">
              <w:rPr>
                <w:b w:val="0"/>
              </w:rPr>
              <w:t>Reference Rate</w:t>
            </w:r>
          </w:p>
        </w:tc>
        <w:tc>
          <w:tcPr>
            <w:tcW w:w="1842" w:type="dxa"/>
            <w:noWrap/>
          </w:tcPr>
          <w:p w14:paraId="25A5AED0"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25D56">
              <w:t>USD-LIBOR-BBA</w:t>
            </w:r>
          </w:p>
        </w:tc>
      </w:tr>
      <w:tr w:rsidR="00AD5B3B" w:rsidRPr="004D2543" w14:paraId="5F5A5941"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2FE32F76" w14:textId="77777777" w:rsidR="00AD5B3B" w:rsidRPr="0048673E" w:rsidRDefault="00AD5B3B" w:rsidP="00452B51">
            <w:pPr>
              <w:rPr>
                <w:rFonts w:ascii="Calibri" w:eastAsia="Times New Roman" w:hAnsi="Calibri" w:cs="Times New Roman"/>
                <w:b w:val="0"/>
                <w:color w:val="000000"/>
                <w:lang w:eastAsia="en-GB"/>
              </w:rPr>
            </w:pPr>
            <w:r w:rsidRPr="0048673E">
              <w:rPr>
                <w:b w:val="0"/>
              </w:rPr>
              <w:t>Reference Rate Term Value</w:t>
            </w:r>
          </w:p>
        </w:tc>
        <w:tc>
          <w:tcPr>
            <w:tcW w:w="1842" w:type="dxa"/>
            <w:noWrap/>
          </w:tcPr>
          <w:p w14:paraId="39A08D52" w14:textId="77777777" w:rsidR="00AD5B3B"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25D56">
              <w:t>6</w:t>
            </w:r>
          </w:p>
        </w:tc>
      </w:tr>
      <w:tr w:rsidR="00AD5B3B" w:rsidRPr="004D2543" w14:paraId="1B97B99F"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281F03FB" w14:textId="77777777" w:rsidR="00AD5B3B" w:rsidRPr="0048673E" w:rsidRDefault="00AD5B3B" w:rsidP="00452B51">
            <w:pPr>
              <w:rPr>
                <w:rFonts w:ascii="Calibri" w:eastAsia="Times New Roman" w:hAnsi="Calibri" w:cs="Times New Roman"/>
                <w:b w:val="0"/>
                <w:color w:val="000000"/>
                <w:lang w:eastAsia="en-GB"/>
              </w:rPr>
            </w:pPr>
            <w:r w:rsidRPr="0048673E">
              <w:rPr>
                <w:b w:val="0"/>
              </w:rPr>
              <w:t>Reference Rate Term Unit</w:t>
            </w:r>
          </w:p>
        </w:tc>
        <w:tc>
          <w:tcPr>
            <w:tcW w:w="1842" w:type="dxa"/>
            <w:noWrap/>
          </w:tcPr>
          <w:p w14:paraId="48E88734" w14:textId="77777777" w:rsidR="00AD5B3B"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25D56">
              <w:t>MNTH</w:t>
            </w:r>
          </w:p>
        </w:tc>
      </w:tr>
      <w:tr w:rsidR="00AD5B3B" w:rsidRPr="004D2543" w14:paraId="2FE81D05"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6B8D989"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Other Notional Currency</w:t>
            </w:r>
          </w:p>
        </w:tc>
        <w:tc>
          <w:tcPr>
            <w:tcW w:w="1842" w:type="dxa"/>
            <w:noWrap/>
            <w:hideMark/>
          </w:tcPr>
          <w:p w14:paraId="1C7E2F45"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Pr>
                <w:rFonts w:ascii="Calibri" w:eastAsia="Times New Roman" w:hAnsi="Calibri" w:cs="Times New Roman"/>
                <w:color w:val="000000"/>
                <w:highlight w:val="yellow"/>
                <w:lang w:eastAsia="en-GB"/>
              </w:rPr>
              <w:t>EUR</w:t>
            </w:r>
          </w:p>
        </w:tc>
      </w:tr>
      <w:tr w:rsidR="00AD5B3B" w:rsidRPr="004D2543" w14:paraId="6345360B" w14:textId="77777777" w:rsidTr="00452B51">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6AE1012" w14:textId="77777777" w:rsidR="00AD5B3B" w:rsidRPr="004D2543" w:rsidRDefault="00AD5B3B" w:rsidP="00452B51">
            <w:pPr>
              <w:rPr>
                <w:rFonts w:ascii="Calibri" w:eastAsia="Times New Roman" w:hAnsi="Calibri" w:cs="Times New Roman"/>
                <w:b w:val="0"/>
                <w:lang w:eastAsia="en-GB"/>
              </w:rPr>
            </w:pPr>
            <w:r w:rsidRPr="004D2543">
              <w:rPr>
                <w:rFonts w:ascii="Calibri" w:eastAsia="Times New Roman" w:hAnsi="Calibri" w:cs="Times New Roman"/>
                <w:b w:val="0"/>
                <w:lang w:eastAsia="en-GB"/>
              </w:rPr>
              <w:t>Notional Schedule</w:t>
            </w:r>
          </w:p>
        </w:tc>
        <w:tc>
          <w:tcPr>
            <w:tcW w:w="1842" w:type="dxa"/>
            <w:noWrap/>
            <w:hideMark/>
          </w:tcPr>
          <w:p w14:paraId="0EAB78C7"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C - Constant</w:t>
            </w:r>
          </w:p>
        </w:tc>
      </w:tr>
    </w:tbl>
    <w:p w14:paraId="71373656" w14:textId="77777777" w:rsidR="00AD5B3B" w:rsidRDefault="00AD5B3B" w:rsidP="00AD5B3B"/>
    <w:p w14:paraId="6E2C621F" w14:textId="77777777" w:rsidR="00AD5B3B" w:rsidRDefault="00AD5B3B" w:rsidP="00AD5B3B">
      <w:r>
        <w:t>Regardless of the order in which the notional currencies are supplied, the DSB assumes the same ISIN would be allocated to the instrument, i.e. the instrument in the example above is the same as if it were entered as follows:</w:t>
      </w:r>
    </w:p>
    <w:p w14:paraId="37BD3A38" w14:textId="77777777" w:rsidR="00AD5B3B" w:rsidRDefault="00AD5B3B" w:rsidP="00AD5B3B"/>
    <w:tbl>
      <w:tblPr>
        <w:tblStyle w:val="GridTable4-Accent5"/>
        <w:tblW w:w="0" w:type="auto"/>
        <w:tblLook w:val="04A0" w:firstRow="1" w:lastRow="0" w:firstColumn="1" w:lastColumn="0" w:noHBand="0" w:noVBand="1"/>
      </w:tblPr>
      <w:tblGrid>
        <w:gridCol w:w="2694"/>
        <w:gridCol w:w="1842"/>
      </w:tblGrid>
      <w:tr w:rsidR="00AD5B3B" w:rsidRPr="004D2543" w14:paraId="30F1EC9F" w14:textId="77777777" w:rsidTr="00452B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16F5307" w14:textId="77777777" w:rsidR="00AD5B3B" w:rsidRPr="004D2543" w:rsidRDefault="00AD5B3B" w:rsidP="00452B51">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1842" w:type="dxa"/>
            <w:noWrap/>
            <w:hideMark/>
          </w:tcPr>
          <w:p w14:paraId="56D127D5"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AD5B3B" w:rsidRPr="004D2543" w14:paraId="4E6BA2F6"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C0F6C39"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Notional Currency</w:t>
            </w:r>
          </w:p>
        </w:tc>
        <w:tc>
          <w:tcPr>
            <w:tcW w:w="1842" w:type="dxa"/>
            <w:noWrap/>
            <w:hideMark/>
          </w:tcPr>
          <w:p w14:paraId="06B7A618"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Pr>
                <w:rFonts w:ascii="Calibri" w:eastAsia="Times New Roman" w:hAnsi="Calibri" w:cs="Times New Roman"/>
                <w:color w:val="000000"/>
                <w:highlight w:val="yellow"/>
                <w:lang w:eastAsia="en-GB"/>
              </w:rPr>
              <w:t>EUR</w:t>
            </w:r>
          </w:p>
        </w:tc>
      </w:tr>
      <w:tr w:rsidR="00AD5B3B" w:rsidRPr="004D2543" w14:paraId="5FD4F64C"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25792B5"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Expiry date</w:t>
            </w:r>
          </w:p>
        </w:tc>
        <w:tc>
          <w:tcPr>
            <w:tcW w:w="1842" w:type="dxa"/>
            <w:noWrap/>
            <w:hideMark/>
          </w:tcPr>
          <w:p w14:paraId="44A3ED57"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20211231</w:t>
            </w:r>
          </w:p>
        </w:tc>
      </w:tr>
      <w:tr w:rsidR="00AD5B3B" w:rsidRPr="004D2543" w14:paraId="76138932"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07F9BDB2" w14:textId="77777777" w:rsidR="00AD5B3B" w:rsidRPr="0048673E" w:rsidRDefault="00AD5B3B" w:rsidP="00452B51">
            <w:pPr>
              <w:rPr>
                <w:rFonts w:ascii="Calibri" w:eastAsia="Times New Roman" w:hAnsi="Calibri" w:cs="Times New Roman"/>
                <w:b w:val="0"/>
                <w:color w:val="000000"/>
                <w:lang w:eastAsia="en-GB"/>
              </w:rPr>
            </w:pPr>
            <w:r w:rsidRPr="0048673E">
              <w:rPr>
                <w:b w:val="0"/>
              </w:rPr>
              <w:t>Reference Rate</w:t>
            </w:r>
          </w:p>
        </w:tc>
        <w:tc>
          <w:tcPr>
            <w:tcW w:w="1842" w:type="dxa"/>
            <w:noWrap/>
          </w:tcPr>
          <w:p w14:paraId="12EF015A"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25D56">
              <w:t>USD-LIBOR-BBA</w:t>
            </w:r>
          </w:p>
        </w:tc>
      </w:tr>
      <w:tr w:rsidR="00AD5B3B" w:rsidRPr="004D2543" w14:paraId="2753A296"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66834982" w14:textId="77777777" w:rsidR="00AD5B3B" w:rsidRPr="0048673E" w:rsidRDefault="00AD5B3B" w:rsidP="00452B51">
            <w:pPr>
              <w:rPr>
                <w:rFonts w:ascii="Calibri" w:eastAsia="Times New Roman" w:hAnsi="Calibri" w:cs="Times New Roman"/>
                <w:b w:val="0"/>
                <w:color w:val="000000"/>
                <w:lang w:eastAsia="en-GB"/>
              </w:rPr>
            </w:pPr>
            <w:r w:rsidRPr="0048673E">
              <w:rPr>
                <w:b w:val="0"/>
              </w:rPr>
              <w:t>Reference Rate Term Value</w:t>
            </w:r>
          </w:p>
        </w:tc>
        <w:tc>
          <w:tcPr>
            <w:tcW w:w="1842" w:type="dxa"/>
            <w:noWrap/>
          </w:tcPr>
          <w:p w14:paraId="55A7F44A" w14:textId="77777777" w:rsidR="00AD5B3B"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025D56">
              <w:t>6</w:t>
            </w:r>
          </w:p>
        </w:tc>
      </w:tr>
      <w:tr w:rsidR="00AD5B3B" w:rsidRPr="004D2543" w14:paraId="09A0A0BB"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4E9116F4" w14:textId="77777777" w:rsidR="00AD5B3B" w:rsidRPr="0048673E" w:rsidRDefault="00AD5B3B" w:rsidP="00452B51">
            <w:pPr>
              <w:rPr>
                <w:rFonts w:ascii="Calibri" w:eastAsia="Times New Roman" w:hAnsi="Calibri" w:cs="Times New Roman"/>
                <w:b w:val="0"/>
                <w:color w:val="000000"/>
                <w:lang w:eastAsia="en-GB"/>
              </w:rPr>
            </w:pPr>
            <w:r w:rsidRPr="0048673E">
              <w:rPr>
                <w:b w:val="0"/>
              </w:rPr>
              <w:t>Reference Rate Term Unit</w:t>
            </w:r>
          </w:p>
        </w:tc>
        <w:tc>
          <w:tcPr>
            <w:tcW w:w="1842" w:type="dxa"/>
            <w:noWrap/>
          </w:tcPr>
          <w:p w14:paraId="2F2A6CE7" w14:textId="77777777" w:rsidR="00AD5B3B"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025D56">
              <w:t>MNTH</w:t>
            </w:r>
          </w:p>
        </w:tc>
      </w:tr>
      <w:tr w:rsidR="00AD5B3B" w:rsidRPr="004D2543" w14:paraId="0DEEBAF7"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242CBFF"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Other Notional Currency</w:t>
            </w:r>
          </w:p>
        </w:tc>
        <w:tc>
          <w:tcPr>
            <w:tcW w:w="1842" w:type="dxa"/>
            <w:noWrap/>
            <w:hideMark/>
          </w:tcPr>
          <w:p w14:paraId="0798D9F8"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Pr>
                <w:rFonts w:ascii="Calibri" w:eastAsia="Times New Roman" w:hAnsi="Calibri" w:cs="Times New Roman"/>
                <w:color w:val="000000"/>
                <w:highlight w:val="yellow"/>
                <w:lang w:eastAsia="en-GB"/>
              </w:rPr>
              <w:t>USD</w:t>
            </w:r>
          </w:p>
        </w:tc>
      </w:tr>
      <w:tr w:rsidR="00AD5B3B" w:rsidRPr="004D2543" w14:paraId="0F11DF2A" w14:textId="77777777" w:rsidTr="00452B51">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694" w:type="dxa"/>
            <w:noWrap/>
            <w:hideMark/>
          </w:tcPr>
          <w:p w14:paraId="1A874E3B" w14:textId="77777777" w:rsidR="00AD5B3B" w:rsidRPr="004D2543" w:rsidRDefault="00AD5B3B" w:rsidP="00452B51">
            <w:pPr>
              <w:rPr>
                <w:rFonts w:ascii="Calibri" w:eastAsia="Times New Roman" w:hAnsi="Calibri" w:cs="Times New Roman"/>
                <w:b w:val="0"/>
                <w:lang w:eastAsia="en-GB"/>
              </w:rPr>
            </w:pPr>
            <w:r w:rsidRPr="004D2543">
              <w:rPr>
                <w:rFonts w:ascii="Calibri" w:eastAsia="Times New Roman" w:hAnsi="Calibri" w:cs="Times New Roman"/>
                <w:b w:val="0"/>
                <w:lang w:eastAsia="en-GB"/>
              </w:rPr>
              <w:t>Notional Schedule</w:t>
            </w:r>
          </w:p>
        </w:tc>
        <w:tc>
          <w:tcPr>
            <w:tcW w:w="1842" w:type="dxa"/>
            <w:noWrap/>
            <w:hideMark/>
          </w:tcPr>
          <w:p w14:paraId="53D0DF43"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C - Constant</w:t>
            </w:r>
          </w:p>
        </w:tc>
      </w:tr>
    </w:tbl>
    <w:p w14:paraId="3BAB0F39" w14:textId="77777777" w:rsidR="00AD5B3B" w:rsidRDefault="00AD5B3B" w:rsidP="00AD5B3B"/>
    <w:p w14:paraId="2C73C3B1" w14:textId="77777777" w:rsidR="00AD5B3B" w:rsidRDefault="00AD5B3B" w:rsidP="00AD5B3B">
      <w:r>
        <w:t xml:space="preserve">The DSB will normalize data submitted by the user to ensure that the same ISIN is returned for a given set of attributes. </w:t>
      </w:r>
    </w:p>
    <w:p w14:paraId="702729CD" w14:textId="77777777" w:rsidR="00AD5B3B" w:rsidRDefault="00AD5B3B" w:rsidP="00AD5B3B"/>
    <w:p w14:paraId="297B88C6" w14:textId="77777777" w:rsidR="00AD5B3B" w:rsidRDefault="00AD5B3B" w:rsidP="00AD5B3B">
      <w:r>
        <w:t>Normalization rules:</w:t>
      </w:r>
    </w:p>
    <w:p w14:paraId="033ACB9B" w14:textId="77777777" w:rsidR="00AD5B3B" w:rsidRDefault="00AD5B3B" w:rsidP="00AD5B3B"/>
    <w:p w14:paraId="01A1AB37" w14:textId="77777777" w:rsidR="00AD5B3B" w:rsidRDefault="00AD5B3B" w:rsidP="00AD5B3B">
      <w:pPr>
        <w:pStyle w:val="ListParagraph"/>
        <w:numPr>
          <w:ilvl w:val="0"/>
          <w:numId w:val="10"/>
        </w:numPr>
        <w:spacing w:after="160" w:line="259" w:lineRule="auto"/>
      </w:pPr>
      <w:r>
        <w:t xml:space="preserve">Order alphabetically “Notional Currency” and “Other Notional Currency”. </w:t>
      </w:r>
    </w:p>
    <w:p w14:paraId="32320F69" w14:textId="77777777" w:rsidR="00AD5B3B" w:rsidRPr="00092F93" w:rsidRDefault="00AD5B3B" w:rsidP="00AD5B3B">
      <w:pPr>
        <w:pStyle w:val="ListParagraph"/>
        <w:numPr>
          <w:ilvl w:val="0"/>
          <w:numId w:val="10"/>
        </w:numPr>
        <w:spacing w:after="160" w:line="259" w:lineRule="auto"/>
      </w:pPr>
      <w:r>
        <w:t>If “Notional Currency</w:t>
      </w:r>
      <w:r>
        <w:rPr>
          <w:rFonts w:ascii="Calibri" w:eastAsia="Times New Roman" w:hAnsi="Calibri" w:cs="Calibri"/>
          <w:color w:val="000000"/>
          <w:lang w:eastAsia="en-GB"/>
        </w:rPr>
        <w:t xml:space="preserve">” is first alphabetically, record it as </w:t>
      </w:r>
      <w:r>
        <w:t>“Notional Currency</w:t>
      </w:r>
      <w:r>
        <w:rPr>
          <w:rFonts w:ascii="Calibri" w:eastAsia="Times New Roman" w:hAnsi="Calibri" w:cs="Calibri"/>
          <w:color w:val="000000"/>
          <w:lang w:eastAsia="en-GB"/>
        </w:rPr>
        <w:t>”</w:t>
      </w:r>
    </w:p>
    <w:p w14:paraId="458602FC" w14:textId="77777777" w:rsidR="00AD5B3B" w:rsidRPr="00C803E4" w:rsidRDefault="00AD5B3B" w:rsidP="00AD5B3B">
      <w:pPr>
        <w:pStyle w:val="ListParagraph"/>
        <w:numPr>
          <w:ilvl w:val="0"/>
          <w:numId w:val="10"/>
        </w:numPr>
        <w:spacing w:after="160" w:line="259" w:lineRule="auto"/>
      </w:pPr>
      <w:r>
        <w:t>If “Notional Currency</w:t>
      </w:r>
      <w:r>
        <w:rPr>
          <w:rFonts w:ascii="Calibri" w:eastAsia="Times New Roman" w:hAnsi="Calibri" w:cs="Calibri"/>
          <w:color w:val="000000"/>
          <w:lang w:eastAsia="en-GB"/>
        </w:rPr>
        <w:t>” is not first alphabetically, record the following fields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849"/>
        <w:gridCol w:w="4485"/>
      </w:tblGrid>
      <w:tr w:rsidR="00AD5B3B" w:rsidRPr="00770667" w14:paraId="0F747C3E" w14:textId="77777777" w:rsidTr="00452B51">
        <w:trPr>
          <w:trHeight w:val="300"/>
        </w:trPr>
        <w:tc>
          <w:tcPr>
            <w:tcW w:w="3682" w:type="dxa"/>
            <w:shd w:val="clear" w:color="auto" w:fill="auto"/>
            <w:noWrap/>
            <w:vAlign w:val="bottom"/>
          </w:tcPr>
          <w:p w14:paraId="412D4E0F" w14:textId="77777777" w:rsidR="00AD5B3B" w:rsidRPr="00770667" w:rsidRDefault="00AD5B3B" w:rsidP="00452B51">
            <w:pPr>
              <w:rPr>
                <w:rFonts w:ascii="Calibri" w:eastAsia="Times New Roman" w:hAnsi="Calibri" w:cs="Calibri"/>
                <w:color w:val="000000"/>
                <w:lang w:eastAsia="en-GB"/>
              </w:rPr>
            </w:pPr>
            <w:r>
              <w:t>Other Notional Currency</w:t>
            </w:r>
          </w:p>
        </w:tc>
        <w:tc>
          <w:tcPr>
            <w:tcW w:w="849" w:type="dxa"/>
            <w:vMerge w:val="restart"/>
            <w:vAlign w:val="center"/>
          </w:tcPr>
          <w:p w14:paraId="021862C8" w14:textId="77777777" w:rsidR="00AD5B3B" w:rsidRDefault="00AD5B3B" w:rsidP="00452B51">
            <w:pPr>
              <w:jc w:val="center"/>
              <w:rPr>
                <w:rFonts w:ascii="Calibri" w:eastAsia="Times New Roman" w:hAnsi="Calibri" w:cs="Calibri"/>
                <w:color w:val="000000"/>
                <w:lang w:eastAsia="en-GB"/>
              </w:rPr>
            </w:pPr>
            <w:r>
              <w:rPr>
                <w:rFonts w:ascii="Calibri" w:eastAsia="Times New Roman" w:hAnsi="Calibri" w:cs="Calibri"/>
                <w:color w:val="000000"/>
                <w:lang w:eastAsia="en-GB"/>
              </w:rPr>
              <w:t>-&gt;</w:t>
            </w:r>
          </w:p>
        </w:tc>
        <w:tc>
          <w:tcPr>
            <w:tcW w:w="4485" w:type="dxa"/>
            <w:vAlign w:val="bottom"/>
          </w:tcPr>
          <w:p w14:paraId="7C923126" w14:textId="77777777" w:rsidR="00AD5B3B" w:rsidRPr="00770667" w:rsidRDefault="00AD5B3B" w:rsidP="00452B51">
            <w:pPr>
              <w:rPr>
                <w:rFonts w:ascii="Calibri" w:eastAsia="Times New Roman" w:hAnsi="Calibri" w:cs="Calibri"/>
                <w:color w:val="000000"/>
                <w:lang w:eastAsia="en-GB"/>
              </w:rPr>
            </w:pPr>
            <w:r>
              <w:t>Notional Currency</w:t>
            </w:r>
          </w:p>
        </w:tc>
      </w:tr>
      <w:tr w:rsidR="00AD5B3B" w:rsidRPr="00770667" w14:paraId="315B4222" w14:textId="77777777" w:rsidTr="00452B51">
        <w:trPr>
          <w:trHeight w:val="300"/>
        </w:trPr>
        <w:tc>
          <w:tcPr>
            <w:tcW w:w="3682" w:type="dxa"/>
            <w:shd w:val="clear" w:color="auto" w:fill="auto"/>
            <w:noWrap/>
            <w:vAlign w:val="bottom"/>
            <w:hideMark/>
          </w:tcPr>
          <w:p w14:paraId="02CEFD44" w14:textId="77777777" w:rsidR="00AD5B3B" w:rsidRPr="00770667" w:rsidRDefault="00AD5B3B" w:rsidP="00452B51">
            <w:pPr>
              <w:rPr>
                <w:rFonts w:ascii="Calibri" w:eastAsia="Times New Roman" w:hAnsi="Calibri" w:cs="Calibri"/>
                <w:color w:val="000000"/>
                <w:lang w:eastAsia="en-GB"/>
              </w:rPr>
            </w:pPr>
            <w:r>
              <w:rPr>
                <w:rFonts w:ascii="Calibri" w:eastAsia="Times New Roman" w:hAnsi="Calibri" w:cs="Calibri"/>
                <w:color w:val="000000"/>
                <w:lang w:eastAsia="en-GB"/>
              </w:rPr>
              <w:t>Notional Currency</w:t>
            </w:r>
          </w:p>
        </w:tc>
        <w:tc>
          <w:tcPr>
            <w:tcW w:w="849" w:type="dxa"/>
            <w:vMerge/>
            <w:vAlign w:val="center"/>
          </w:tcPr>
          <w:p w14:paraId="59D6C9A8" w14:textId="77777777" w:rsidR="00AD5B3B" w:rsidRPr="00770667" w:rsidRDefault="00AD5B3B" w:rsidP="00452B51">
            <w:pPr>
              <w:jc w:val="center"/>
              <w:rPr>
                <w:rFonts w:ascii="Calibri" w:eastAsia="Times New Roman" w:hAnsi="Calibri" w:cs="Calibri"/>
                <w:color w:val="000000"/>
                <w:lang w:eastAsia="en-GB"/>
              </w:rPr>
            </w:pPr>
          </w:p>
        </w:tc>
        <w:tc>
          <w:tcPr>
            <w:tcW w:w="4485" w:type="dxa"/>
            <w:vAlign w:val="bottom"/>
          </w:tcPr>
          <w:p w14:paraId="20031577" w14:textId="77777777" w:rsidR="00AD5B3B" w:rsidRPr="00770667" w:rsidRDefault="00AD5B3B" w:rsidP="00452B51">
            <w:pPr>
              <w:rPr>
                <w:rFonts w:ascii="Calibri" w:eastAsia="Times New Roman" w:hAnsi="Calibri" w:cs="Calibri"/>
                <w:color w:val="000000"/>
                <w:lang w:eastAsia="en-GB"/>
              </w:rPr>
            </w:pPr>
            <w:r>
              <w:t>Other Notional Currency</w:t>
            </w:r>
          </w:p>
        </w:tc>
      </w:tr>
    </w:tbl>
    <w:p w14:paraId="1504EC45" w14:textId="77777777" w:rsidR="00AD5B3B" w:rsidRDefault="00AD5B3B" w:rsidP="00AD5B3B"/>
    <w:p w14:paraId="78E8C557" w14:textId="77777777" w:rsidR="00AD5B3B" w:rsidRDefault="00AD5B3B" w:rsidP="00AD5B3B">
      <w:r>
        <w:t>The above currency normalization applies the following templates:</w:t>
      </w:r>
    </w:p>
    <w:p w14:paraId="14E7963D" w14:textId="77777777" w:rsidR="00AD5B3B" w:rsidRDefault="00AD5B3B" w:rsidP="00AD5B3B">
      <w:pPr>
        <w:pStyle w:val="ListParagraph"/>
        <w:numPr>
          <w:ilvl w:val="2"/>
          <w:numId w:val="17"/>
        </w:numPr>
        <w:ind w:left="709"/>
      </w:pPr>
      <w:r>
        <w:t>Cross Currency Zero Coupon</w:t>
      </w:r>
    </w:p>
    <w:p w14:paraId="137B70EA" w14:textId="77777777" w:rsidR="00AD5B3B" w:rsidRDefault="00AD5B3B" w:rsidP="00AD5B3B">
      <w:pPr>
        <w:pStyle w:val="ListParagraph"/>
        <w:numPr>
          <w:ilvl w:val="2"/>
          <w:numId w:val="17"/>
        </w:numPr>
        <w:ind w:left="709"/>
      </w:pPr>
      <w:r>
        <w:t>Cross Currency Fixed Float</w:t>
      </w:r>
    </w:p>
    <w:p w14:paraId="01A770D1" w14:textId="77777777" w:rsidR="00AD5B3B" w:rsidRDefault="00AD5B3B" w:rsidP="00AD5B3B">
      <w:pPr>
        <w:pStyle w:val="ListParagraph"/>
        <w:numPr>
          <w:ilvl w:val="2"/>
          <w:numId w:val="17"/>
        </w:numPr>
        <w:ind w:left="709"/>
      </w:pPr>
      <w:r>
        <w:t>Cross Currency Inflation Swap</w:t>
      </w:r>
    </w:p>
    <w:p w14:paraId="0F9FB10F" w14:textId="77777777" w:rsidR="00AD5B3B" w:rsidRDefault="00AD5B3B" w:rsidP="00AD5B3B">
      <w:pPr>
        <w:pStyle w:val="ListParagraph"/>
        <w:numPr>
          <w:ilvl w:val="2"/>
          <w:numId w:val="17"/>
        </w:numPr>
        <w:ind w:left="709"/>
      </w:pPr>
      <w:r>
        <w:t>Cross Currency Fixed Float NDS</w:t>
      </w:r>
    </w:p>
    <w:p w14:paraId="7C584997" w14:textId="77777777" w:rsidR="00AD5B3B" w:rsidRDefault="00AD5B3B" w:rsidP="00AD5B3B">
      <w:pPr>
        <w:pStyle w:val="ListParagraph"/>
        <w:numPr>
          <w:ilvl w:val="2"/>
          <w:numId w:val="17"/>
        </w:numPr>
        <w:ind w:left="709"/>
      </w:pPr>
      <w:r>
        <w:t xml:space="preserve">Cross Currency Fixed </w:t>
      </w:r>
      <w:proofErr w:type="spellStart"/>
      <w:r>
        <w:t>Fixed</w:t>
      </w:r>
      <w:proofErr w:type="spellEnd"/>
    </w:p>
    <w:p w14:paraId="620C1396" w14:textId="77777777" w:rsidR="00AD5B3B" w:rsidRDefault="00AD5B3B" w:rsidP="00AD5B3B"/>
    <w:p w14:paraId="04584F1E" w14:textId="77777777" w:rsidR="00AD5B3B" w:rsidRDefault="00AD5B3B" w:rsidP="00AD5B3B">
      <w:pPr>
        <w:pStyle w:val="Heading2"/>
        <w:ind w:left="567"/>
      </w:pPr>
      <w:bookmarkStart w:id="38" w:name="_Toc500926777"/>
      <w:bookmarkStart w:id="39" w:name="_Toc527364490"/>
      <w:r>
        <w:t xml:space="preserve">FX </w:t>
      </w:r>
      <w:r w:rsidRPr="00465AD7">
        <w:t>normalization</w:t>
      </w:r>
      <w:bookmarkEnd w:id="38"/>
      <w:bookmarkEnd w:id="39"/>
    </w:p>
    <w:p w14:paraId="4ADFDB69" w14:textId="77777777" w:rsidR="00AD5B3B" w:rsidRDefault="00AD5B3B" w:rsidP="00AD5B3B"/>
    <w:p w14:paraId="08F116C0" w14:textId="77777777" w:rsidR="00AD5B3B" w:rsidRDefault="00AD5B3B" w:rsidP="00AD5B3B">
      <w:r>
        <w:t>The purpose of this section is to specify normalization for FX Forward products, including:</w:t>
      </w:r>
    </w:p>
    <w:p w14:paraId="240281CB" w14:textId="77777777" w:rsidR="00AD5B3B" w:rsidRDefault="00AD5B3B" w:rsidP="00AD5B3B"/>
    <w:p w14:paraId="0F3A0B83" w14:textId="77777777" w:rsidR="00AD5B3B" w:rsidRDefault="00AD5B3B" w:rsidP="00AD5B3B">
      <w:pPr>
        <w:pStyle w:val="ListParagraph"/>
        <w:numPr>
          <w:ilvl w:val="0"/>
          <w:numId w:val="12"/>
        </w:numPr>
      </w:pPr>
      <w:r>
        <w:t>NDF</w:t>
      </w:r>
    </w:p>
    <w:p w14:paraId="40D84DFF" w14:textId="77777777" w:rsidR="00AD5B3B" w:rsidRDefault="00AD5B3B" w:rsidP="00AD5B3B">
      <w:pPr>
        <w:pStyle w:val="ListParagraph"/>
        <w:numPr>
          <w:ilvl w:val="0"/>
          <w:numId w:val="12"/>
        </w:numPr>
      </w:pPr>
      <w:r>
        <w:t>Forward</w:t>
      </w:r>
    </w:p>
    <w:p w14:paraId="45350C53" w14:textId="77777777" w:rsidR="00AD5B3B" w:rsidRDefault="00AD5B3B" w:rsidP="00AD5B3B">
      <w:pPr>
        <w:pStyle w:val="ListParagraph"/>
        <w:numPr>
          <w:ilvl w:val="0"/>
          <w:numId w:val="12"/>
        </w:numPr>
      </w:pPr>
      <w:proofErr w:type="spellStart"/>
      <w:r>
        <w:lastRenderedPageBreak/>
        <w:t>Vol_Var</w:t>
      </w:r>
      <w:proofErr w:type="spellEnd"/>
    </w:p>
    <w:p w14:paraId="1F269A15" w14:textId="77777777" w:rsidR="00AD5B3B" w:rsidRDefault="00AD5B3B" w:rsidP="00AD5B3B">
      <w:pPr>
        <w:pStyle w:val="ListParagraph"/>
        <w:numPr>
          <w:ilvl w:val="0"/>
          <w:numId w:val="12"/>
        </w:numPr>
      </w:pPr>
      <w:proofErr w:type="spellStart"/>
      <w:r>
        <w:t>Rolling_Spot</w:t>
      </w:r>
      <w:proofErr w:type="spellEnd"/>
    </w:p>
    <w:p w14:paraId="26F1C783" w14:textId="77777777" w:rsidR="00AD5B3B" w:rsidRDefault="00AD5B3B" w:rsidP="00AD5B3B">
      <w:pPr>
        <w:pStyle w:val="ListParagraph"/>
        <w:numPr>
          <w:ilvl w:val="0"/>
          <w:numId w:val="12"/>
        </w:numPr>
      </w:pPr>
      <w:proofErr w:type="spellStart"/>
      <w:r>
        <w:t>Contract_for_Difference</w:t>
      </w:r>
      <w:proofErr w:type="spellEnd"/>
    </w:p>
    <w:p w14:paraId="247FA2B1" w14:textId="403D08E2" w:rsidR="00AD5B3B" w:rsidRDefault="00AD5B3B" w:rsidP="00AD5B3B">
      <w:pPr>
        <w:pStyle w:val="ListParagraph"/>
        <w:numPr>
          <w:ilvl w:val="0"/>
          <w:numId w:val="12"/>
        </w:numPr>
      </w:pPr>
      <w:r>
        <w:t>Spread-bet</w:t>
      </w:r>
    </w:p>
    <w:p w14:paraId="008A8AF7" w14:textId="71C13645" w:rsidR="00250FEB" w:rsidRDefault="00250FEB" w:rsidP="00AD5B3B">
      <w:pPr>
        <w:pStyle w:val="ListParagraph"/>
        <w:numPr>
          <w:ilvl w:val="0"/>
          <w:numId w:val="12"/>
        </w:numPr>
      </w:pPr>
      <w:r>
        <w:t xml:space="preserve">FX Non-Standard Forward </w:t>
      </w:r>
    </w:p>
    <w:p w14:paraId="4F911952" w14:textId="77777777" w:rsidR="00AD5B3B" w:rsidRDefault="00AD5B3B" w:rsidP="00AD5B3B"/>
    <w:p w14:paraId="0C854166" w14:textId="77777777" w:rsidR="00AD5B3B" w:rsidRDefault="00AD5B3B" w:rsidP="00AD5B3B">
      <w:r>
        <w:t>Regardless of the order in which the reference legs are supplied, the DSB assumes the same ISIN would be allocated to the instrument, i.e. the following user entries will be considered the same instrument:</w:t>
      </w:r>
    </w:p>
    <w:p w14:paraId="6F2A9B07" w14:textId="77777777" w:rsidR="00AD5B3B" w:rsidRDefault="00AD5B3B" w:rsidP="00AD5B3B"/>
    <w:tbl>
      <w:tblPr>
        <w:tblStyle w:val="GridTable4-Accent5"/>
        <w:tblW w:w="8784" w:type="dxa"/>
        <w:tblLook w:val="04A0" w:firstRow="1" w:lastRow="0" w:firstColumn="1" w:lastColumn="0" w:noHBand="0" w:noVBand="1"/>
      </w:tblPr>
      <w:tblGrid>
        <w:gridCol w:w="2524"/>
        <w:gridCol w:w="2858"/>
        <w:gridCol w:w="3402"/>
      </w:tblGrid>
      <w:tr w:rsidR="00AD5B3B" w:rsidRPr="004D2543" w14:paraId="1BFF05E5" w14:textId="77777777" w:rsidTr="00452B51">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524" w:type="dxa"/>
          </w:tcPr>
          <w:p w14:paraId="508A457E" w14:textId="77777777" w:rsidR="00AD5B3B" w:rsidRPr="004D2543" w:rsidRDefault="00AD5B3B" w:rsidP="00452B51">
            <w:r w:rsidRPr="004D2543">
              <w:t>Asset Class</w:t>
            </w:r>
          </w:p>
        </w:tc>
        <w:tc>
          <w:tcPr>
            <w:tcW w:w="2858" w:type="dxa"/>
          </w:tcPr>
          <w:p w14:paraId="6398C69E"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pPr>
            <w:proofErr w:type="spellStart"/>
            <w:r w:rsidRPr="004D2543">
              <w:t>Foreign_Exchange</w:t>
            </w:r>
            <w:proofErr w:type="spellEnd"/>
          </w:p>
        </w:tc>
        <w:tc>
          <w:tcPr>
            <w:tcW w:w="3402" w:type="dxa"/>
          </w:tcPr>
          <w:p w14:paraId="77087F0D"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pPr>
            <w:proofErr w:type="spellStart"/>
            <w:r w:rsidRPr="004D2543">
              <w:t>Foreign_Exchange</w:t>
            </w:r>
            <w:proofErr w:type="spellEnd"/>
          </w:p>
        </w:tc>
      </w:tr>
      <w:tr w:rsidR="00AD5B3B" w:rsidRPr="004D2543" w14:paraId="025FD781"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2191D286" w14:textId="77777777" w:rsidR="00AD5B3B" w:rsidRPr="004D2543" w:rsidRDefault="00AD5B3B" w:rsidP="00452B51">
            <w:pPr>
              <w:rPr>
                <w:b w:val="0"/>
              </w:rPr>
            </w:pPr>
            <w:r w:rsidRPr="004D2543">
              <w:rPr>
                <w:b w:val="0"/>
              </w:rPr>
              <w:t>Instrument Type</w:t>
            </w:r>
          </w:p>
        </w:tc>
        <w:tc>
          <w:tcPr>
            <w:tcW w:w="2858" w:type="dxa"/>
          </w:tcPr>
          <w:p w14:paraId="72461839"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pPr>
            <w:r w:rsidRPr="004D2543">
              <w:t>Forward</w:t>
            </w:r>
          </w:p>
        </w:tc>
        <w:tc>
          <w:tcPr>
            <w:tcW w:w="3402" w:type="dxa"/>
          </w:tcPr>
          <w:p w14:paraId="061C2FBB"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pPr>
            <w:r w:rsidRPr="004D2543">
              <w:t>Forward</w:t>
            </w:r>
          </w:p>
        </w:tc>
      </w:tr>
      <w:tr w:rsidR="00AD5B3B" w:rsidRPr="004D2543" w14:paraId="0DD76A55" w14:textId="77777777" w:rsidTr="00452B51">
        <w:tc>
          <w:tcPr>
            <w:cnfStyle w:val="001000000000" w:firstRow="0" w:lastRow="0" w:firstColumn="1" w:lastColumn="0" w:oddVBand="0" w:evenVBand="0" w:oddHBand="0" w:evenHBand="0" w:firstRowFirstColumn="0" w:firstRowLastColumn="0" w:lastRowFirstColumn="0" w:lastRowLastColumn="0"/>
            <w:tcW w:w="2524" w:type="dxa"/>
          </w:tcPr>
          <w:p w14:paraId="31DB16AD" w14:textId="77777777" w:rsidR="00AD5B3B" w:rsidRPr="004D2543" w:rsidRDefault="00AD5B3B" w:rsidP="00452B51">
            <w:pPr>
              <w:rPr>
                <w:b w:val="0"/>
              </w:rPr>
            </w:pPr>
            <w:r w:rsidRPr="004D2543">
              <w:rPr>
                <w:b w:val="0"/>
              </w:rPr>
              <w:t>Product</w:t>
            </w:r>
          </w:p>
        </w:tc>
        <w:tc>
          <w:tcPr>
            <w:tcW w:w="2858" w:type="dxa"/>
          </w:tcPr>
          <w:p w14:paraId="3D01C823"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pPr>
            <w:proofErr w:type="spellStart"/>
            <w:r w:rsidRPr="004D2543">
              <w:t>Contract_for_Difference</w:t>
            </w:r>
            <w:proofErr w:type="spellEnd"/>
          </w:p>
        </w:tc>
        <w:tc>
          <w:tcPr>
            <w:tcW w:w="3402" w:type="dxa"/>
          </w:tcPr>
          <w:p w14:paraId="0867B6AB"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pPr>
            <w:proofErr w:type="spellStart"/>
            <w:r w:rsidRPr="004D2543">
              <w:t>Contract_for_Difference</w:t>
            </w:r>
            <w:proofErr w:type="spellEnd"/>
          </w:p>
        </w:tc>
      </w:tr>
      <w:tr w:rsidR="00AD5B3B" w:rsidRPr="004D2543" w14:paraId="709B00D0"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1C16F8CD" w14:textId="77777777" w:rsidR="00AD5B3B" w:rsidRPr="004D2543" w:rsidRDefault="00AD5B3B" w:rsidP="00452B51">
            <w:pPr>
              <w:rPr>
                <w:b w:val="0"/>
                <w:highlight w:val="yellow"/>
              </w:rPr>
            </w:pPr>
            <w:r w:rsidRPr="004D2543">
              <w:rPr>
                <w:b w:val="0"/>
                <w:highlight w:val="yellow"/>
              </w:rPr>
              <w:t>Notional Currency</w:t>
            </w:r>
          </w:p>
        </w:tc>
        <w:tc>
          <w:tcPr>
            <w:tcW w:w="2858" w:type="dxa"/>
          </w:tcPr>
          <w:p w14:paraId="3853939C"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highlight w:val="yellow"/>
              </w:rPr>
            </w:pPr>
            <w:r w:rsidRPr="004D2543">
              <w:rPr>
                <w:highlight w:val="yellow"/>
              </w:rPr>
              <w:t>GBP</w:t>
            </w:r>
          </w:p>
        </w:tc>
        <w:tc>
          <w:tcPr>
            <w:tcW w:w="3402" w:type="dxa"/>
          </w:tcPr>
          <w:p w14:paraId="795297EB"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highlight w:val="yellow"/>
              </w:rPr>
            </w:pPr>
            <w:r w:rsidRPr="004D2543">
              <w:rPr>
                <w:highlight w:val="yellow"/>
              </w:rPr>
              <w:t>USD</w:t>
            </w:r>
          </w:p>
        </w:tc>
      </w:tr>
      <w:tr w:rsidR="00AD5B3B" w:rsidRPr="004D2543" w14:paraId="293F458E" w14:textId="77777777" w:rsidTr="00452B51">
        <w:tc>
          <w:tcPr>
            <w:cnfStyle w:val="001000000000" w:firstRow="0" w:lastRow="0" w:firstColumn="1" w:lastColumn="0" w:oddVBand="0" w:evenVBand="0" w:oddHBand="0" w:evenHBand="0" w:firstRowFirstColumn="0" w:firstRowLastColumn="0" w:lastRowFirstColumn="0" w:lastRowLastColumn="0"/>
            <w:tcW w:w="2524" w:type="dxa"/>
          </w:tcPr>
          <w:p w14:paraId="057B21E1" w14:textId="77777777" w:rsidR="00AD5B3B" w:rsidRPr="004D2543" w:rsidRDefault="00AD5B3B" w:rsidP="00452B51">
            <w:pPr>
              <w:rPr>
                <w:b w:val="0"/>
                <w:highlight w:val="yellow"/>
              </w:rPr>
            </w:pPr>
            <w:r w:rsidRPr="004D2543">
              <w:rPr>
                <w:b w:val="0"/>
                <w:highlight w:val="yellow"/>
              </w:rPr>
              <w:t>Other Notional Currency</w:t>
            </w:r>
          </w:p>
        </w:tc>
        <w:tc>
          <w:tcPr>
            <w:tcW w:w="2858" w:type="dxa"/>
          </w:tcPr>
          <w:p w14:paraId="5FCF6105"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highlight w:val="yellow"/>
              </w:rPr>
            </w:pPr>
            <w:r w:rsidRPr="004D2543">
              <w:rPr>
                <w:highlight w:val="yellow"/>
              </w:rPr>
              <w:t>USD</w:t>
            </w:r>
          </w:p>
        </w:tc>
        <w:tc>
          <w:tcPr>
            <w:tcW w:w="3402" w:type="dxa"/>
          </w:tcPr>
          <w:p w14:paraId="31C9E412"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highlight w:val="yellow"/>
              </w:rPr>
            </w:pPr>
            <w:r w:rsidRPr="004D2543">
              <w:rPr>
                <w:highlight w:val="yellow"/>
              </w:rPr>
              <w:t>GBP</w:t>
            </w:r>
          </w:p>
        </w:tc>
      </w:tr>
      <w:tr w:rsidR="00AD5B3B" w:rsidRPr="004D2543" w14:paraId="5C8EB6A8"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7B5C2935" w14:textId="77777777" w:rsidR="00AD5B3B" w:rsidRPr="004D2543" w:rsidRDefault="00AD5B3B" w:rsidP="00452B51">
            <w:pPr>
              <w:rPr>
                <w:b w:val="0"/>
              </w:rPr>
            </w:pPr>
            <w:r w:rsidRPr="004D2543">
              <w:rPr>
                <w:b w:val="0"/>
              </w:rPr>
              <w:t>Expiry Date</w:t>
            </w:r>
          </w:p>
        </w:tc>
        <w:tc>
          <w:tcPr>
            <w:tcW w:w="2858" w:type="dxa"/>
          </w:tcPr>
          <w:p w14:paraId="19A5C12E"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pPr>
            <w:r w:rsidRPr="004D2543">
              <w:t>20170421</w:t>
            </w:r>
          </w:p>
        </w:tc>
        <w:tc>
          <w:tcPr>
            <w:tcW w:w="3402" w:type="dxa"/>
          </w:tcPr>
          <w:p w14:paraId="06F0BCFC"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pPr>
            <w:r w:rsidRPr="004D2543">
              <w:t>20170421</w:t>
            </w:r>
          </w:p>
        </w:tc>
      </w:tr>
    </w:tbl>
    <w:p w14:paraId="6A024430" w14:textId="77777777" w:rsidR="00AD5B3B" w:rsidRPr="00BB7D6C" w:rsidRDefault="00AD5B3B" w:rsidP="00AD5B3B"/>
    <w:p w14:paraId="73FEDA9F" w14:textId="77777777" w:rsidR="00AD5B3B" w:rsidRDefault="00AD5B3B" w:rsidP="00AD5B3B">
      <w:r>
        <w:t xml:space="preserve">The DSB will normalize data submitted by the user to ensure that the same ISIN is returned for a given set of attributes. </w:t>
      </w:r>
    </w:p>
    <w:p w14:paraId="13160944" w14:textId="77777777" w:rsidR="00AD5B3B" w:rsidRDefault="00AD5B3B" w:rsidP="00AD5B3B"/>
    <w:p w14:paraId="4F6E20C9" w14:textId="77777777" w:rsidR="00AD5B3B" w:rsidRDefault="00AD5B3B" w:rsidP="00AD5B3B">
      <w:r>
        <w:t>Normalization rules:</w:t>
      </w:r>
    </w:p>
    <w:p w14:paraId="4EECA9DE" w14:textId="77777777" w:rsidR="00AD5B3B" w:rsidRDefault="00AD5B3B" w:rsidP="00AD5B3B"/>
    <w:p w14:paraId="683D843C" w14:textId="77777777" w:rsidR="00AD5B3B" w:rsidRDefault="00AD5B3B" w:rsidP="00AD5B3B">
      <w:r>
        <w:t xml:space="preserve">The DSB has adopted an alphabetical normalization approach. </w:t>
      </w:r>
    </w:p>
    <w:p w14:paraId="1B06E2CB" w14:textId="77777777" w:rsidR="00AD5B3B" w:rsidRDefault="00AD5B3B" w:rsidP="00AD5B3B"/>
    <w:p w14:paraId="723735EC" w14:textId="77777777" w:rsidR="00AD5B3B" w:rsidRPr="003216AC" w:rsidRDefault="00AD5B3B" w:rsidP="00AD5B3B">
      <w:r>
        <w:t xml:space="preserve">For example, for a </w:t>
      </w:r>
      <w:r w:rsidRPr="003216AC">
        <w:t>EURUSD currency pair</w:t>
      </w:r>
    </w:p>
    <w:p w14:paraId="4B1C9712" w14:textId="77777777" w:rsidR="00AD5B3B" w:rsidRDefault="00AD5B3B" w:rsidP="00AD5B3B">
      <w:pPr>
        <w:pStyle w:val="ListParagraph"/>
        <w:numPr>
          <w:ilvl w:val="0"/>
          <w:numId w:val="13"/>
        </w:numPr>
      </w:pPr>
      <w:r w:rsidRPr="003216AC">
        <w:t xml:space="preserve">User submits Notional Currency = EUR, Other Notional Currency = USD. </w:t>
      </w:r>
    </w:p>
    <w:p w14:paraId="22DC5C97" w14:textId="77777777" w:rsidR="00AD5B3B" w:rsidRPr="003216AC" w:rsidRDefault="00AD5B3B" w:rsidP="00AD5B3B">
      <w:pPr>
        <w:pStyle w:val="ListParagraph"/>
      </w:pPr>
      <w:r w:rsidRPr="006E01AB">
        <w:rPr>
          <w:b/>
        </w:rPr>
        <w:t>Action</w:t>
      </w:r>
      <w:r w:rsidRPr="003216AC">
        <w:t xml:space="preserve"> – No change, user</w:t>
      </w:r>
      <w:r>
        <w:t xml:space="preserve"> receives ISIN record of Notional Currency = EUR, Other Notional Currency = USD</w:t>
      </w:r>
    </w:p>
    <w:p w14:paraId="7AD8D888" w14:textId="77777777" w:rsidR="00AD5B3B" w:rsidRDefault="00AD5B3B" w:rsidP="00AD5B3B">
      <w:pPr>
        <w:pStyle w:val="ListParagraph"/>
        <w:numPr>
          <w:ilvl w:val="0"/>
          <w:numId w:val="13"/>
        </w:numPr>
      </w:pPr>
      <w:r w:rsidRPr="003216AC">
        <w:t xml:space="preserve">User submits Notional Currency = USD, Other Notional Currency = EUR. </w:t>
      </w:r>
    </w:p>
    <w:p w14:paraId="6BF7C4C7" w14:textId="77777777" w:rsidR="00AD5B3B" w:rsidRDefault="00AD5B3B" w:rsidP="00AD5B3B">
      <w:pPr>
        <w:pStyle w:val="ListParagraph"/>
      </w:pPr>
      <w:r w:rsidRPr="006E01AB">
        <w:rPr>
          <w:b/>
        </w:rPr>
        <w:t>Action</w:t>
      </w:r>
      <w:r w:rsidRPr="003216AC">
        <w:t xml:space="preserve"> – </w:t>
      </w:r>
      <w:r>
        <w:t>Reorder alphabetically, a</w:t>
      </w:r>
      <w:r w:rsidRPr="003216AC">
        <w:t>mend Notional Currency = EUR,</w:t>
      </w:r>
      <w:r>
        <w:t xml:space="preserve"> Other Notional currency = USD</w:t>
      </w:r>
      <w:r w:rsidRPr="003216AC">
        <w:t xml:space="preserve">, user receives ISIN record of </w:t>
      </w:r>
      <w:r>
        <w:t>Notional Currency = EUR, Other Notional Currency = USD</w:t>
      </w:r>
    </w:p>
    <w:p w14:paraId="1B44EB60" w14:textId="77777777" w:rsidR="00AD5B3B" w:rsidRDefault="00AD5B3B" w:rsidP="00AD5B3B"/>
    <w:p w14:paraId="3E0676B3" w14:textId="77777777" w:rsidR="00AD5B3B" w:rsidRDefault="00AD5B3B" w:rsidP="00AD5B3B">
      <w:pPr>
        <w:pStyle w:val="Heading2"/>
        <w:ind w:left="567"/>
      </w:pPr>
      <w:bookmarkStart w:id="40" w:name="_Toc500926778"/>
      <w:bookmarkStart w:id="41" w:name="_Toc527364491"/>
      <w:r>
        <w:t>FX Swap Normalization</w:t>
      </w:r>
      <w:bookmarkEnd w:id="40"/>
      <w:bookmarkEnd w:id="41"/>
    </w:p>
    <w:p w14:paraId="19048D0B" w14:textId="77777777" w:rsidR="00AD5B3B" w:rsidRDefault="00AD5B3B" w:rsidP="00AD5B3B"/>
    <w:p w14:paraId="5EA39491" w14:textId="77777777" w:rsidR="00AD5B3B" w:rsidRDefault="00AD5B3B" w:rsidP="00AD5B3B">
      <w:r>
        <w:t>The underlying inputs for an FX Swap have been defined to be two FX Forward Trades that are over the same currency pair. The DSB will reject any FX Swap requests for which this is not true.</w:t>
      </w:r>
    </w:p>
    <w:p w14:paraId="44877A02" w14:textId="77777777" w:rsidR="00AD5B3B" w:rsidRDefault="00AD5B3B" w:rsidP="00AD5B3B"/>
    <w:p w14:paraId="1C6077D2" w14:textId="77777777" w:rsidR="00AD5B3B" w:rsidRDefault="00AD5B3B" w:rsidP="00AD5B3B">
      <w:r>
        <w:t>Normalization rules:</w:t>
      </w:r>
    </w:p>
    <w:p w14:paraId="3BE165A4" w14:textId="77777777" w:rsidR="00AD5B3B" w:rsidRDefault="00AD5B3B" w:rsidP="00AD5B3B"/>
    <w:p w14:paraId="510520D0" w14:textId="77777777" w:rsidR="00AD5B3B" w:rsidRDefault="00AD5B3B" w:rsidP="00AD5B3B">
      <w:pPr>
        <w:pStyle w:val="ListParagraph"/>
        <w:numPr>
          <w:ilvl w:val="0"/>
          <w:numId w:val="18"/>
        </w:numPr>
      </w:pPr>
      <w:r>
        <w:t>Analyze the two FX Forward ISINs within the DSB to determine the respective expiry dates and if they are different then order the closest date into the ‘Underlying Instrument Near Leg’ attribute and the furthest date into the ‘Underlying Instrument Far Leg’ attribute</w:t>
      </w:r>
    </w:p>
    <w:p w14:paraId="4CC8BC67" w14:textId="74430A86" w:rsidR="00AD5B3B" w:rsidRDefault="00AD5B3B" w:rsidP="00AD5B3B">
      <w:pPr>
        <w:pStyle w:val="ListParagraph"/>
        <w:numPr>
          <w:ilvl w:val="0"/>
          <w:numId w:val="18"/>
        </w:numPr>
      </w:pPr>
      <w:r>
        <w:t>Analyze the two FX Forward ISINs within the DSB to determine the respective expiry dates and if they are the same then order the underlying ISINs numerically into ‘Underlying Instrument Near Leg’ attribute and ‘Underlying Instrument Far Leg’ attribute respectively.</w:t>
      </w:r>
    </w:p>
    <w:p w14:paraId="4AF7BA41" w14:textId="04D37C5D" w:rsidR="007742BA" w:rsidRDefault="007742BA">
      <w:r>
        <w:br w:type="page"/>
      </w:r>
    </w:p>
    <w:p w14:paraId="12E63EBB" w14:textId="220D1334" w:rsidR="007742BA" w:rsidRDefault="007742BA" w:rsidP="007742BA">
      <w:pPr>
        <w:pStyle w:val="Heading2"/>
        <w:ind w:left="567"/>
      </w:pPr>
      <w:bookmarkStart w:id="42" w:name="_Toc527364492"/>
      <w:r>
        <w:lastRenderedPageBreak/>
        <w:t>Non-Deliverable FX Swap Normalization</w:t>
      </w:r>
      <w:bookmarkEnd w:id="42"/>
    </w:p>
    <w:p w14:paraId="2601469B" w14:textId="77777777" w:rsidR="007742BA" w:rsidRDefault="007742BA" w:rsidP="007742BA"/>
    <w:p w14:paraId="19FE6467" w14:textId="04FE1175" w:rsidR="007742BA" w:rsidRDefault="007742BA" w:rsidP="007742BA">
      <w:r>
        <w:t>The underlying inputs for a Non-Deliverable FX Swap have been defined to be two NDFs or FX Non-Standard Forward Products that are over the same currency pair. The DSB will reject any Non-Deliverable FX Swap requests for which this is not true.</w:t>
      </w:r>
    </w:p>
    <w:p w14:paraId="4F5E90D1" w14:textId="77777777" w:rsidR="007742BA" w:rsidRDefault="007742BA" w:rsidP="007742BA"/>
    <w:p w14:paraId="79E6941D" w14:textId="77777777" w:rsidR="007742BA" w:rsidRDefault="007742BA" w:rsidP="007742BA">
      <w:r>
        <w:t>Normalization rules:</w:t>
      </w:r>
    </w:p>
    <w:p w14:paraId="1DCD15D9" w14:textId="77777777" w:rsidR="007742BA" w:rsidRDefault="007742BA" w:rsidP="007742BA"/>
    <w:p w14:paraId="5FCBDC4E" w14:textId="7606869A" w:rsidR="007742BA" w:rsidRDefault="007742BA" w:rsidP="007742BA">
      <w:pPr>
        <w:pStyle w:val="ListParagraph"/>
        <w:numPr>
          <w:ilvl w:val="0"/>
          <w:numId w:val="22"/>
        </w:numPr>
      </w:pPr>
      <w:r>
        <w:t>Analyze the two NDF or FX Non-Standard Forward ISINs within the DSB to determine the respective expiry dates and if they are different then order the closest date into the ‘Underlying Instrument Near Leg’ attribute and the furthest date into the ‘Underlying Instrument Far Leg’ attribute</w:t>
      </w:r>
    </w:p>
    <w:p w14:paraId="4C3E739D" w14:textId="6056618C" w:rsidR="007742BA" w:rsidRDefault="007742BA" w:rsidP="007742BA">
      <w:pPr>
        <w:pStyle w:val="ListParagraph"/>
        <w:numPr>
          <w:ilvl w:val="0"/>
          <w:numId w:val="22"/>
        </w:numPr>
      </w:pPr>
      <w:r>
        <w:t>Analyze the two NDF or FX Non-Standard Forward ISINs within the DSB to determine the respective expiry dates and if they are the same then order the underlying ISINs numerically into ‘Underlying Instrument Near Leg’ attribute and ‘Underlying Instrument Far Leg’ attribute respectively.</w:t>
      </w:r>
    </w:p>
    <w:p w14:paraId="4BF0AA63" w14:textId="77777777" w:rsidR="00AD5B3B" w:rsidRPr="00721A24" w:rsidRDefault="00AD5B3B" w:rsidP="00AD5B3B"/>
    <w:p w14:paraId="6AC5722D" w14:textId="77777777" w:rsidR="00AD5B3B" w:rsidRDefault="00AD5B3B" w:rsidP="00AD5B3B">
      <w:pPr>
        <w:pStyle w:val="Heading2"/>
        <w:ind w:left="567"/>
      </w:pPr>
      <w:bookmarkStart w:id="43" w:name="_Toc500926779"/>
      <w:bookmarkStart w:id="44" w:name="_Toc527364493"/>
      <w:r>
        <w:t>FX Option Normalization</w:t>
      </w:r>
      <w:bookmarkEnd w:id="43"/>
      <w:bookmarkEnd w:id="44"/>
    </w:p>
    <w:p w14:paraId="33BA1CDD" w14:textId="77777777" w:rsidR="00AD5B3B" w:rsidRDefault="00AD5B3B" w:rsidP="00AD5B3B"/>
    <w:p w14:paraId="05F20F26" w14:textId="719FFC33" w:rsidR="00AD5B3B" w:rsidRDefault="00AD5B3B" w:rsidP="00AD5B3B">
      <w:r>
        <w:t xml:space="preserve">This normalization covers the following Product </w:t>
      </w:r>
      <w:r w:rsidR="009B6F3E">
        <w:t>Definitions</w:t>
      </w:r>
      <w:r>
        <w:t>:</w:t>
      </w:r>
    </w:p>
    <w:p w14:paraId="323BD582" w14:textId="77777777" w:rsidR="00AD5B3B" w:rsidRDefault="00AD5B3B" w:rsidP="00AD5B3B"/>
    <w:p w14:paraId="3C7AB89D" w14:textId="77777777" w:rsidR="00AD5B3B" w:rsidRDefault="00AD5B3B" w:rsidP="00AD5B3B">
      <w:pPr>
        <w:pStyle w:val="ListParagraph"/>
        <w:numPr>
          <w:ilvl w:val="0"/>
          <w:numId w:val="12"/>
        </w:numPr>
      </w:pPr>
      <w:r>
        <w:t>NDO</w:t>
      </w:r>
    </w:p>
    <w:p w14:paraId="4B093773" w14:textId="77777777" w:rsidR="00AD5B3B" w:rsidRDefault="00AD5B3B" w:rsidP="00AD5B3B">
      <w:pPr>
        <w:pStyle w:val="ListParagraph"/>
        <w:numPr>
          <w:ilvl w:val="0"/>
          <w:numId w:val="12"/>
        </w:numPr>
      </w:pPr>
      <w:proofErr w:type="spellStart"/>
      <w:r>
        <w:t>Vanilla_Option</w:t>
      </w:r>
      <w:proofErr w:type="spellEnd"/>
    </w:p>
    <w:p w14:paraId="3BA11D81" w14:textId="77777777" w:rsidR="00AD5B3B" w:rsidRDefault="00AD5B3B" w:rsidP="00AD5B3B">
      <w:pPr>
        <w:pStyle w:val="ListParagraph"/>
        <w:numPr>
          <w:ilvl w:val="0"/>
          <w:numId w:val="12"/>
        </w:numPr>
      </w:pPr>
      <w:proofErr w:type="spellStart"/>
      <w:r>
        <w:t>Barrier_Option</w:t>
      </w:r>
      <w:proofErr w:type="spellEnd"/>
    </w:p>
    <w:p w14:paraId="2EF5B8D4" w14:textId="77777777" w:rsidR="00AD5B3B" w:rsidRDefault="00AD5B3B" w:rsidP="00AD5B3B">
      <w:pPr>
        <w:pStyle w:val="ListParagraph"/>
        <w:numPr>
          <w:ilvl w:val="0"/>
          <w:numId w:val="12"/>
        </w:numPr>
      </w:pPr>
      <w:proofErr w:type="spellStart"/>
      <w:r>
        <w:t>Digital_Option</w:t>
      </w:r>
      <w:proofErr w:type="spellEnd"/>
    </w:p>
    <w:p w14:paraId="23C06420" w14:textId="77777777" w:rsidR="00AD5B3B" w:rsidRDefault="00AD5B3B" w:rsidP="00AD5B3B">
      <w:pPr>
        <w:pStyle w:val="ListParagraph"/>
        <w:numPr>
          <w:ilvl w:val="0"/>
          <w:numId w:val="12"/>
        </w:numPr>
      </w:pPr>
      <w:proofErr w:type="spellStart"/>
      <w:r>
        <w:t>Target_Option</w:t>
      </w:r>
      <w:proofErr w:type="spellEnd"/>
    </w:p>
    <w:p w14:paraId="26CDE190" w14:textId="7D0F9D51" w:rsidR="00AD5B3B" w:rsidRDefault="00AD5B3B" w:rsidP="00AD5B3B">
      <w:pPr>
        <w:pStyle w:val="ListParagraph"/>
        <w:numPr>
          <w:ilvl w:val="0"/>
          <w:numId w:val="12"/>
        </w:numPr>
      </w:pPr>
      <w:proofErr w:type="spellStart"/>
      <w:r>
        <w:t>Forward_Vol_Agreement</w:t>
      </w:r>
      <w:proofErr w:type="spellEnd"/>
    </w:p>
    <w:p w14:paraId="5B13200A" w14:textId="24E26124" w:rsidR="00250FEB" w:rsidRDefault="00250FEB" w:rsidP="00AD5B3B">
      <w:pPr>
        <w:pStyle w:val="ListParagraph"/>
        <w:numPr>
          <w:ilvl w:val="0"/>
          <w:numId w:val="12"/>
        </w:numPr>
      </w:pPr>
      <w:r>
        <w:t>FX Non-Standard Option</w:t>
      </w:r>
    </w:p>
    <w:p w14:paraId="43532528" w14:textId="77777777" w:rsidR="00AD5B3B" w:rsidRDefault="00AD5B3B" w:rsidP="00AD5B3B"/>
    <w:p w14:paraId="67C5532F" w14:textId="77777777" w:rsidR="00AD5B3B" w:rsidRDefault="00AD5B3B" w:rsidP="00AD5B3B">
      <w:r>
        <w:t>For an FX Option, the user is required to provide the following input:</w:t>
      </w:r>
    </w:p>
    <w:p w14:paraId="1815223F" w14:textId="77777777" w:rsidR="00AD5B3B" w:rsidRDefault="00AD5B3B" w:rsidP="00AD5B3B"/>
    <w:tbl>
      <w:tblPr>
        <w:tblStyle w:val="GridTable4-Accent5"/>
        <w:tblW w:w="0" w:type="auto"/>
        <w:tblLook w:val="04A0" w:firstRow="1" w:lastRow="0" w:firstColumn="1" w:lastColumn="0" w:noHBand="0" w:noVBand="1"/>
      </w:tblPr>
      <w:tblGrid>
        <w:gridCol w:w="2694"/>
        <w:gridCol w:w="1842"/>
      </w:tblGrid>
      <w:tr w:rsidR="00AD5B3B" w:rsidRPr="004D2543" w14:paraId="6098A3AB" w14:textId="77777777" w:rsidTr="00452B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7DCF7B23" w14:textId="77777777" w:rsidR="00AD5B3B" w:rsidRPr="004D2543" w:rsidRDefault="00AD5B3B" w:rsidP="00452B51">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1842" w:type="dxa"/>
            <w:noWrap/>
            <w:hideMark/>
          </w:tcPr>
          <w:p w14:paraId="1BB3ED05"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AD5B3B" w:rsidRPr="004D2543" w14:paraId="11955055"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5ACBC291"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Notional Currency</w:t>
            </w:r>
          </w:p>
        </w:tc>
        <w:tc>
          <w:tcPr>
            <w:tcW w:w="1842" w:type="dxa"/>
            <w:noWrap/>
            <w:hideMark/>
          </w:tcPr>
          <w:p w14:paraId="55F420A5"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EUR</w:t>
            </w:r>
          </w:p>
        </w:tc>
      </w:tr>
      <w:tr w:rsidR="00AD5B3B" w:rsidRPr="004D2543" w14:paraId="34F6DBC3"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837800F"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Expiry date</w:t>
            </w:r>
          </w:p>
        </w:tc>
        <w:tc>
          <w:tcPr>
            <w:tcW w:w="1842" w:type="dxa"/>
            <w:noWrap/>
            <w:hideMark/>
          </w:tcPr>
          <w:p w14:paraId="7438753F"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20211231</w:t>
            </w:r>
          </w:p>
        </w:tc>
      </w:tr>
      <w:tr w:rsidR="00AD5B3B" w:rsidRPr="004D2543" w14:paraId="0087FB85"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7D5994A3"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Option type</w:t>
            </w:r>
          </w:p>
        </w:tc>
        <w:tc>
          <w:tcPr>
            <w:tcW w:w="1842" w:type="dxa"/>
            <w:noWrap/>
          </w:tcPr>
          <w:p w14:paraId="70A83862"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Put</w:t>
            </w:r>
          </w:p>
        </w:tc>
      </w:tr>
      <w:tr w:rsidR="00AD5B3B" w:rsidRPr="004D2543" w14:paraId="071B66CE"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2694" w:type="dxa"/>
            <w:noWrap/>
          </w:tcPr>
          <w:p w14:paraId="7BC8D0CA"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eastAsia="Times New Roman" w:hAnsi="Calibri" w:cs="Times New Roman"/>
                <w:b w:val="0"/>
                <w:color w:val="000000"/>
                <w:lang w:eastAsia="en-GB"/>
              </w:rPr>
              <w:t>Option exercise style</w:t>
            </w:r>
          </w:p>
        </w:tc>
        <w:tc>
          <w:tcPr>
            <w:tcW w:w="1842" w:type="dxa"/>
            <w:noWrap/>
          </w:tcPr>
          <w:p w14:paraId="61FECD6B"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European</w:t>
            </w:r>
          </w:p>
        </w:tc>
      </w:tr>
      <w:tr w:rsidR="00AD5B3B" w:rsidRPr="004D2543" w14:paraId="607C942A"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414393A6"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eastAsia="Times New Roman" w:hAnsi="Calibri" w:cs="Times New Roman"/>
                <w:b w:val="0"/>
                <w:color w:val="000000"/>
                <w:highlight w:val="yellow"/>
                <w:lang w:eastAsia="en-GB"/>
              </w:rPr>
              <w:t>Other Notional Currency</w:t>
            </w:r>
          </w:p>
        </w:tc>
        <w:tc>
          <w:tcPr>
            <w:tcW w:w="1842" w:type="dxa"/>
            <w:noWrap/>
            <w:hideMark/>
          </w:tcPr>
          <w:p w14:paraId="58842497"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USD</w:t>
            </w:r>
          </w:p>
        </w:tc>
      </w:tr>
    </w:tbl>
    <w:p w14:paraId="264CEAE6" w14:textId="77777777" w:rsidR="00AD5B3B" w:rsidRDefault="00AD5B3B" w:rsidP="00AD5B3B"/>
    <w:p w14:paraId="6FDC32A6" w14:textId="77777777" w:rsidR="00AD5B3B" w:rsidRDefault="00AD5B3B" w:rsidP="00AD5B3B">
      <w:r>
        <w:t xml:space="preserve">To ensure only one ISIN can be generated for a put or call option on a common currency pair, the DSB has adopted an alphabetical normalization approach. </w:t>
      </w:r>
    </w:p>
    <w:p w14:paraId="6D8FF3E0" w14:textId="77777777" w:rsidR="00AD5B3B" w:rsidRDefault="00AD5B3B" w:rsidP="00AD5B3B">
      <w:r>
        <w:t>Additionally, the option type is always associated with the Notional currency.</w:t>
      </w:r>
    </w:p>
    <w:p w14:paraId="468BD608" w14:textId="77777777" w:rsidR="00AD5B3B" w:rsidRDefault="00AD5B3B" w:rsidP="00AD5B3B"/>
    <w:p w14:paraId="7D9EBBE8" w14:textId="77777777" w:rsidR="00AD5B3B" w:rsidRPr="003216AC" w:rsidRDefault="00AD5B3B" w:rsidP="00AD5B3B">
      <w:r>
        <w:t xml:space="preserve">For example, for a </w:t>
      </w:r>
      <w:r w:rsidRPr="003216AC">
        <w:t>EURUSD currency pair</w:t>
      </w:r>
    </w:p>
    <w:p w14:paraId="4D9BACAA" w14:textId="77777777" w:rsidR="00AD5B3B" w:rsidRPr="003216AC" w:rsidRDefault="00AD5B3B" w:rsidP="00AD5B3B">
      <w:pPr>
        <w:pStyle w:val="ListParagraph"/>
        <w:numPr>
          <w:ilvl w:val="0"/>
          <w:numId w:val="13"/>
        </w:numPr>
      </w:pPr>
      <w:r w:rsidRPr="003216AC">
        <w:t xml:space="preserve">User submits Notional Currency = EUR, Other Notional Currency = USD, Option Type = Put. </w:t>
      </w:r>
      <w:r w:rsidRPr="006E01AB">
        <w:rPr>
          <w:b/>
        </w:rPr>
        <w:t>Action</w:t>
      </w:r>
      <w:r w:rsidRPr="003216AC">
        <w:t xml:space="preserve"> – No change, user receives ISIN record of EUR put</w:t>
      </w:r>
    </w:p>
    <w:p w14:paraId="683BD97C" w14:textId="77777777" w:rsidR="00AD5B3B" w:rsidRDefault="00AD5B3B" w:rsidP="00AD5B3B">
      <w:pPr>
        <w:pStyle w:val="ListParagraph"/>
        <w:numPr>
          <w:ilvl w:val="0"/>
          <w:numId w:val="13"/>
        </w:numPr>
      </w:pPr>
      <w:r w:rsidRPr="003216AC">
        <w:t xml:space="preserve">User submits Notional Currency = USD, Other Notional Currency = EUR, Option Type = Call. </w:t>
      </w:r>
      <w:r w:rsidRPr="006E01AB">
        <w:rPr>
          <w:b/>
        </w:rPr>
        <w:t>Action</w:t>
      </w:r>
      <w:r w:rsidRPr="003216AC">
        <w:t xml:space="preserve"> – </w:t>
      </w:r>
      <w:r>
        <w:t xml:space="preserve">Reorder alphabetically, amend Notional Currency = EUR AND flip Option Type from Call to Put. </w:t>
      </w:r>
      <w:r w:rsidRPr="003216AC">
        <w:t>Other Notional currency = USD</w:t>
      </w:r>
      <w:r>
        <w:t>.</w:t>
      </w:r>
      <w:r w:rsidRPr="003216AC">
        <w:t xml:space="preserve"> </w:t>
      </w:r>
      <w:r>
        <w:t>U</w:t>
      </w:r>
      <w:r w:rsidRPr="003216AC">
        <w:t>ser receives ISIN record of EUR put</w:t>
      </w:r>
    </w:p>
    <w:p w14:paraId="5B13612E" w14:textId="77777777" w:rsidR="00AD5B3B" w:rsidRDefault="00AD5B3B" w:rsidP="00AD5B3B"/>
    <w:p w14:paraId="11841A93" w14:textId="77777777" w:rsidR="00AD5B3B" w:rsidRDefault="00AD5B3B" w:rsidP="00AD5B3B">
      <w:r>
        <w:lastRenderedPageBreak/>
        <w:t>The below two user inputs below are the same instrument and the same ISIN record is returned to the user:</w:t>
      </w:r>
    </w:p>
    <w:p w14:paraId="13FC2C5B" w14:textId="77777777" w:rsidR="00AD5B3B" w:rsidRDefault="00AD5B3B" w:rsidP="00AD5B3B"/>
    <w:tbl>
      <w:tblPr>
        <w:tblStyle w:val="GridTable4-Accent5"/>
        <w:tblW w:w="8642" w:type="dxa"/>
        <w:tblLook w:val="04A0" w:firstRow="1" w:lastRow="0" w:firstColumn="1" w:lastColumn="0" w:noHBand="0" w:noVBand="1"/>
      </w:tblPr>
      <w:tblGrid>
        <w:gridCol w:w="2524"/>
        <w:gridCol w:w="1582"/>
        <w:gridCol w:w="1559"/>
        <w:gridCol w:w="1418"/>
        <w:gridCol w:w="1559"/>
      </w:tblGrid>
      <w:tr w:rsidR="00AD5B3B" w:rsidRPr="004D2543" w14:paraId="433DF923" w14:textId="77777777" w:rsidTr="0045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4C3E6651" w14:textId="77777777" w:rsidR="00AD5B3B" w:rsidRPr="004D2543" w:rsidRDefault="00AD5B3B" w:rsidP="00452B51">
            <w:r w:rsidRPr="004D2543">
              <w:t>Attribute</w:t>
            </w:r>
          </w:p>
        </w:tc>
        <w:tc>
          <w:tcPr>
            <w:tcW w:w="1582" w:type="dxa"/>
          </w:tcPr>
          <w:p w14:paraId="10E8014D"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pPr>
            <w:r w:rsidRPr="004D2543">
              <w:t>User Input 1</w:t>
            </w:r>
          </w:p>
        </w:tc>
        <w:tc>
          <w:tcPr>
            <w:tcW w:w="1559" w:type="dxa"/>
          </w:tcPr>
          <w:p w14:paraId="2F86B294"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pPr>
            <w:r w:rsidRPr="004D2543">
              <w:t>ISIN Record 1</w:t>
            </w:r>
          </w:p>
        </w:tc>
        <w:tc>
          <w:tcPr>
            <w:tcW w:w="1418" w:type="dxa"/>
          </w:tcPr>
          <w:p w14:paraId="5D7D95CE"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pPr>
            <w:r w:rsidRPr="004D2543">
              <w:t>User Input 2</w:t>
            </w:r>
          </w:p>
        </w:tc>
        <w:tc>
          <w:tcPr>
            <w:tcW w:w="1559" w:type="dxa"/>
          </w:tcPr>
          <w:p w14:paraId="35E8E8F6"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pPr>
            <w:r w:rsidRPr="004D2543">
              <w:t>ISIN Record 2</w:t>
            </w:r>
          </w:p>
        </w:tc>
      </w:tr>
      <w:tr w:rsidR="00AD5B3B" w:rsidRPr="004D2543" w14:paraId="6B7AA1CC"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3B8B9067" w14:textId="77777777" w:rsidR="00AD5B3B" w:rsidRPr="004D2543" w:rsidRDefault="00AD5B3B" w:rsidP="00452B51">
            <w:pPr>
              <w:rPr>
                <w:b w:val="0"/>
              </w:rPr>
            </w:pPr>
            <w:r w:rsidRPr="004D2543">
              <w:rPr>
                <w:rFonts w:ascii="Calibri" w:eastAsia="Times New Roman" w:hAnsi="Calibri" w:cs="Times New Roman"/>
                <w:b w:val="0"/>
                <w:color w:val="000000"/>
                <w:highlight w:val="yellow"/>
                <w:lang w:eastAsia="en-GB"/>
              </w:rPr>
              <w:t>Notional Currency</w:t>
            </w:r>
          </w:p>
        </w:tc>
        <w:tc>
          <w:tcPr>
            <w:tcW w:w="1582" w:type="dxa"/>
          </w:tcPr>
          <w:p w14:paraId="742F8D57"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pPr>
            <w:r w:rsidRPr="004D2543">
              <w:rPr>
                <w:rFonts w:ascii="Calibri" w:eastAsia="Times New Roman" w:hAnsi="Calibri" w:cs="Times New Roman"/>
                <w:color w:val="000000"/>
                <w:highlight w:val="yellow"/>
                <w:lang w:eastAsia="en-GB"/>
              </w:rPr>
              <w:t>EUR</w:t>
            </w:r>
          </w:p>
        </w:tc>
        <w:tc>
          <w:tcPr>
            <w:tcW w:w="1559" w:type="dxa"/>
          </w:tcPr>
          <w:p w14:paraId="5F4E3F36"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EUR</w:t>
            </w:r>
          </w:p>
        </w:tc>
        <w:tc>
          <w:tcPr>
            <w:tcW w:w="1418" w:type="dxa"/>
          </w:tcPr>
          <w:p w14:paraId="57DBD727"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USD</w:t>
            </w:r>
          </w:p>
        </w:tc>
        <w:tc>
          <w:tcPr>
            <w:tcW w:w="1559" w:type="dxa"/>
          </w:tcPr>
          <w:p w14:paraId="27D9D986"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highlight w:val="yellow"/>
              </w:rPr>
            </w:pPr>
            <w:r w:rsidRPr="004D2543">
              <w:rPr>
                <w:rFonts w:ascii="Calibri" w:eastAsia="Times New Roman" w:hAnsi="Calibri" w:cs="Times New Roman"/>
                <w:color w:val="000000"/>
                <w:highlight w:val="yellow"/>
                <w:lang w:eastAsia="en-GB"/>
              </w:rPr>
              <w:t>EUR</w:t>
            </w:r>
          </w:p>
        </w:tc>
      </w:tr>
      <w:tr w:rsidR="00AD5B3B" w:rsidRPr="004D2543" w14:paraId="7BDB1E60" w14:textId="77777777" w:rsidTr="00452B51">
        <w:tc>
          <w:tcPr>
            <w:cnfStyle w:val="001000000000" w:firstRow="0" w:lastRow="0" w:firstColumn="1" w:lastColumn="0" w:oddVBand="0" w:evenVBand="0" w:oddHBand="0" w:evenHBand="0" w:firstRowFirstColumn="0" w:firstRowLastColumn="0" w:lastRowFirstColumn="0" w:lastRowLastColumn="0"/>
            <w:tcW w:w="2524" w:type="dxa"/>
          </w:tcPr>
          <w:p w14:paraId="5A9E112F" w14:textId="77777777" w:rsidR="00AD5B3B" w:rsidRPr="004D2543" w:rsidRDefault="00AD5B3B" w:rsidP="00452B51">
            <w:pPr>
              <w:rPr>
                <w:b w:val="0"/>
              </w:rPr>
            </w:pPr>
            <w:r w:rsidRPr="004D2543">
              <w:rPr>
                <w:rFonts w:ascii="Calibri" w:eastAsia="Times New Roman" w:hAnsi="Calibri" w:cs="Times New Roman"/>
                <w:b w:val="0"/>
                <w:color w:val="000000"/>
                <w:lang w:eastAsia="en-GB"/>
              </w:rPr>
              <w:t>Expiry date</w:t>
            </w:r>
          </w:p>
        </w:tc>
        <w:tc>
          <w:tcPr>
            <w:tcW w:w="1582" w:type="dxa"/>
          </w:tcPr>
          <w:p w14:paraId="7D061E7F"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pPr>
            <w:r w:rsidRPr="004D2543">
              <w:rPr>
                <w:rFonts w:ascii="Calibri" w:eastAsia="Times New Roman" w:hAnsi="Calibri" w:cs="Times New Roman"/>
                <w:color w:val="000000"/>
                <w:lang w:eastAsia="en-GB"/>
              </w:rPr>
              <w:t>20211231</w:t>
            </w:r>
          </w:p>
        </w:tc>
        <w:tc>
          <w:tcPr>
            <w:tcW w:w="1559" w:type="dxa"/>
          </w:tcPr>
          <w:p w14:paraId="6ECCF9F3"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20211231</w:t>
            </w:r>
          </w:p>
        </w:tc>
        <w:tc>
          <w:tcPr>
            <w:tcW w:w="1418" w:type="dxa"/>
          </w:tcPr>
          <w:p w14:paraId="489DDD62"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20211231</w:t>
            </w:r>
          </w:p>
        </w:tc>
        <w:tc>
          <w:tcPr>
            <w:tcW w:w="1559" w:type="dxa"/>
          </w:tcPr>
          <w:p w14:paraId="6B42C70D"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pPr>
            <w:r w:rsidRPr="004D2543">
              <w:rPr>
                <w:rFonts w:ascii="Calibri" w:eastAsia="Times New Roman" w:hAnsi="Calibri" w:cs="Times New Roman"/>
                <w:color w:val="000000"/>
                <w:lang w:eastAsia="en-GB"/>
              </w:rPr>
              <w:t>20211231</w:t>
            </w:r>
          </w:p>
        </w:tc>
      </w:tr>
      <w:tr w:rsidR="00AD5B3B" w:rsidRPr="004D2543" w14:paraId="7987D479" w14:textId="77777777" w:rsidTr="00452B5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524" w:type="dxa"/>
          </w:tcPr>
          <w:p w14:paraId="2029555E" w14:textId="77777777" w:rsidR="00AD5B3B" w:rsidRPr="004D2543" w:rsidRDefault="00AD5B3B" w:rsidP="00452B51">
            <w:pPr>
              <w:rPr>
                <w:b w:val="0"/>
              </w:rPr>
            </w:pPr>
            <w:r w:rsidRPr="004D2543">
              <w:rPr>
                <w:rFonts w:ascii="Calibri" w:eastAsia="Times New Roman" w:hAnsi="Calibri" w:cs="Times New Roman"/>
                <w:b w:val="0"/>
                <w:color w:val="000000"/>
                <w:highlight w:val="yellow"/>
                <w:lang w:eastAsia="en-GB"/>
              </w:rPr>
              <w:t>Option type</w:t>
            </w:r>
          </w:p>
        </w:tc>
        <w:tc>
          <w:tcPr>
            <w:tcW w:w="1582" w:type="dxa"/>
          </w:tcPr>
          <w:p w14:paraId="6CBCC0CD"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pPr>
            <w:r w:rsidRPr="004D2543">
              <w:rPr>
                <w:rFonts w:ascii="Calibri" w:eastAsia="Times New Roman" w:hAnsi="Calibri" w:cs="Times New Roman"/>
                <w:color w:val="000000"/>
                <w:highlight w:val="yellow"/>
                <w:lang w:eastAsia="en-GB"/>
              </w:rPr>
              <w:t>Put</w:t>
            </w:r>
          </w:p>
        </w:tc>
        <w:tc>
          <w:tcPr>
            <w:tcW w:w="1559" w:type="dxa"/>
          </w:tcPr>
          <w:p w14:paraId="203D6785"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Put</w:t>
            </w:r>
          </w:p>
        </w:tc>
        <w:tc>
          <w:tcPr>
            <w:tcW w:w="1418" w:type="dxa"/>
          </w:tcPr>
          <w:p w14:paraId="6EB91448"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Call</w:t>
            </w:r>
          </w:p>
        </w:tc>
        <w:tc>
          <w:tcPr>
            <w:tcW w:w="1559" w:type="dxa"/>
          </w:tcPr>
          <w:p w14:paraId="4D4C0C7C"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highlight w:val="yellow"/>
              </w:rPr>
            </w:pPr>
            <w:r w:rsidRPr="004D2543">
              <w:rPr>
                <w:rFonts w:ascii="Calibri" w:eastAsia="Times New Roman" w:hAnsi="Calibri" w:cs="Times New Roman"/>
                <w:color w:val="000000"/>
                <w:highlight w:val="yellow"/>
                <w:lang w:eastAsia="en-GB"/>
              </w:rPr>
              <w:t>Put</w:t>
            </w:r>
          </w:p>
        </w:tc>
      </w:tr>
      <w:tr w:rsidR="00AD5B3B" w:rsidRPr="004D2543" w14:paraId="3411C504" w14:textId="77777777" w:rsidTr="00452B51">
        <w:tc>
          <w:tcPr>
            <w:cnfStyle w:val="001000000000" w:firstRow="0" w:lastRow="0" w:firstColumn="1" w:lastColumn="0" w:oddVBand="0" w:evenVBand="0" w:oddHBand="0" w:evenHBand="0" w:firstRowFirstColumn="0" w:firstRowLastColumn="0" w:lastRowFirstColumn="0" w:lastRowLastColumn="0"/>
            <w:tcW w:w="2524" w:type="dxa"/>
          </w:tcPr>
          <w:p w14:paraId="6AEF2795" w14:textId="77777777" w:rsidR="00AD5B3B" w:rsidRPr="004D2543" w:rsidRDefault="00AD5B3B" w:rsidP="00452B51">
            <w:pPr>
              <w:rPr>
                <w:b w:val="0"/>
                <w:highlight w:val="yellow"/>
              </w:rPr>
            </w:pPr>
            <w:r w:rsidRPr="004D2543">
              <w:rPr>
                <w:rFonts w:ascii="Calibri" w:eastAsia="Times New Roman" w:hAnsi="Calibri" w:cs="Times New Roman"/>
                <w:b w:val="0"/>
                <w:color w:val="000000"/>
                <w:lang w:eastAsia="en-GB"/>
              </w:rPr>
              <w:t>Option exercise style</w:t>
            </w:r>
          </w:p>
        </w:tc>
        <w:tc>
          <w:tcPr>
            <w:tcW w:w="1582" w:type="dxa"/>
          </w:tcPr>
          <w:p w14:paraId="73CE6242"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highlight w:val="yellow"/>
              </w:rPr>
            </w:pPr>
            <w:r w:rsidRPr="004D2543">
              <w:rPr>
                <w:rFonts w:ascii="Calibri" w:eastAsia="Times New Roman" w:hAnsi="Calibri" w:cs="Times New Roman"/>
                <w:color w:val="000000"/>
                <w:lang w:eastAsia="en-GB"/>
              </w:rPr>
              <w:t>European</w:t>
            </w:r>
          </w:p>
        </w:tc>
        <w:tc>
          <w:tcPr>
            <w:tcW w:w="1559" w:type="dxa"/>
          </w:tcPr>
          <w:p w14:paraId="4F9C63CE"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European</w:t>
            </w:r>
          </w:p>
        </w:tc>
        <w:tc>
          <w:tcPr>
            <w:tcW w:w="1418" w:type="dxa"/>
          </w:tcPr>
          <w:p w14:paraId="3DADA9FB"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eastAsia="Times New Roman" w:hAnsi="Calibri" w:cs="Times New Roman"/>
                <w:color w:val="000000"/>
                <w:lang w:eastAsia="en-GB"/>
              </w:rPr>
              <w:t>European</w:t>
            </w:r>
          </w:p>
        </w:tc>
        <w:tc>
          <w:tcPr>
            <w:tcW w:w="1559" w:type="dxa"/>
          </w:tcPr>
          <w:p w14:paraId="4A5EDB59"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highlight w:val="yellow"/>
              </w:rPr>
            </w:pPr>
            <w:r w:rsidRPr="004D2543">
              <w:rPr>
                <w:rFonts w:ascii="Calibri" w:eastAsia="Times New Roman" w:hAnsi="Calibri" w:cs="Times New Roman"/>
                <w:color w:val="000000"/>
                <w:lang w:eastAsia="en-GB"/>
              </w:rPr>
              <w:t>European</w:t>
            </w:r>
          </w:p>
        </w:tc>
      </w:tr>
      <w:tr w:rsidR="00AD5B3B" w:rsidRPr="004D2543" w14:paraId="0F10FF98"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14:paraId="28C00292" w14:textId="77777777" w:rsidR="00AD5B3B" w:rsidRPr="004D2543" w:rsidRDefault="00AD5B3B" w:rsidP="00452B51">
            <w:pPr>
              <w:rPr>
                <w:b w:val="0"/>
                <w:highlight w:val="yellow"/>
              </w:rPr>
            </w:pPr>
            <w:r w:rsidRPr="004D2543">
              <w:rPr>
                <w:rFonts w:ascii="Calibri" w:eastAsia="Times New Roman" w:hAnsi="Calibri" w:cs="Times New Roman"/>
                <w:b w:val="0"/>
                <w:color w:val="000000"/>
                <w:highlight w:val="yellow"/>
                <w:lang w:eastAsia="en-GB"/>
              </w:rPr>
              <w:t>Other Notional Currency</w:t>
            </w:r>
          </w:p>
        </w:tc>
        <w:tc>
          <w:tcPr>
            <w:tcW w:w="1582" w:type="dxa"/>
          </w:tcPr>
          <w:p w14:paraId="692F65E4"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highlight w:val="yellow"/>
              </w:rPr>
            </w:pPr>
            <w:r w:rsidRPr="004D2543">
              <w:rPr>
                <w:rFonts w:ascii="Calibri" w:eastAsia="Times New Roman" w:hAnsi="Calibri" w:cs="Times New Roman"/>
                <w:color w:val="000000"/>
                <w:highlight w:val="yellow"/>
                <w:lang w:eastAsia="en-GB"/>
              </w:rPr>
              <w:t>USD</w:t>
            </w:r>
          </w:p>
        </w:tc>
        <w:tc>
          <w:tcPr>
            <w:tcW w:w="1559" w:type="dxa"/>
          </w:tcPr>
          <w:p w14:paraId="5A64C746"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USD</w:t>
            </w:r>
          </w:p>
        </w:tc>
        <w:tc>
          <w:tcPr>
            <w:tcW w:w="1418" w:type="dxa"/>
          </w:tcPr>
          <w:p w14:paraId="673DB466"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eastAsia="Times New Roman" w:hAnsi="Calibri" w:cs="Times New Roman"/>
                <w:color w:val="000000"/>
                <w:highlight w:val="yellow"/>
                <w:lang w:eastAsia="en-GB"/>
              </w:rPr>
              <w:t>EUR</w:t>
            </w:r>
          </w:p>
        </w:tc>
        <w:tc>
          <w:tcPr>
            <w:tcW w:w="1559" w:type="dxa"/>
          </w:tcPr>
          <w:p w14:paraId="453EA371"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highlight w:val="yellow"/>
              </w:rPr>
            </w:pPr>
            <w:r w:rsidRPr="004D2543">
              <w:rPr>
                <w:rFonts w:ascii="Calibri" w:eastAsia="Times New Roman" w:hAnsi="Calibri" w:cs="Times New Roman"/>
                <w:color w:val="000000"/>
                <w:highlight w:val="yellow"/>
                <w:lang w:eastAsia="en-GB"/>
              </w:rPr>
              <w:t>USD</w:t>
            </w:r>
          </w:p>
        </w:tc>
      </w:tr>
    </w:tbl>
    <w:p w14:paraId="5D1B2353" w14:textId="688D934A" w:rsidR="00AD5B3B" w:rsidRDefault="00AD5B3B" w:rsidP="00AD5B3B">
      <w:pPr>
        <w:rPr>
          <w:rFonts w:asciiTheme="majorHAnsi" w:eastAsiaTheme="majorEastAsia" w:hAnsiTheme="majorHAnsi" w:cstheme="majorBidi"/>
          <w:color w:val="2E74B5" w:themeColor="accent1" w:themeShade="BF"/>
          <w:sz w:val="26"/>
          <w:szCs w:val="26"/>
        </w:rPr>
      </w:pPr>
    </w:p>
    <w:p w14:paraId="75271A3D" w14:textId="77777777" w:rsidR="00AD5B3B" w:rsidRDefault="00AD5B3B" w:rsidP="00AD5B3B">
      <w:pPr>
        <w:pStyle w:val="Heading2"/>
        <w:ind w:left="567"/>
      </w:pPr>
      <w:bookmarkStart w:id="45" w:name="_Toc500926780"/>
      <w:bookmarkStart w:id="46" w:name="_Toc527364494"/>
      <w:r>
        <w:t>Commodities Basis Normalization</w:t>
      </w:r>
      <w:bookmarkEnd w:id="45"/>
      <w:bookmarkEnd w:id="46"/>
    </w:p>
    <w:p w14:paraId="7826965C" w14:textId="77777777" w:rsidR="00AD5B3B" w:rsidRDefault="00AD5B3B" w:rsidP="00AD5B3B"/>
    <w:p w14:paraId="7B633F87" w14:textId="77777777" w:rsidR="00AD5B3B" w:rsidRDefault="00AD5B3B" w:rsidP="00AD5B3B">
      <w:r>
        <w:t>For a Commodities Basis Swap, the user is required to provide the following input:</w:t>
      </w:r>
    </w:p>
    <w:p w14:paraId="298924D7" w14:textId="77777777" w:rsidR="00AD5B3B" w:rsidRDefault="00AD5B3B" w:rsidP="00AD5B3B"/>
    <w:tbl>
      <w:tblPr>
        <w:tblStyle w:val="GridTable4-Accent5"/>
        <w:tblW w:w="0" w:type="auto"/>
        <w:tblLook w:val="04A0" w:firstRow="1" w:lastRow="0" w:firstColumn="1" w:lastColumn="0" w:noHBand="0" w:noVBand="1"/>
      </w:tblPr>
      <w:tblGrid>
        <w:gridCol w:w="3261"/>
        <w:gridCol w:w="4677"/>
      </w:tblGrid>
      <w:tr w:rsidR="00AD5B3B" w:rsidRPr="004D2543" w14:paraId="37EB0691" w14:textId="77777777" w:rsidTr="00452B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D571D42" w14:textId="77777777" w:rsidR="00AD5B3B" w:rsidRPr="004D2543" w:rsidRDefault="00AD5B3B" w:rsidP="00452B51">
            <w:pPr>
              <w:rPr>
                <w:rFonts w:ascii="Calibri" w:eastAsia="Times New Roman" w:hAnsi="Calibri" w:cs="Times New Roman"/>
                <w:lang w:eastAsia="en-GB"/>
              </w:rPr>
            </w:pPr>
            <w:r w:rsidRPr="004D2543">
              <w:rPr>
                <w:rFonts w:ascii="Calibri" w:eastAsia="Times New Roman" w:hAnsi="Calibri" w:cs="Times New Roman"/>
                <w:lang w:eastAsia="en-GB"/>
              </w:rPr>
              <w:t>Attribute</w:t>
            </w:r>
          </w:p>
        </w:tc>
        <w:tc>
          <w:tcPr>
            <w:tcW w:w="4677" w:type="dxa"/>
            <w:noWrap/>
            <w:hideMark/>
          </w:tcPr>
          <w:p w14:paraId="620A1596" w14:textId="77777777" w:rsidR="00AD5B3B" w:rsidRPr="004D2543" w:rsidRDefault="00AD5B3B" w:rsidP="00452B5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4D2543">
              <w:rPr>
                <w:rFonts w:ascii="Calibri" w:eastAsia="Times New Roman" w:hAnsi="Calibri" w:cs="Times New Roman"/>
                <w:lang w:eastAsia="en-GB"/>
              </w:rPr>
              <w:t>Sample Value</w:t>
            </w:r>
          </w:p>
        </w:tc>
      </w:tr>
      <w:tr w:rsidR="00AD5B3B" w:rsidRPr="004D2543" w14:paraId="250D7CE6"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E67B1CE"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rPr>
              <w:t>Notional Currency</w:t>
            </w:r>
          </w:p>
        </w:tc>
        <w:tc>
          <w:tcPr>
            <w:tcW w:w="4677" w:type="dxa"/>
            <w:noWrap/>
            <w:hideMark/>
          </w:tcPr>
          <w:p w14:paraId="7B1D1076"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rPr>
              <w:t>GBP</w:t>
            </w:r>
          </w:p>
        </w:tc>
      </w:tr>
      <w:tr w:rsidR="00AD5B3B" w:rsidRPr="004D2543" w14:paraId="2B7484DB"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117D4B1D" w14:textId="77777777" w:rsidR="00AD5B3B" w:rsidRPr="004D2543" w:rsidRDefault="00AD5B3B" w:rsidP="00452B51">
            <w:pPr>
              <w:rPr>
                <w:rFonts w:ascii="Calibri" w:eastAsia="Times New Roman" w:hAnsi="Calibri" w:cs="Times New Roman"/>
                <w:b w:val="0"/>
                <w:color w:val="000000"/>
                <w:lang w:eastAsia="en-GB"/>
              </w:rPr>
            </w:pPr>
            <w:r w:rsidRPr="004D2543">
              <w:rPr>
                <w:rFonts w:ascii="Calibri" w:hAnsi="Calibri" w:cs="Calibri"/>
                <w:b w:val="0"/>
                <w:color w:val="000000"/>
              </w:rPr>
              <w:t>Expiry date</w:t>
            </w:r>
          </w:p>
        </w:tc>
        <w:tc>
          <w:tcPr>
            <w:tcW w:w="4677" w:type="dxa"/>
            <w:noWrap/>
            <w:hideMark/>
          </w:tcPr>
          <w:p w14:paraId="0EB75CEC"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4D2543">
              <w:rPr>
                <w:rFonts w:ascii="Calibri" w:hAnsi="Calibri" w:cs="Calibri"/>
                <w:color w:val="000000"/>
              </w:rPr>
              <w:t>2017-06-30</w:t>
            </w:r>
          </w:p>
        </w:tc>
      </w:tr>
      <w:tr w:rsidR="00AD5B3B" w:rsidRPr="004D2543" w14:paraId="3D2FD256"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30198519"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rPr>
              <w:t>Return or Payout Trigger</w:t>
            </w:r>
          </w:p>
        </w:tc>
        <w:tc>
          <w:tcPr>
            <w:tcW w:w="4677" w:type="dxa"/>
            <w:noWrap/>
          </w:tcPr>
          <w:p w14:paraId="5E13EB1E"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rPr>
              <w:t>C - Contract for Difference</w:t>
            </w:r>
          </w:p>
        </w:tc>
      </w:tr>
      <w:tr w:rsidR="00AD5B3B" w:rsidRPr="004D2543" w14:paraId="2F41B246"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6EA5116B"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Base Product</w:t>
            </w:r>
          </w:p>
        </w:tc>
        <w:tc>
          <w:tcPr>
            <w:tcW w:w="4677" w:type="dxa"/>
            <w:noWrap/>
          </w:tcPr>
          <w:p w14:paraId="4D9A3074"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NRGY</w:t>
            </w:r>
          </w:p>
        </w:tc>
      </w:tr>
      <w:tr w:rsidR="00AD5B3B" w:rsidRPr="004D2543" w14:paraId="29BD0089"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66102FF"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Sub Product</w:t>
            </w:r>
          </w:p>
        </w:tc>
        <w:tc>
          <w:tcPr>
            <w:tcW w:w="4677" w:type="dxa"/>
            <w:noWrap/>
            <w:hideMark/>
          </w:tcPr>
          <w:p w14:paraId="52BCA2C3"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NGAS</w:t>
            </w:r>
          </w:p>
        </w:tc>
      </w:tr>
      <w:tr w:rsidR="00AD5B3B" w:rsidRPr="004D2543" w14:paraId="652ED0BB"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52CA5E9C"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Additional Sub Product</w:t>
            </w:r>
          </w:p>
        </w:tc>
        <w:tc>
          <w:tcPr>
            <w:tcW w:w="4677" w:type="dxa"/>
            <w:noWrap/>
          </w:tcPr>
          <w:p w14:paraId="389C7484"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GASP</w:t>
            </w:r>
          </w:p>
        </w:tc>
      </w:tr>
      <w:tr w:rsidR="00AD5B3B" w:rsidRPr="004D2543" w14:paraId="46746E2B"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500A7B89"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Other Base Product</w:t>
            </w:r>
          </w:p>
        </w:tc>
        <w:tc>
          <w:tcPr>
            <w:tcW w:w="4677" w:type="dxa"/>
            <w:noWrap/>
          </w:tcPr>
          <w:p w14:paraId="3D321C4C"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AGRI</w:t>
            </w:r>
          </w:p>
        </w:tc>
      </w:tr>
      <w:tr w:rsidR="00AD5B3B" w:rsidRPr="004D2543" w14:paraId="4665DF9F"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7BB34A4C"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Other Sub Product</w:t>
            </w:r>
          </w:p>
        </w:tc>
        <w:tc>
          <w:tcPr>
            <w:tcW w:w="4677" w:type="dxa"/>
            <w:noWrap/>
          </w:tcPr>
          <w:p w14:paraId="28364E48"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GROS</w:t>
            </w:r>
          </w:p>
        </w:tc>
      </w:tr>
      <w:tr w:rsidR="00AD5B3B" w:rsidRPr="004D2543" w14:paraId="59B90E35"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4D40AAD5"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Other Additional Sub Product</w:t>
            </w:r>
          </w:p>
        </w:tc>
        <w:tc>
          <w:tcPr>
            <w:tcW w:w="4677" w:type="dxa"/>
            <w:noWrap/>
          </w:tcPr>
          <w:p w14:paraId="44E67F93"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FWHT</w:t>
            </w:r>
          </w:p>
        </w:tc>
      </w:tr>
      <w:tr w:rsidR="00AD5B3B" w:rsidRPr="004D2543" w14:paraId="3FDA6BC8"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2B62DEFF"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rPr>
              <w:t>Transaction Type</w:t>
            </w:r>
          </w:p>
        </w:tc>
        <w:tc>
          <w:tcPr>
            <w:tcW w:w="4677" w:type="dxa"/>
            <w:noWrap/>
          </w:tcPr>
          <w:p w14:paraId="0B11AB04"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rPr>
              <w:t>SWAP</w:t>
            </w:r>
          </w:p>
        </w:tc>
      </w:tr>
      <w:tr w:rsidR="00AD5B3B" w:rsidRPr="004D2543" w14:paraId="5054A6D8"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39659B64"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rPr>
              <w:t>Final Price type</w:t>
            </w:r>
          </w:p>
        </w:tc>
        <w:tc>
          <w:tcPr>
            <w:tcW w:w="4677" w:type="dxa"/>
            <w:noWrap/>
          </w:tcPr>
          <w:p w14:paraId="0A072CF7"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rPr>
              <w:t>OTHR</w:t>
            </w:r>
          </w:p>
        </w:tc>
      </w:tr>
      <w:tr w:rsidR="00AD5B3B" w:rsidRPr="004D2543" w14:paraId="2455722E" w14:textId="77777777" w:rsidTr="00452B51">
        <w:trPr>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5A917F43"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Reference Rate</w:t>
            </w:r>
          </w:p>
        </w:tc>
        <w:tc>
          <w:tcPr>
            <w:tcW w:w="4677" w:type="dxa"/>
            <w:noWrap/>
          </w:tcPr>
          <w:p w14:paraId="1ACC2288" w14:textId="77777777" w:rsidR="00AD5B3B" w:rsidRPr="004D2543" w:rsidRDefault="00AD5B3B" w:rsidP="00452B5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NATURAL GAS-CHICAGO CITY-GATES-INSIDE FERC</w:t>
            </w:r>
          </w:p>
        </w:tc>
      </w:tr>
      <w:tr w:rsidR="00AD5B3B" w:rsidRPr="004D2543" w14:paraId="57DCBF02" w14:textId="77777777" w:rsidTr="00452B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61" w:type="dxa"/>
            <w:noWrap/>
          </w:tcPr>
          <w:p w14:paraId="7D0A2014" w14:textId="77777777" w:rsidR="00AD5B3B" w:rsidRPr="004D2543" w:rsidRDefault="00AD5B3B" w:rsidP="00452B51">
            <w:pPr>
              <w:rPr>
                <w:rFonts w:ascii="Calibri" w:eastAsia="Times New Roman" w:hAnsi="Calibri" w:cs="Times New Roman"/>
                <w:b w:val="0"/>
                <w:color w:val="000000"/>
                <w:highlight w:val="yellow"/>
                <w:lang w:eastAsia="en-GB"/>
              </w:rPr>
            </w:pPr>
            <w:r w:rsidRPr="004D2543">
              <w:rPr>
                <w:rFonts w:ascii="Calibri" w:hAnsi="Calibri" w:cs="Calibri"/>
                <w:b w:val="0"/>
                <w:color w:val="000000"/>
                <w:highlight w:val="yellow"/>
              </w:rPr>
              <w:t>Other Reference Rate</w:t>
            </w:r>
          </w:p>
        </w:tc>
        <w:tc>
          <w:tcPr>
            <w:tcW w:w="4677" w:type="dxa"/>
            <w:noWrap/>
          </w:tcPr>
          <w:p w14:paraId="087DA983" w14:textId="77777777" w:rsidR="00AD5B3B" w:rsidRPr="004D2543" w:rsidRDefault="00AD5B3B" w:rsidP="00452B5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highlight w:val="yellow"/>
                <w:lang w:eastAsia="en-GB"/>
              </w:rPr>
            </w:pPr>
            <w:r w:rsidRPr="004D2543">
              <w:rPr>
                <w:rFonts w:ascii="Calibri" w:hAnsi="Calibri" w:cs="Calibri"/>
                <w:color w:val="000000"/>
                <w:highlight w:val="yellow"/>
              </w:rPr>
              <w:t xml:space="preserve">WHEAT FEED-NYSE </w:t>
            </w:r>
            <w:proofErr w:type="spellStart"/>
            <w:r w:rsidRPr="004D2543">
              <w:rPr>
                <w:rFonts w:ascii="Calibri" w:hAnsi="Calibri" w:cs="Calibri"/>
                <w:color w:val="000000"/>
                <w:highlight w:val="yellow"/>
              </w:rPr>
              <w:t>Liffe</w:t>
            </w:r>
            <w:proofErr w:type="spellEnd"/>
          </w:p>
        </w:tc>
      </w:tr>
    </w:tbl>
    <w:p w14:paraId="4A98A750" w14:textId="77777777" w:rsidR="00AD5B3B" w:rsidRDefault="00AD5B3B" w:rsidP="00AD5B3B"/>
    <w:p w14:paraId="5D577E01" w14:textId="77777777" w:rsidR="00AD5B3B" w:rsidRDefault="00AD5B3B" w:rsidP="00AD5B3B">
      <w:r>
        <w:t>Regardless of the order in which the reference legs are supplied, the DSB assumes the same ISIN would be allocated to the instrument, i.e. the following user entries will be considered the same instrument:</w:t>
      </w:r>
    </w:p>
    <w:p w14:paraId="0089D352" w14:textId="77777777" w:rsidR="00AD5B3B" w:rsidRDefault="00AD5B3B" w:rsidP="00AD5B3B"/>
    <w:tbl>
      <w:tblPr>
        <w:tblStyle w:val="TableGrid"/>
        <w:tblW w:w="8926" w:type="dxa"/>
        <w:tblLook w:val="04A0" w:firstRow="1" w:lastRow="0" w:firstColumn="1" w:lastColumn="0" w:noHBand="0" w:noVBand="1"/>
      </w:tblPr>
      <w:tblGrid>
        <w:gridCol w:w="2972"/>
        <w:gridCol w:w="2977"/>
        <w:gridCol w:w="2977"/>
      </w:tblGrid>
      <w:tr w:rsidR="00AD5B3B" w:rsidRPr="00BB7D6C" w14:paraId="49B910F0" w14:textId="77777777" w:rsidTr="00452B51">
        <w:tc>
          <w:tcPr>
            <w:tcW w:w="2972" w:type="dxa"/>
            <w:vAlign w:val="bottom"/>
          </w:tcPr>
          <w:p w14:paraId="427C93EE" w14:textId="77777777" w:rsidR="00AD5B3B" w:rsidRPr="00D81A81" w:rsidRDefault="00AD5B3B" w:rsidP="00452B51">
            <w:r w:rsidRPr="00D81A81">
              <w:rPr>
                <w:rFonts w:ascii="Calibri" w:hAnsi="Calibri" w:cs="Calibri"/>
                <w:color w:val="000000"/>
              </w:rPr>
              <w:t>Base Product</w:t>
            </w:r>
          </w:p>
        </w:tc>
        <w:tc>
          <w:tcPr>
            <w:tcW w:w="2977" w:type="dxa"/>
            <w:vAlign w:val="bottom"/>
          </w:tcPr>
          <w:p w14:paraId="4043F292" w14:textId="77777777" w:rsidR="00AD5B3B" w:rsidRPr="00D81A81" w:rsidRDefault="00AD5B3B" w:rsidP="00452B51">
            <w:r w:rsidRPr="00D81A81">
              <w:rPr>
                <w:rFonts w:ascii="Calibri" w:hAnsi="Calibri" w:cs="Calibri"/>
                <w:color w:val="000000"/>
              </w:rPr>
              <w:t>NRGY</w:t>
            </w:r>
          </w:p>
        </w:tc>
        <w:tc>
          <w:tcPr>
            <w:tcW w:w="2977" w:type="dxa"/>
            <w:vAlign w:val="bottom"/>
          </w:tcPr>
          <w:p w14:paraId="09BD9991" w14:textId="77777777" w:rsidR="00AD5B3B" w:rsidRPr="00D81A81" w:rsidRDefault="00AD5B3B" w:rsidP="00452B51">
            <w:r w:rsidRPr="00D81A81">
              <w:rPr>
                <w:rFonts w:ascii="Calibri" w:hAnsi="Calibri" w:cs="Calibri"/>
                <w:color w:val="000000"/>
              </w:rPr>
              <w:t>AGRI</w:t>
            </w:r>
          </w:p>
        </w:tc>
      </w:tr>
      <w:tr w:rsidR="00AD5B3B" w:rsidRPr="00BB7D6C" w14:paraId="249F5E6F" w14:textId="77777777" w:rsidTr="00452B51">
        <w:tc>
          <w:tcPr>
            <w:tcW w:w="2972" w:type="dxa"/>
            <w:vAlign w:val="bottom"/>
          </w:tcPr>
          <w:p w14:paraId="5BCBA90B" w14:textId="77777777" w:rsidR="00AD5B3B" w:rsidRPr="00D81A81" w:rsidRDefault="00AD5B3B" w:rsidP="00452B51">
            <w:r w:rsidRPr="00D81A81">
              <w:rPr>
                <w:rFonts w:ascii="Calibri" w:hAnsi="Calibri" w:cs="Calibri"/>
                <w:color w:val="000000"/>
              </w:rPr>
              <w:t>Sub Product</w:t>
            </w:r>
          </w:p>
        </w:tc>
        <w:tc>
          <w:tcPr>
            <w:tcW w:w="2977" w:type="dxa"/>
            <w:vAlign w:val="bottom"/>
          </w:tcPr>
          <w:p w14:paraId="2F20ED61" w14:textId="77777777" w:rsidR="00AD5B3B" w:rsidRPr="00D81A81" w:rsidRDefault="00AD5B3B" w:rsidP="00452B51">
            <w:r w:rsidRPr="00D81A81">
              <w:rPr>
                <w:rFonts w:ascii="Calibri" w:hAnsi="Calibri" w:cs="Calibri"/>
                <w:color w:val="000000"/>
              </w:rPr>
              <w:t>NGAS</w:t>
            </w:r>
          </w:p>
        </w:tc>
        <w:tc>
          <w:tcPr>
            <w:tcW w:w="2977" w:type="dxa"/>
            <w:vAlign w:val="bottom"/>
          </w:tcPr>
          <w:p w14:paraId="1D3F68AC" w14:textId="77777777" w:rsidR="00AD5B3B" w:rsidRPr="00D81A81" w:rsidRDefault="00AD5B3B" w:rsidP="00452B51">
            <w:r w:rsidRPr="00D81A81">
              <w:rPr>
                <w:rFonts w:ascii="Calibri" w:hAnsi="Calibri" w:cs="Calibri"/>
                <w:color w:val="000000"/>
              </w:rPr>
              <w:t>GROS</w:t>
            </w:r>
          </w:p>
        </w:tc>
      </w:tr>
      <w:tr w:rsidR="00AD5B3B" w:rsidRPr="00BB7D6C" w14:paraId="3A62D2C1" w14:textId="77777777" w:rsidTr="00452B51">
        <w:tc>
          <w:tcPr>
            <w:tcW w:w="2972" w:type="dxa"/>
            <w:vAlign w:val="bottom"/>
          </w:tcPr>
          <w:p w14:paraId="10F69AE6" w14:textId="77777777" w:rsidR="00AD5B3B" w:rsidRPr="00D81A81" w:rsidRDefault="00AD5B3B" w:rsidP="00452B51">
            <w:r w:rsidRPr="00D81A81">
              <w:rPr>
                <w:rFonts w:ascii="Calibri" w:hAnsi="Calibri" w:cs="Calibri"/>
                <w:color w:val="000000"/>
              </w:rPr>
              <w:t>Additional Sub Product</w:t>
            </w:r>
          </w:p>
        </w:tc>
        <w:tc>
          <w:tcPr>
            <w:tcW w:w="2977" w:type="dxa"/>
            <w:vAlign w:val="bottom"/>
          </w:tcPr>
          <w:p w14:paraId="5FA12379" w14:textId="77777777" w:rsidR="00AD5B3B" w:rsidRPr="00D81A81" w:rsidRDefault="00AD5B3B" w:rsidP="00452B51">
            <w:r w:rsidRPr="00D81A81">
              <w:rPr>
                <w:rFonts w:ascii="Calibri" w:hAnsi="Calibri" w:cs="Calibri"/>
                <w:color w:val="000000"/>
              </w:rPr>
              <w:t>GASP</w:t>
            </w:r>
          </w:p>
        </w:tc>
        <w:tc>
          <w:tcPr>
            <w:tcW w:w="2977" w:type="dxa"/>
            <w:vAlign w:val="bottom"/>
          </w:tcPr>
          <w:p w14:paraId="43DAC275" w14:textId="77777777" w:rsidR="00AD5B3B" w:rsidRPr="00D81A81" w:rsidRDefault="00AD5B3B" w:rsidP="00452B51">
            <w:r w:rsidRPr="00D81A81">
              <w:rPr>
                <w:rFonts w:ascii="Calibri" w:hAnsi="Calibri" w:cs="Calibri"/>
                <w:color w:val="000000"/>
              </w:rPr>
              <w:t>FWHT</w:t>
            </w:r>
          </w:p>
        </w:tc>
      </w:tr>
      <w:tr w:rsidR="00AD5B3B" w:rsidRPr="00BB7D6C" w14:paraId="3848CB2E" w14:textId="77777777" w:rsidTr="00452B51">
        <w:tc>
          <w:tcPr>
            <w:tcW w:w="2972" w:type="dxa"/>
            <w:vAlign w:val="bottom"/>
          </w:tcPr>
          <w:p w14:paraId="7C3BFE31" w14:textId="77777777" w:rsidR="00AD5B3B" w:rsidRPr="00D81A81" w:rsidRDefault="00AD5B3B" w:rsidP="00452B51">
            <w:pPr>
              <w:rPr>
                <w:rFonts w:ascii="Calibri" w:hAnsi="Calibri" w:cs="Calibri"/>
                <w:color w:val="000000"/>
              </w:rPr>
            </w:pPr>
            <w:r w:rsidRPr="00D81A81">
              <w:rPr>
                <w:rFonts w:ascii="Calibri" w:hAnsi="Calibri" w:cs="Calibri"/>
                <w:color w:val="000000"/>
              </w:rPr>
              <w:t>Other Base Product</w:t>
            </w:r>
          </w:p>
        </w:tc>
        <w:tc>
          <w:tcPr>
            <w:tcW w:w="2977" w:type="dxa"/>
            <w:vAlign w:val="bottom"/>
          </w:tcPr>
          <w:p w14:paraId="249393F7" w14:textId="77777777" w:rsidR="00AD5B3B" w:rsidRPr="00D81A81" w:rsidRDefault="00AD5B3B" w:rsidP="00452B51">
            <w:pPr>
              <w:rPr>
                <w:rFonts w:ascii="Calibri" w:hAnsi="Calibri" w:cs="Calibri"/>
                <w:color w:val="000000"/>
              </w:rPr>
            </w:pPr>
            <w:r w:rsidRPr="00D81A81">
              <w:rPr>
                <w:rFonts w:ascii="Calibri" w:hAnsi="Calibri" w:cs="Calibri"/>
                <w:color w:val="000000"/>
              </w:rPr>
              <w:t>AGRI</w:t>
            </w:r>
          </w:p>
        </w:tc>
        <w:tc>
          <w:tcPr>
            <w:tcW w:w="2977" w:type="dxa"/>
            <w:vAlign w:val="bottom"/>
          </w:tcPr>
          <w:p w14:paraId="4CA02F70" w14:textId="77777777" w:rsidR="00AD5B3B" w:rsidRPr="00D81A81" w:rsidRDefault="00AD5B3B" w:rsidP="00452B51">
            <w:pPr>
              <w:rPr>
                <w:rFonts w:ascii="Calibri" w:hAnsi="Calibri" w:cs="Calibri"/>
                <w:color w:val="000000"/>
              </w:rPr>
            </w:pPr>
            <w:r w:rsidRPr="00D81A81">
              <w:rPr>
                <w:rFonts w:ascii="Calibri" w:hAnsi="Calibri" w:cs="Calibri"/>
                <w:color w:val="000000"/>
              </w:rPr>
              <w:t>NRGY</w:t>
            </w:r>
          </w:p>
        </w:tc>
      </w:tr>
      <w:tr w:rsidR="00AD5B3B" w:rsidRPr="00BB7D6C" w14:paraId="6CACF48D" w14:textId="77777777" w:rsidTr="00452B51">
        <w:tc>
          <w:tcPr>
            <w:tcW w:w="2972" w:type="dxa"/>
            <w:vAlign w:val="bottom"/>
          </w:tcPr>
          <w:p w14:paraId="5BA78857" w14:textId="77777777" w:rsidR="00AD5B3B" w:rsidRPr="00D81A81" w:rsidRDefault="00AD5B3B" w:rsidP="00452B51">
            <w:pPr>
              <w:rPr>
                <w:rFonts w:ascii="Calibri" w:hAnsi="Calibri" w:cs="Calibri"/>
                <w:color w:val="000000"/>
              </w:rPr>
            </w:pPr>
            <w:r w:rsidRPr="00D81A81">
              <w:rPr>
                <w:rFonts w:ascii="Calibri" w:hAnsi="Calibri" w:cs="Calibri"/>
                <w:color w:val="000000"/>
              </w:rPr>
              <w:t>Other Sub Product</w:t>
            </w:r>
          </w:p>
        </w:tc>
        <w:tc>
          <w:tcPr>
            <w:tcW w:w="2977" w:type="dxa"/>
            <w:vAlign w:val="bottom"/>
          </w:tcPr>
          <w:p w14:paraId="45264946" w14:textId="77777777" w:rsidR="00AD5B3B" w:rsidRPr="00D81A81" w:rsidRDefault="00AD5B3B" w:rsidP="00452B51">
            <w:pPr>
              <w:rPr>
                <w:rFonts w:ascii="Calibri" w:hAnsi="Calibri" w:cs="Calibri"/>
                <w:color w:val="000000"/>
              </w:rPr>
            </w:pPr>
            <w:r w:rsidRPr="00D81A81">
              <w:rPr>
                <w:rFonts w:ascii="Calibri" w:hAnsi="Calibri" w:cs="Calibri"/>
                <w:color w:val="000000"/>
              </w:rPr>
              <w:t>GROS</w:t>
            </w:r>
          </w:p>
        </w:tc>
        <w:tc>
          <w:tcPr>
            <w:tcW w:w="2977" w:type="dxa"/>
            <w:vAlign w:val="bottom"/>
          </w:tcPr>
          <w:p w14:paraId="68D5C9D6" w14:textId="77777777" w:rsidR="00AD5B3B" w:rsidRPr="00D81A81" w:rsidRDefault="00AD5B3B" w:rsidP="00452B51">
            <w:pPr>
              <w:rPr>
                <w:rFonts w:ascii="Calibri" w:hAnsi="Calibri" w:cs="Calibri"/>
                <w:color w:val="000000"/>
              </w:rPr>
            </w:pPr>
            <w:r w:rsidRPr="00D81A81">
              <w:rPr>
                <w:rFonts w:ascii="Calibri" w:hAnsi="Calibri" w:cs="Calibri"/>
                <w:color w:val="000000"/>
              </w:rPr>
              <w:t>NGAS</w:t>
            </w:r>
          </w:p>
        </w:tc>
      </w:tr>
      <w:tr w:rsidR="00AD5B3B" w:rsidRPr="00BB7D6C" w14:paraId="1103ABCB" w14:textId="77777777" w:rsidTr="00452B51">
        <w:tc>
          <w:tcPr>
            <w:tcW w:w="2972" w:type="dxa"/>
            <w:vAlign w:val="bottom"/>
          </w:tcPr>
          <w:p w14:paraId="422EAEF2" w14:textId="77777777" w:rsidR="00AD5B3B" w:rsidRPr="00D81A81" w:rsidRDefault="00AD5B3B" w:rsidP="00452B51">
            <w:pPr>
              <w:rPr>
                <w:rFonts w:ascii="Calibri" w:hAnsi="Calibri" w:cs="Calibri"/>
                <w:color w:val="000000"/>
              </w:rPr>
            </w:pPr>
            <w:r w:rsidRPr="00D81A81">
              <w:rPr>
                <w:rFonts w:ascii="Calibri" w:hAnsi="Calibri" w:cs="Calibri"/>
                <w:color w:val="000000"/>
              </w:rPr>
              <w:t>Other Additional Sub Product</w:t>
            </w:r>
          </w:p>
        </w:tc>
        <w:tc>
          <w:tcPr>
            <w:tcW w:w="2977" w:type="dxa"/>
            <w:vAlign w:val="bottom"/>
          </w:tcPr>
          <w:p w14:paraId="13FA5F25" w14:textId="77777777" w:rsidR="00AD5B3B" w:rsidRPr="00D81A81" w:rsidRDefault="00AD5B3B" w:rsidP="00452B51">
            <w:pPr>
              <w:rPr>
                <w:rFonts w:ascii="Calibri" w:hAnsi="Calibri" w:cs="Calibri"/>
                <w:color w:val="000000"/>
              </w:rPr>
            </w:pPr>
            <w:r w:rsidRPr="00D81A81">
              <w:rPr>
                <w:rFonts w:ascii="Calibri" w:hAnsi="Calibri" w:cs="Calibri"/>
                <w:color w:val="000000"/>
              </w:rPr>
              <w:t>FWHT</w:t>
            </w:r>
          </w:p>
        </w:tc>
        <w:tc>
          <w:tcPr>
            <w:tcW w:w="2977" w:type="dxa"/>
            <w:vAlign w:val="bottom"/>
          </w:tcPr>
          <w:p w14:paraId="0720D122" w14:textId="77777777" w:rsidR="00AD5B3B" w:rsidRPr="00D81A81" w:rsidRDefault="00AD5B3B" w:rsidP="00452B51">
            <w:pPr>
              <w:rPr>
                <w:rFonts w:ascii="Calibri" w:hAnsi="Calibri" w:cs="Calibri"/>
                <w:color w:val="000000"/>
              </w:rPr>
            </w:pPr>
            <w:r w:rsidRPr="00D81A81">
              <w:rPr>
                <w:rFonts w:ascii="Calibri" w:hAnsi="Calibri" w:cs="Calibri"/>
                <w:color w:val="000000"/>
              </w:rPr>
              <w:t>GASP</w:t>
            </w:r>
          </w:p>
        </w:tc>
      </w:tr>
      <w:tr w:rsidR="00AD5B3B" w:rsidRPr="00BB7D6C" w14:paraId="66E91D92" w14:textId="77777777" w:rsidTr="00452B51">
        <w:tc>
          <w:tcPr>
            <w:tcW w:w="2972" w:type="dxa"/>
            <w:vAlign w:val="bottom"/>
          </w:tcPr>
          <w:p w14:paraId="54E24530" w14:textId="77777777" w:rsidR="00AD5B3B" w:rsidRPr="00D81A81" w:rsidRDefault="00AD5B3B" w:rsidP="00452B51">
            <w:pPr>
              <w:rPr>
                <w:rFonts w:ascii="Calibri" w:hAnsi="Calibri" w:cs="Calibri"/>
                <w:color w:val="000000"/>
              </w:rPr>
            </w:pPr>
            <w:r w:rsidRPr="00D81A81">
              <w:rPr>
                <w:rFonts w:ascii="Calibri" w:hAnsi="Calibri" w:cs="Calibri"/>
                <w:color w:val="000000"/>
              </w:rPr>
              <w:t>Reference Rate</w:t>
            </w:r>
          </w:p>
        </w:tc>
        <w:tc>
          <w:tcPr>
            <w:tcW w:w="2977" w:type="dxa"/>
            <w:vAlign w:val="bottom"/>
          </w:tcPr>
          <w:p w14:paraId="0785365B" w14:textId="77777777" w:rsidR="00AD5B3B" w:rsidRPr="00D81A81" w:rsidRDefault="00AD5B3B" w:rsidP="00452B51">
            <w:pPr>
              <w:rPr>
                <w:rFonts w:ascii="Calibri" w:hAnsi="Calibri" w:cs="Calibri"/>
                <w:color w:val="000000"/>
              </w:rPr>
            </w:pPr>
            <w:r w:rsidRPr="00D81A81">
              <w:rPr>
                <w:rFonts w:ascii="Calibri" w:hAnsi="Calibri" w:cs="Calibri"/>
                <w:color w:val="000000"/>
              </w:rPr>
              <w:t>NATURAL GAS-CHICAGO CITY-GATES-INSIDE FERC</w:t>
            </w:r>
          </w:p>
        </w:tc>
        <w:tc>
          <w:tcPr>
            <w:tcW w:w="2977" w:type="dxa"/>
            <w:vAlign w:val="bottom"/>
          </w:tcPr>
          <w:p w14:paraId="1C82F476" w14:textId="77777777" w:rsidR="00AD5B3B" w:rsidRPr="00D81A81" w:rsidRDefault="00AD5B3B" w:rsidP="00452B51">
            <w:pPr>
              <w:rPr>
                <w:rFonts w:ascii="Calibri" w:hAnsi="Calibri" w:cs="Calibri"/>
                <w:color w:val="000000"/>
              </w:rPr>
            </w:pPr>
            <w:r w:rsidRPr="00D81A81">
              <w:rPr>
                <w:rFonts w:ascii="Calibri" w:hAnsi="Calibri" w:cs="Calibri"/>
                <w:color w:val="000000"/>
              </w:rPr>
              <w:t xml:space="preserve">WHEAT FEED-NYSE </w:t>
            </w:r>
            <w:proofErr w:type="spellStart"/>
            <w:r w:rsidRPr="00D81A81">
              <w:rPr>
                <w:rFonts w:ascii="Calibri" w:hAnsi="Calibri" w:cs="Calibri"/>
                <w:color w:val="000000"/>
              </w:rPr>
              <w:t>Liffe</w:t>
            </w:r>
            <w:proofErr w:type="spellEnd"/>
          </w:p>
        </w:tc>
      </w:tr>
      <w:tr w:rsidR="00AD5B3B" w:rsidRPr="00BB7D6C" w14:paraId="23E4B0EF" w14:textId="77777777" w:rsidTr="00452B51">
        <w:tc>
          <w:tcPr>
            <w:tcW w:w="2972" w:type="dxa"/>
            <w:vAlign w:val="bottom"/>
          </w:tcPr>
          <w:p w14:paraId="1820478D" w14:textId="77777777" w:rsidR="00AD5B3B" w:rsidRPr="00D81A81" w:rsidRDefault="00AD5B3B" w:rsidP="00452B51">
            <w:pPr>
              <w:rPr>
                <w:rFonts w:ascii="Calibri" w:hAnsi="Calibri" w:cs="Calibri"/>
                <w:color w:val="000000"/>
              </w:rPr>
            </w:pPr>
            <w:r w:rsidRPr="00D81A81">
              <w:rPr>
                <w:rFonts w:ascii="Calibri" w:hAnsi="Calibri" w:cs="Calibri"/>
                <w:color w:val="000000"/>
              </w:rPr>
              <w:t>Other Reference Rate</w:t>
            </w:r>
          </w:p>
        </w:tc>
        <w:tc>
          <w:tcPr>
            <w:tcW w:w="2977" w:type="dxa"/>
            <w:vAlign w:val="bottom"/>
          </w:tcPr>
          <w:p w14:paraId="2965BA13" w14:textId="77777777" w:rsidR="00AD5B3B" w:rsidRPr="00D81A81" w:rsidRDefault="00AD5B3B" w:rsidP="00452B51">
            <w:pPr>
              <w:rPr>
                <w:rFonts w:ascii="Calibri" w:hAnsi="Calibri" w:cs="Calibri"/>
                <w:color w:val="000000"/>
              </w:rPr>
            </w:pPr>
            <w:r w:rsidRPr="00D81A81">
              <w:rPr>
                <w:rFonts w:ascii="Calibri" w:hAnsi="Calibri" w:cs="Calibri"/>
                <w:color w:val="000000"/>
              </w:rPr>
              <w:t xml:space="preserve">WHEAT FEED-NYSE </w:t>
            </w:r>
            <w:proofErr w:type="spellStart"/>
            <w:r w:rsidRPr="00D81A81">
              <w:rPr>
                <w:rFonts w:ascii="Calibri" w:hAnsi="Calibri" w:cs="Calibri"/>
                <w:color w:val="000000"/>
              </w:rPr>
              <w:t>Liffe</w:t>
            </w:r>
            <w:proofErr w:type="spellEnd"/>
          </w:p>
        </w:tc>
        <w:tc>
          <w:tcPr>
            <w:tcW w:w="2977" w:type="dxa"/>
            <w:vAlign w:val="bottom"/>
          </w:tcPr>
          <w:p w14:paraId="3EA03A2D" w14:textId="77777777" w:rsidR="00AD5B3B" w:rsidRPr="00D81A81" w:rsidRDefault="00AD5B3B" w:rsidP="00452B51">
            <w:pPr>
              <w:rPr>
                <w:rFonts w:ascii="Calibri" w:hAnsi="Calibri" w:cs="Calibri"/>
                <w:color w:val="000000"/>
              </w:rPr>
            </w:pPr>
            <w:r w:rsidRPr="00D81A81">
              <w:rPr>
                <w:rFonts w:ascii="Calibri" w:hAnsi="Calibri" w:cs="Calibri"/>
                <w:color w:val="000000"/>
              </w:rPr>
              <w:t>NATURAL GAS-CHICAGO CITY-GATES-INSIDE FERC</w:t>
            </w:r>
          </w:p>
        </w:tc>
      </w:tr>
    </w:tbl>
    <w:p w14:paraId="17647979" w14:textId="77777777" w:rsidR="00AD5B3B" w:rsidRPr="00BB7D6C" w:rsidRDefault="00AD5B3B" w:rsidP="00AD5B3B"/>
    <w:p w14:paraId="0494D6BA" w14:textId="77777777" w:rsidR="00AD5B3B" w:rsidRDefault="00AD5B3B" w:rsidP="00AD5B3B">
      <w:r>
        <w:t xml:space="preserve">The DSB will normalize data submitted by the user to ensure that the same ISIN is returned for a given set of attributes. </w:t>
      </w:r>
    </w:p>
    <w:p w14:paraId="5CFE40C9" w14:textId="77777777" w:rsidR="00AD5B3B" w:rsidRDefault="00AD5B3B" w:rsidP="00AD5B3B"/>
    <w:p w14:paraId="21084719" w14:textId="77777777" w:rsidR="00AD5B3B" w:rsidRDefault="00AD5B3B" w:rsidP="00AD5B3B">
      <w:r>
        <w:t>Normalization rules:</w:t>
      </w:r>
    </w:p>
    <w:p w14:paraId="559C4905" w14:textId="77777777" w:rsidR="00AD5B3B" w:rsidRDefault="00AD5B3B" w:rsidP="00AD5B3B"/>
    <w:p w14:paraId="67AA34D5" w14:textId="77777777" w:rsidR="00AD5B3B" w:rsidRDefault="00AD5B3B" w:rsidP="00AD5B3B">
      <w:r w:rsidRPr="00BB7D6C">
        <w:lastRenderedPageBreak/>
        <w:t xml:space="preserve">Order alphabetically </w:t>
      </w:r>
      <w:r>
        <w:t xml:space="preserve">the combination string of </w:t>
      </w:r>
      <w:r w:rsidRPr="00BB7D6C">
        <w:t>“</w:t>
      </w:r>
      <w:r>
        <w:t>Base Product + Sub Product + Additional Sub Product + Reference Rate</w:t>
      </w:r>
      <w:r w:rsidRPr="00BB7D6C">
        <w:t>”</w:t>
      </w:r>
      <w:r>
        <w:t xml:space="preserve"> and “Other Base Product + Other Sub Product + Other Additional Sub Product + Other Reference Rate”:</w:t>
      </w:r>
    </w:p>
    <w:p w14:paraId="07B9BE6D" w14:textId="77777777" w:rsidR="00AD5B3B" w:rsidRDefault="00AD5B3B" w:rsidP="00AD5B3B"/>
    <w:p w14:paraId="7BCB166A" w14:textId="77777777" w:rsidR="00AD5B3B" w:rsidRPr="00D632FC" w:rsidRDefault="00AD5B3B" w:rsidP="00AD5B3B">
      <w:pPr>
        <w:pStyle w:val="ListParagraph"/>
        <w:numPr>
          <w:ilvl w:val="0"/>
          <w:numId w:val="16"/>
        </w:numPr>
      </w:pPr>
      <w:r w:rsidRPr="00D632FC">
        <w:t xml:space="preserve">If “Base Product” and “Other Base Product” are different – alphabetically order them. The Base Product should be the first alphabetically and Other Base Product the second alphabetically. </w:t>
      </w:r>
      <w:r>
        <w:t>The associated attributes (Sub Product + Additional Sub Product + Reference Rate) are then moved as part of the normalization.</w:t>
      </w:r>
    </w:p>
    <w:p w14:paraId="3927D0E7" w14:textId="77777777" w:rsidR="00AD5B3B" w:rsidRPr="00D632FC" w:rsidRDefault="00AD5B3B" w:rsidP="00AD5B3B"/>
    <w:p w14:paraId="4785F314" w14:textId="77777777" w:rsidR="00AD5B3B" w:rsidRPr="00D632FC" w:rsidRDefault="00AD5B3B" w:rsidP="00AD5B3B">
      <w:pPr>
        <w:pStyle w:val="ListParagraph"/>
        <w:numPr>
          <w:ilvl w:val="0"/>
          <w:numId w:val="16"/>
        </w:numPr>
      </w:pPr>
      <w:r w:rsidRPr="00D632FC">
        <w:t>Otherwise</w:t>
      </w:r>
      <w:r>
        <w:t xml:space="preserve"> if Base Product and Other Base Product are the same</w:t>
      </w:r>
      <w:r w:rsidRPr="00D632FC">
        <w:t>,</w:t>
      </w:r>
      <w:r>
        <w:t xml:space="preserve"> and</w:t>
      </w:r>
      <w:r w:rsidRPr="00D632FC">
        <w:t xml:space="preserve"> if “Sub product” and “Other Sub product” are different – alphabetically order them. The Sub Product should be the first alphabetically and Other Sub Product the second alphabetically.</w:t>
      </w:r>
      <w:r w:rsidRPr="00E73BA0">
        <w:t xml:space="preserve"> </w:t>
      </w:r>
      <w:r>
        <w:t>The associated attributes (Additional Sub Product + Reference Rate) are then moved as part of the normalization.</w:t>
      </w:r>
    </w:p>
    <w:p w14:paraId="78CB12D7" w14:textId="77777777" w:rsidR="00AD5B3B" w:rsidRPr="00D632FC" w:rsidRDefault="00AD5B3B" w:rsidP="00AD5B3B"/>
    <w:p w14:paraId="219EB460" w14:textId="77777777" w:rsidR="00AD5B3B" w:rsidRPr="00D632FC" w:rsidRDefault="00AD5B3B" w:rsidP="00AD5B3B">
      <w:pPr>
        <w:pStyle w:val="ListParagraph"/>
        <w:numPr>
          <w:ilvl w:val="0"/>
          <w:numId w:val="16"/>
        </w:numPr>
      </w:pPr>
      <w:r w:rsidRPr="00D632FC">
        <w:t>Otherwise</w:t>
      </w:r>
      <w:r>
        <w:t xml:space="preserve"> if Base Product and Sub Product are the same as Other Base Product and Other Sub Product</w:t>
      </w:r>
      <w:r w:rsidRPr="00D632FC">
        <w:t xml:space="preserve">, </w:t>
      </w:r>
      <w:r>
        <w:t xml:space="preserve">and </w:t>
      </w:r>
      <w:r w:rsidRPr="00D632FC">
        <w:t>if “Additional Sub Product” and “Other Additional Sub product” are different – alphabetically order them. The Additional Sub Product should be the first alphabetically and Other Additional Sub Product the second alphabetically.</w:t>
      </w:r>
      <w:r>
        <w:t xml:space="preserve"> The associated Reference Rate is then moved as part of the normalization.</w:t>
      </w:r>
    </w:p>
    <w:p w14:paraId="607A7A80" w14:textId="77777777" w:rsidR="00AD5B3B" w:rsidRPr="00D632FC" w:rsidRDefault="00AD5B3B" w:rsidP="00AD5B3B"/>
    <w:p w14:paraId="55BA601C" w14:textId="77777777" w:rsidR="00AD5B3B" w:rsidRPr="00D632FC" w:rsidRDefault="00AD5B3B" w:rsidP="00AD5B3B">
      <w:pPr>
        <w:pStyle w:val="ListParagraph"/>
        <w:numPr>
          <w:ilvl w:val="0"/>
          <w:numId w:val="16"/>
        </w:numPr>
      </w:pPr>
      <w:r w:rsidRPr="00D632FC">
        <w:t>If “Base Product/ Sub Product/ Additional Sub Product” and “Other Base Product/ Other Sub Product/ Other Additional Sub Product” are the same, alphabetically order Reference Rate and Other Reference Rate.</w:t>
      </w:r>
    </w:p>
    <w:p w14:paraId="6A05E351" w14:textId="234631BD" w:rsidR="00AD5B3B" w:rsidRDefault="00AD5B3B" w:rsidP="00AD5B3B">
      <w:pPr>
        <w:shd w:val="clear" w:color="auto" w:fill="FFFFFF"/>
        <w:spacing w:before="150"/>
      </w:pPr>
    </w:p>
    <w:p w14:paraId="48C34FE7" w14:textId="77777777" w:rsidR="00463039" w:rsidRDefault="00463039" w:rsidP="00463039">
      <w:pPr>
        <w:pStyle w:val="Heading2"/>
        <w:ind w:left="567"/>
      </w:pPr>
      <w:bookmarkStart w:id="47" w:name="_Toc500926784"/>
      <w:bookmarkStart w:id="48" w:name="_Toc527364495"/>
      <w:r>
        <w:t>Equity Index normalization</w:t>
      </w:r>
      <w:bookmarkEnd w:id="47"/>
      <w:bookmarkEnd w:id="48"/>
    </w:p>
    <w:p w14:paraId="07DD1EC6" w14:textId="77777777" w:rsidR="00463039" w:rsidRDefault="00463039" w:rsidP="00463039"/>
    <w:p w14:paraId="48F23AD7" w14:textId="77777777" w:rsidR="00463039" w:rsidRDefault="00463039" w:rsidP="00463039">
      <w:r>
        <w:t>For any given submission of an Equity Index name, the DSB will validate against the existence of an ISIN and return the Index ISIN as part of the record in place of the Index name. If a valid ISIN is not on record, the Index name will be returned as input by the user. List of Equity Indices and associated ISINs can be found in Annex 7 – Indices on our GitHub.</w:t>
      </w:r>
    </w:p>
    <w:p w14:paraId="210E16EA" w14:textId="0AE1F76D" w:rsidR="00AD5B3B" w:rsidRDefault="00AD5B3B" w:rsidP="00AD5B3B"/>
    <w:p w14:paraId="19DDBF95" w14:textId="32FC6B1B" w:rsidR="00463039" w:rsidRDefault="00463039" w:rsidP="00AD5B3B"/>
    <w:p w14:paraId="18A5B211" w14:textId="0521A760" w:rsidR="00463039" w:rsidRDefault="00463039" w:rsidP="00AD5B3B"/>
    <w:p w14:paraId="4CEB0D75" w14:textId="77777777" w:rsidR="00463039" w:rsidRDefault="00463039">
      <w:r>
        <w:br w:type="page"/>
      </w:r>
    </w:p>
    <w:p w14:paraId="3491D837" w14:textId="77777777" w:rsidR="00AD5B3B" w:rsidRDefault="00AD5B3B" w:rsidP="00AD5B3B">
      <w:pPr>
        <w:pStyle w:val="Heading1"/>
      </w:pPr>
      <w:bookmarkStart w:id="49" w:name="_Toc500926781"/>
      <w:bookmarkStart w:id="50" w:name="_Toc527364496"/>
      <w:r>
        <w:lastRenderedPageBreak/>
        <w:t>Appendix II - Validations</w:t>
      </w:r>
      <w:bookmarkEnd w:id="49"/>
      <w:bookmarkEnd w:id="50"/>
    </w:p>
    <w:p w14:paraId="5A207B37" w14:textId="77777777" w:rsidR="00AD5B3B" w:rsidRDefault="00AD5B3B" w:rsidP="00AD5B3B">
      <w:pPr>
        <w:pStyle w:val="Heading2"/>
        <w:ind w:left="567"/>
      </w:pPr>
      <w:bookmarkStart w:id="51" w:name="_Toc495422693"/>
      <w:bookmarkStart w:id="52" w:name="_Toc500926782"/>
      <w:bookmarkStart w:id="53" w:name="_Toc527364497"/>
      <w:r>
        <w:t>General Validations</w:t>
      </w:r>
      <w:bookmarkEnd w:id="51"/>
      <w:bookmarkEnd w:id="52"/>
      <w:bookmarkEnd w:id="53"/>
    </w:p>
    <w:p w14:paraId="2B23C087" w14:textId="77777777" w:rsidR="00AD5B3B" w:rsidRDefault="00AD5B3B" w:rsidP="00AD5B3B"/>
    <w:tbl>
      <w:tblPr>
        <w:tblStyle w:val="GridTable4-Accent5"/>
        <w:tblW w:w="0" w:type="dxa"/>
        <w:tblLook w:val="04A0" w:firstRow="1" w:lastRow="0" w:firstColumn="1" w:lastColumn="0" w:noHBand="0" w:noVBand="1"/>
      </w:tblPr>
      <w:tblGrid>
        <w:gridCol w:w="2251"/>
        <w:gridCol w:w="6765"/>
      </w:tblGrid>
      <w:tr w:rsidR="00973485" w:rsidRPr="00F61043" w14:paraId="433FDCAB" w14:textId="77777777" w:rsidTr="00452B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9DC2D4" w14:textId="77777777" w:rsidR="00AD5B3B" w:rsidRPr="00F61043" w:rsidRDefault="00AD5B3B" w:rsidP="00452B51">
            <w:pPr>
              <w:spacing w:before="75" w:after="75"/>
              <w:jc w:val="center"/>
              <w:rPr>
                <w:rFonts w:eastAsia="Times New Roman" w:cstheme="minorHAnsi"/>
                <w:lang w:eastAsia="en-GB"/>
              </w:rPr>
            </w:pPr>
            <w:r w:rsidRPr="00F61043">
              <w:rPr>
                <w:rFonts w:eastAsia="Times New Roman" w:cstheme="minorHAnsi"/>
                <w:lang w:eastAsia="en-GB"/>
              </w:rPr>
              <w:t>Field</w:t>
            </w:r>
          </w:p>
        </w:tc>
        <w:tc>
          <w:tcPr>
            <w:tcW w:w="0" w:type="auto"/>
            <w:hideMark/>
          </w:tcPr>
          <w:p w14:paraId="6047F2F0" w14:textId="77777777" w:rsidR="00AD5B3B" w:rsidRPr="00F61043" w:rsidRDefault="00AD5B3B" w:rsidP="00452B51">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Error message</w:t>
            </w:r>
          </w:p>
        </w:tc>
      </w:tr>
      <w:tr w:rsidR="00973485" w:rsidRPr="00F61043" w14:paraId="342705C8"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017327"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Expiry Date</w:t>
            </w:r>
          </w:p>
        </w:tc>
        <w:tc>
          <w:tcPr>
            <w:tcW w:w="0" w:type="auto"/>
            <w:hideMark/>
          </w:tcPr>
          <w:p w14:paraId="46AB4947" w14:textId="77777777" w:rsidR="00AD5B3B" w:rsidRPr="00F61043" w:rsidRDefault="00AD5B3B" w:rsidP="00452B51">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Expiry Date must be in the “YYYY-MM-DD” format.</w:t>
            </w:r>
            <w:r w:rsidRPr="00F61043">
              <w:rPr>
                <w:rFonts w:eastAsia="Times New Roman" w:cstheme="minorHAnsi"/>
                <w:lang w:eastAsia="en-GB"/>
              </w:rPr>
              <w:br/>
              <w:t>Expiry Date cannot be less than “1970-01-01”.</w:t>
            </w:r>
            <w:r w:rsidRPr="00F61043">
              <w:rPr>
                <w:rFonts w:eastAsia="Times New Roman" w:cstheme="minorHAnsi"/>
                <w:lang w:eastAsia="en-GB"/>
              </w:rPr>
              <w:br/>
              <w:t>Expiry Date cannot be greater than “2500-12-31”.</w:t>
            </w:r>
          </w:p>
        </w:tc>
      </w:tr>
      <w:tr w:rsidR="00973485" w:rsidRPr="00F61043" w14:paraId="230A0148" w14:textId="77777777" w:rsidTr="00452B51">
        <w:tc>
          <w:tcPr>
            <w:cnfStyle w:val="001000000000" w:firstRow="0" w:lastRow="0" w:firstColumn="1" w:lastColumn="0" w:oddVBand="0" w:evenVBand="0" w:oddHBand="0" w:evenHBand="0" w:firstRowFirstColumn="0" w:firstRowLastColumn="0" w:lastRowFirstColumn="0" w:lastRowLastColumn="0"/>
            <w:tcW w:w="0" w:type="auto"/>
          </w:tcPr>
          <w:p w14:paraId="58158D17"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Notional Currency</w:t>
            </w:r>
          </w:p>
        </w:tc>
        <w:tc>
          <w:tcPr>
            <w:tcW w:w="0" w:type="auto"/>
          </w:tcPr>
          <w:p w14:paraId="4DD2977A" w14:textId="77777777" w:rsidR="00AD5B3B" w:rsidRPr="00F61043" w:rsidRDefault="00AD5B3B" w:rsidP="00452B51">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Must be different to Other Notional Currency</w:t>
            </w:r>
          </w:p>
        </w:tc>
      </w:tr>
      <w:tr w:rsidR="00973485" w:rsidRPr="00F61043" w14:paraId="1D57708E"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DFF874"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Other Leg Reference Rate Term Value</w:t>
            </w:r>
          </w:p>
        </w:tc>
        <w:tc>
          <w:tcPr>
            <w:tcW w:w="0" w:type="auto"/>
            <w:hideMark/>
          </w:tcPr>
          <w:p w14:paraId="184B570E" w14:textId="07360DB0" w:rsidR="00AD5B3B" w:rsidRPr="00F61043" w:rsidRDefault="00AD5B3B" w:rsidP="00452B51">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Other Leg Reference Rate Term Value cannon be less than -999.</w:t>
            </w:r>
            <w:r w:rsidRPr="00F61043">
              <w:rPr>
                <w:rFonts w:eastAsia="Times New Roman" w:cstheme="minorHAnsi"/>
                <w:lang w:eastAsia="en-GB"/>
              </w:rPr>
              <w:br/>
              <w:t>Other Leg Reference Rate Term Value cannon be greater than 999.</w:t>
            </w:r>
            <w:r w:rsidRPr="00F61043">
              <w:rPr>
                <w:rFonts w:eastAsia="Times New Roman" w:cstheme="minorHAnsi"/>
                <w:lang w:eastAsia="en-GB"/>
              </w:rPr>
              <w:br/>
              <w:t>Other Leg Reference Rate Term Value must not be 0</w:t>
            </w:r>
            <w:r w:rsidR="00973485">
              <w:rPr>
                <w:rFonts w:eastAsia="Times New Roman" w:cstheme="minorHAnsi"/>
                <w:lang w:eastAsia="en-GB"/>
              </w:rPr>
              <w:t xml:space="preserve"> (except for non-standard definitions where there is more than 1 underlying rate)</w:t>
            </w:r>
            <w:r w:rsidRPr="00F61043">
              <w:rPr>
                <w:rFonts w:eastAsia="Times New Roman" w:cstheme="minorHAnsi"/>
                <w:lang w:eastAsia="en-GB"/>
              </w:rPr>
              <w:t>.</w:t>
            </w:r>
          </w:p>
        </w:tc>
      </w:tr>
      <w:tr w:rsidR="00973485" w:rsidRPr="00F61043" w14:paraId="594059BE" w14:textId="77777777" w:rsidTr="00452B51">
        <w:tc>
          <w:tcPr>
            <w:cnfStyle w:val="001000000000" w:firstRow="0" w:lastRow="0" w:firstColumn="1" w:lastColumn="0" w:oddVBand="0" w:evenVBand="0" w:oddHBand="0" w:evenHBand="0" w:firstRowFirstColumn="0" w:firstRowLastColumn="0" w:lastRowFirstColumn="0" w:lastRowLastColumn="0"/>
            <w:tcW w:w="0" w:type="auto"/>
          </w:tcPr>
          <w:p w14:paraId="3E85C177"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Other Notional Currency</w:t>
            </w:r>
          </w:p>
        </w:tc>
        <w:tc>
          <w:tcPr>
            <w:tcW w:w="0" w:type="auto"/>
          </w:tcPr>
          <w:p w14:paraId="2C5BCFD1" w14:textId="77777777" w:rsidR="00AD5B3B" w:rsidRPr="00F61043" w:rsidRDefault="00AD5B3B" w:rsidP="00452B51">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Must be different to Notional Currency</w:t>
            </w:r>
          </w:p>
        </w:tc>
      </w:tr>
      <w:tr w:rsidR="00973485" w:rsidRPr="00F61043" w14:paraId="4D0B37D8"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FBF8B"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Price Multiplier</w:t>
            </w:r>
          </w:p>
        </w:tc>
        <w:tc>
          <w:tcPr>
            <w:tcW w:w="0" w:type="auto"/>
            <w:hideMark/>
          </w:tcPr>
          <w:p w14:paraId="1B23F218" w14:textId="77777777" w:rsidR="00AD5B3B" w:rsidRPr="00F61043" w:rsidRDefault="00AD5B3B" w:rsidP="00452B51">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Price Multiplier must be greater than 0.</w:t>
            </w:r>
            <w:r w:rsidRPr="00F61043">
              <w:rPr>
                <w:rFonts w:eastAsia="Times New Roman" w:cstheme="minorHAnsi"/>
                <w:lang w:eastAsia="en-GB"/>
              </w:rPr>
              <w:br/>
              <w:t>Price Multiplier cannot be greater 99999999999999999 </w:t>
            </w:r>
          </w:p>
        </w:tc>
      </w:tr>
      <w:tr w:rsidR="00973485" w:rsidRPr="00F61043" w14:paraId="65813F09" w14:textId="77777777" w:rsidTr="00452B51">
        <w:tc>
          <w:tcPr>
            <w:cnfStyle w:val="001000000000" w:firstRow="0" w:lastRow="0" w:firstColumn="1" w:lastColumn="0" w:oddVBand="0" w:evenVBand="0" w:oddHBand="0" w:evenHBand="0" w:firstRowFirstColumn="0" w:firstRowLastColumn="0" w:lastRowFirstColumn="0" w:lastRowLastColumn="0"/>
            <w:tcW w:w="0" w:type="auto"/>
            <w:hideMark/>
          </w:tcPr>
          <w:p w14:paraId="426A2AFE"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Reference Rate Term Value</w:t>
            </w:r>
          </w:p>
        </w:tc>
        <w:tc>
          <w:tcPr>
            <w:tcW w:w="0" w:type="auto"/>
            <w:hideMark/>
          </w:tcPr>
          <w:p w14:paraId="7E001DB9" w14:textId="204952E1" w:rsidR="00AD5B3B" w:rsidRPr="00F61043" w:rsidRDefault="00AD5B3B" w:rsidP="00452B51">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Reference Rate Term Value cannon be less than -999.</w:t>
            </w:r>
            <w:r w:rsidRPr="00F61043">
              <w:rPr>
                <w:rFonts w:eastAsia="Times New Roman" w:cstheme="minorHAnsi"/>
                <w:lang w:eastAsia="en-GB"/>
              </w:rPr>
              <w:br/>
              <w:t>Reference Rate Term Value cannon be greater than 999.</w:t>
            </w:r>
            <w:r w:rsidRPr="00F61043">
              <w:rPr>
                <w:rFonts w:eastAsia="Times New Roman" w:cstheme="minorHAnsi"/>
                <w:lang w:eastAsia="en-GB"/>
              </w:rPr>
              <w:br/>
              <w:t>Reference Rate Term Value must not be 0</w:t>
            </w:r>
            <w:r w:rsidR="00973485">
              <w:rPr>
                <w:rFonts w:eastAsia="Times New Roman" w:cstheme="minorHAnsi"/>
                <w:lang w:eastAsia="en-GB"/>
              </w:rPr>
              <w:t xml:space="preserve"> </w:t>
            </w:r>
            <w:r w:rsidR="00973485" w:rsidRPr="00F61043">
              <w:rPr>
                <w:rFonts w:eastAsia="Times New Roman" w:cstheme="minorHAnsi"/>
                <w:lang w:eastAsia="en-GB"/>
              </w:rPr>
              <w:t>0</w:t>
            </w:r>
            <w:r w:rsidR="00973485">
              <w:rPr>
                <w:rFonts w:eastAsia="Times New Roman" w:cstheme="minorHAnsi"/>
                <w:lang w:eastAsia="en-GB"/>
              </w:rPr>
              <w:t xml:space="preserve"> (except for non-standard definitions where there is more than 1 underlying rate)</w:t>
            </w:r>
            <w:r w:rsidR="00973485" w:rsidRPr="00F61043">
              <w:rPr>
                <w:rFonts w:eastAsia="Times New Roman" w:cstheme="minorHAnsi"/>
                <w:lang w:eastAsia="en-GB"/>
              </w:rPr>
              <w:t>.</w:t>
            </w:r>
          </w:p>
        </w:tc>
      </w:tr>
      <w:tr w:rsidR="00973485" w:rsidRPr="00F61043" w14:paraId="3E434A4F"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5C2DCA"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Strike Price</w:t>
            </w:r>
          </w:p>
        </w:tc>
        <w:tc>
          <w:tcPr>
            <w:tcW w:w="0" w:type="auto"/>
            <w:hideMark/>
          </w:tcPr>
          <w:p w14:paraId="0CA021A0" w14:textId="77777777" w:rsidR="003904A9" w:rsidRDefault="003904A9" w:rsidP="00452B51">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proofErr w:type="spellStart"/>
            <w:r w:rsidRPr="003904A9">
              <w:rPr>
                <w:rFonts w:eastAsia="Times New Roman" w:cstheme="minorHAnsi"/>
                <w:b/>
                <w:lang w:eastAsia="en-GB"/>
              </w:rPr>
              <w:t>Std</w:t>
            </w:r>
            <w:proofErr w:type="spellEnd"/>
            <w:r w:rsidRPr="003904A9">
              <w:rPr>
                <w:rFonts w:eastAsia="Times New Roman" w:cstheme="minorHAnsi"/>
                <w:b/>
                <w:lang w:eastAsia="en-GB"/>
              </w:rPr>
              <w:t xml:space="preserve"> Products</w:t>
            </w:r>
            <w:r>
              <w:rPr>
                <w:rFonts w:eastAsia="Times New Roman" w:cstheme="minorHAnsi"/>
                <w:lang w:eastAsia="en-GB"/>
              </w:rPr>
              <w:t xml:space="preserve">: </w:t>
            </w:r>
            <w:r w:rsidR="00AD5B3B" w:rsidRPr="00F61043">
              <w:rPr>
                <w:rFonts w:eastAsia="Times New Roman" w:cstheme="minorHAnsi"/>
                <w:lang w:eastAsia="en-GB"/>
              </w:rPr>
              <w:t>Strike Price must be greater than 0.</w:t>
            </w:r>
          </w:p>
          <w:p w14:paraId="2D5558FA" w14:textId="0B83AC77" w:rsidR="00AD5B3B" w:rsidRPr="00F61043" w:rsidRDefault="003904A9" w:rsidP="00452B51">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3904A9">
              <w:rPr>
                <w:rFonts w:eastAsia="Times New Roman" w:cstheme="minorHAnsi"/>
                <w:b/>
                <w:lang w:eastAsia="en-GB"/>
              </w:rPr>
              <w:t>Non-</w:t>
            </w:r>
            <w:proofErr w:type="spellStart"/>
            <w:r w:rsidRPr="003904A9">
              <w:rPr>
                <w:rFonts w:eastAsia="Times New Roman" w:cstheme="minorHAnsi"/>
                <w:b/>
                <w:lang w:eastAsia="en-GB"/>
              </w:rPr>
              <w:t>Std</w:t>
            </w:r>
            <w:proofErr w:type="spellEnd"/>
            <w:r w:rsidRPr="003904A9">
              <w:rPr>
                <w:rFonts w:eastAsia="Times New Roman" w:cstheme="minorHAnsi"/>
                <w:b/>
                <w:lang w:eastAsia="en-GB"/>
              </w:rPr>
              <w:t xml:space="preserve"> Products</w:t>
            </w:r>
            <w:r>
              <w:rPr>
                <w:rFonts w:eastAsia="Times New Roman" w:cstheme="minorHAnsi"/>
                <w:lang w:eastAsia="en-GB"/>
              </w:rPr>
              <w:t xml:space="preserve">: </w:t>
            </w:r>
            <w:r w:rsidRPr="00F61043">
              <w:rPr>
                <w:rFonts w:eastAsia="Times New Roman" w:cstheme="minorHAnsi"/>
                <w:lang w:eastAsia="en-GB"/>
              </w:rPr>
              <w:t xml:space="preserve">Strike Price </w:t>
            </w:r>
            <w:r>
              <w:rPr>
                <w:rFonts w:eastAsia="Times New Roman" w:cstheme="minorHAnsi"/>
                <w:lang w:eastAsia="en-GB"/>
              </w:rPr>
              <w:t xml:space="preserve">can be </w:t>
            </w:r>
            <w:proofErr w:type="gramStart"/>
            <w:r>
              <w:rPr>
                <w:rFonts w:eastAsia="Times New Roman" w:cstheme="minorHAnsi"/>
                <w:lang w:eastAsia="en-GB"/>
              </w:rPr>
              <w:t>a positive or negative integers</w:t>
            </w:r>
            <w:proofErr w:type="gramEnd"/>
            <w:r>
              <w:rPr>
                <w:rFonts w:eastAsia="Times New Roman" w:cstheme="minorHAnsi"/>
                <w:lang w:eastAsia="en-GB"/>
              </w:rPr>
              <w:t xml:space="preserve"> including 0</w:t>
            </w:r>
            <w:r w:rsidRPr="00F61043">
              <w:rPr>
                <w:rFonts w:eastAsia="Times New Roman" w:cstheme="minorHAnsi"/>
                <w:lang w:eastAsia="en-GB"/>
              </w:rPr>
              <w:t>.</w:t>
            </w:r>
            <w:r w:rsidR="00AD5B3B" w:rsidRPr="00F61043">
              <w:rPr>
                <w:rFonts w:eastAsia="Times New Roman" w:cstheme="minorHAnsi"/>
                <w:lang w:eastAsia="en-GB"/>
              </w:rPr>
              <w:br/>
              <w:t>Strike Price cannot be greater 99999999999999999</w:t>
            </w:r>
          </w:p>
        </w:tc>
      </w:tr>
      <w:tr w:rsidR="00973485" w:rsidRPr="00F61043" w14:paraId="361B935D" w14:textId="77777777" w:rsidTr="00452B51">
        <w:tc>
          <w:tcPr>
            <w:cnfStyle w:val="001000000000" w:firstRow="0" w:lastRow="0" w:firstColumn="1" w:lastColumn="0" w:oddVBand="0" w:evenVBand="0" w:oddHBand="0" w:evenHBand="0" w:firstRowFirstColumn="0" w:firstRowLastColumn="0" w:lastRowFirstColumn="0" w:lastRowLastColumn="0"/>
            <w:tcW w:w="0" w:type="auto"/>
            <w:hideMark/>
          </w:tcPr>
          <w:p w14:paraId="36868A39"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Underlying Credit Index Series</w:t>
            </w:r>
          </w:p>
        </w:tc>
        <w:tc>
          <w:tcPr>
            <w:tcW w:w="0" w:type="auto"/>
            <w:hideMark/>
          </w:tcPr>
          <w:p w14:paraId="62717828" w14:textId="64A9F797" w:rsidR="00AD5B3B" w:rsidRPr="00F61043" w:rsidRDefault="00AD5B3B" w:rsidP="00452B51">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Underlying Credit Index Series must be a positive integer</w:t>
            </w:r>
            <w:r w:rsidR="00973485">
              <w:rPr>
                <w:rFonts w:eastAsia="Times New Roman" w:cstheme="minorHAnsi"/>
                <w:lang w:eastAsia="en-GB"/>
              </w:rPr>
              <w:t xml:space="preserve"> (except for non-standard definitions where there is more than 1 underlying index)</w:t>
            </w:r>
          </w:p>
        </w:tc>
      </w:tr>
      <w:tr w:rsidR="00973485" w:rsidRPr="00F61043" w14:paraId="6B03F425"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121C9"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Underlying Credit Index Version</w:t>
            </w:r>
          </w:p>
        </w:tc>
        <w:tc>
          <w:tcPr>
            <w:tcW w:w="0" w:type="auto"/>
            <w:hideMark/>
          </w:tcPr>
          <w:p w14:paraId="6FAA1567" w14:textId="30B9A5BA" w:rsidR="00AD5B3B" w:rsidRPr="00F61043" w:rsidRDefault="00AD5B3B" w:rsidP="00452B51">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Underlying Credit Index Version must be a positive inte</w:t>
            </w:r>
            <w:r w:rsidR="00973485">
              <w:rPr>
                <w:rFonts w:eastAsia="Times New Roman" w:cstheme="minorHAnsi"/>
                <w:lang w:eastAsia="en-GB"/>
              </w:rPr>
              <w:t>ger (except for non-standard definitions where there is more than 1 underlying index)</w:t>
            </w:r>
          </w:p>
        </w:tc>
      </w:tr>
      <w:tr w:rsidR="00973485" w:rsidRPr="00F61043" w14:paraId="4A4D036A" w14:textId="77777777" w:rsidTr="00452B51">
        <w:tc>
          <w:tcPr>
            <w:cnfStyle w:val="001000000000" w:firstRow="0" w:lastRow="0" w:firstColumn="1" w:lastColumn="0" w:oddVBand="0" w:evenVBand="0" w:oddHBand="0" w:evenHBand="0" w:firstRowFirstColumn="0" w:firstRowLastColumn="0" w:lastRowFirstColumn="0" w:lastRowLastColumn="0"/>
            <w:tcW w:w="0" w:type="auto"/>
            <w:hideMark/>
          </w:tcPr>
          <w:p w14:paraId="11BA26A8"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Underlying Instrument Index Term Value</w:t>
            </w:r>
          </w:p>
        </w:tc>
        <w:tc>
          <w:tcPr>
            <w:tcW w:w="0" w:type="auto"/>
            <w:hideMark/>
          </w:tcPr>
          <w:p w14:paraId="2D69AE35" w14:textId="67E05B76" w:rsidR="00AD5B3B" w:rsidRPr="00F61043" w:rsidRDefault="00AD5B3B" w:rsidP="00452B51">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Underlying Instrument Index Term Value cannon be less than -999.</w:t>
            </w:r>
            <w:r w:rsidRPr="00F61043">
              <w:rPr>
                <w:rFonts w:eastAsia="Times New Roman" w:cstheme="minorHAnsi"/>
                <w:lang w:eastAsia="en-GB"/>
              </w:rPr>
              <w:br/>
              <w:t>Underlying Instrument Index Term Value cannon be greater than 999.</w:t>
            </w:r>
            <w:r w:rsidRPr="00F61043">
              <w:rPr>
                <w:rFonts w:eastAsia="Times New Roman" w:cstheme="minorHAnsi"/>
                <w:lang w:eastAsia="en-GB"/>
              </w:rPr>
              <w:br/>
              <w:t>Underlying Instrument</w:t>
            </w:r>
            <w:r w:rsidR="00AE58D8">
              <w:rPr>
                <w:rFonts w:eastAsia="Times New Roman" w:cstheme="minorHAnsi"/>
                <w:lang w:eastAsia="en-GB"/>
              </w:rPr>
              <w:t xml:space="preserve"> Index Term Value must not be 0 (except for non-standard definitions where there is more than 1 underlying index)</w:t>
            </w:r>
            <w:r w:rsidR="00AE58D8" w:rsidRPr="00F61043">
              <w:rPr>
                <w:rFonts w:eastAsia="Times New Roman" w:cstheme="minorHAnsi"/>
                <w:lang w:eastAsia="en-GB"/>
              </w:rPr>
              <w:t>.</w:t>
            </w:r>
          </w:p>
        </w:tc>
      </w:tr>
      <w:tr w:rsidR="00973485" w:rsidRPr="00F61043" w14:paraId="5F8EB75A" w14:textId="77777777" w:rsidTr="00452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8E363"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Underlying Instrument ISIN</w:t>
            </w:r>
          </w:p>
        </w:tc>
        <w:tc>
          <w:tcPr>
            <w:tcW w:w="0" w:type="auto"/>
            <w:hideMark/>
          </w:tcPr>
          <w:p w14:paraId="2987F354" w14:textId="1CECBDEC" w:rsidR="00AD5B3B" w:rsidRPr="00F61043" w:rsidRDefault="00AD5B3B" w:rsidP="00452B51">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Underlying Instrument ISIN is not valid.</w:t>
            </w:r>
            <w:r w:rsidR="00FD04F8">
              <w:rPr>
                <w:rFonts w:eastAsia="Times New Roman" w:cstheme="minorHAnsi"/>
                <w:lang w:eastAsia="en-GB"/>
              </w:rPr>
              <w:t xml:space="preserve"> (Syntactic validation only is performed by the DSB)</w:t>
            </w:r>
          </w:p>
        </w:tc>
      </w:tr>
      <w:tr w:rsidR="00973485" w:rsidRPr="00F61043" w14:paraId="1736E862" w14:textId="77777777" w:rsidTr="00452B51">
        <w:tc>
          <w:tcPr>
            <w:cnfStyle w:val="001000000000" w:firstRow="0" w:lastRow="0" w:firstColumn="1" w:lastColumn="0" w:oddVBand="0" w:evenVBand="0" w:oddHBand="0" w:evenHBand="0" w:firstRowFirstColumn="0" w:firstRowLastColumn="0" w:lastRowFirstColumn="0" w:lastRowLastColumn="0"/>
            <w:tcW w:w="0" w:type="auto"/>
            <w:hideMark/>
          </w:tcPr>
          <w:p w14:paraId="011CEFBC" w14:textId="77777777" w:rsidR="00AD5B3B" w:rsidRPr="00F61043" w:rsidRDefault="00AD5B3B" w:rsidP="00452B51">
            <w:pPr>
              <w:spacing w:before="75" w:after="75"/>
              <w:rPr>
                <w:rFonts w:eastAsia="Times New Roman" w:cstheme="minorHAnsi"/>
                <w:b w:val="0"/>
                <w:lang w:eastAsia="en-GB"/>
              </w:rPr>
            </w:pPr>
            <w:r w:rsidRPr="00F61043">
              <w:rPr>
                <w:rFonts w:eastAsia="Times New Roman" w:cstheme="minorHAnsi"/>
                <w:b w:val="0"/>
                <w:lang w:eastAsia="en-GB"/>
              </w:rPr>
              <w:t>Underlying instrument ISIN or LEI</w:t>
            </w:r>
          </w:p>
        </w:tc>
        <w:tc>
          <w:tcPr>
            <w:tcW w:w="0" w:type="auto"/>
            <w:hideMark/>
          </w:tcPr>
          <w:p w14:paraId="4E25B253" w14:textId="416D2388" w:rsidR="00AD5B3B" w:rsidRPr="00F61043" w:rsidRDefault="00AD5B3B" w:rsidP="00452B51">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sidRPr="00F61043">
              <w:rPr>
                <w:rFonts w:eastAsia="Times New Roman" w:cstheme="minorHAnsi"/>
                <w:lang w:eastAsia="en-GB"/>
              </w:rPr>
              <w:t>Underlying instrument ISIN or LEI must be a valid ISIN or LEI</w:t>
            </w:r>
            <w:r w:rsidR="00FD04F8">
              <w:rPr>
                <w:rFonts w:eastAsia="Times New Roman" w:cstheme="minorHAnsi"/>
                <w:lang w:eastAsia="en-GB"/>
              </w:rPr>
              <w:t xml:space="preserve"> (Syntactic validation only is performed by the DSB)</w:t>
            </w:r>
          </w:p>
        </w:tc>
      </w:tr>
    </w:tbl>
    <w:p w14:paraId="307DA875" w14:textId="77777777" w:rsidR="00AD5B3B" w:rsidRDefault="00AD5B3B" w:rsidP="00AD5B3B"/>
    <w:p w14:paraId="5586BE31" w14:textId="455FCFA9" w:rsidR="00F21DE3" w:rsidRDefault="00F21DE3" w:rsidP="00F21DE3">
      <w:pPr>
        <w:pStyle w:val="Heading2"/>
        <w:ind w:left="567"/>
      </w:pPr>
      <w:bookmarkStart w:id="54" w:name="_Toc495422694"/>
      <w:bookmarkStart w:id="55" w:name="_Toc500926783"/>
      <w:bookmarkStart w:id="56" w:name="_Toc527364498"/>
      <w:r>
        <w:t>Notional/Other Notional Currency</w:t>
      </w:r>
      <w:bookmarkEnd w:id="56"/>
    </w:p>
    <w:p w14:paraId="07AE60C3" w14:textId="29EA0EFC" w:rsidR="00F21DE3" w:rsidRDefault="00F21DE3" w:rsidP="00F21DE3"/>
    <w:p w14:paraId="134DA2AE" w14:textId="21474585" w:rsidR="00F21DE3" w:rsidRDefault="00F21DE3" w:rsidP="00F21DE3">
      <w:r w:rsidRPr="00F21DE3">
        <w:t>Notional Currency and Other Notional Currency cannot be identical</w:t>
      </w:r>
      <w:r>
        <w:t>.</w:t>
      </w:r>
    </w:p>
    <w:p w14:paraId="7B3848B3" w14:textId="7884E8B7" w:rsidR="00045F49" w:rsidRDefault="00045F49">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5FB45476" w14:textId="1A0539CA" w:rsidR="00AD5B3B" w:rsidRDefault="00AD5B3B" w:rsidP="00AD5B3B">
      <w:pPr>
        <w:pStyle w:val="Heading2"/>
        <w:ind w:left="567"/>
      </w:pPr>
      <w:bookmarkStart w:id="57" w:name="_Toc527364499"/>
      <w:r>
        <w:lastRenderedPageBreak/>
        <w:t>FX Swap Validations</w:t>
      </w:r>
      <w:bookmarkEnd w:id="54"/>
      <w:bookmarkEnd w:id="55"/>
      <w:bookmarkEnd w:id="57"/>
    </w:p>
    <w:p w14:paraId="24192968" w14:textId="77777777" w:rsidR="00AD5B3B" w:rsidRDefault="00AD5B3B" w:rsidP="00AD5B3B"/>
    <w:p w14:paraId="74563BE4" w14:textId="77777777" w:rsidR="00AD5B3B" w:rsidRDefault="00AD5B3B" w:rsidP="00AD5B3B">
      <w:pPr>
        <w:pStyle w:val="ListParagraph"/>
        <w:numPr>
          <w:ilvl w:val="2"/>
          <w:numId w:val="17"/>
        </w:numPr>
        <w:ind w:left="426"/>
      </w:pPr>
      <w:r>
        <w:t xml:space="preserve">The Underlying ISINs must be for FX Forward products generated by the DSB using the following template: </w:t>
      </w:r>
      <w:proofErr w:type="spellStart"/>
      <w:r w:rsidRPr="00A3112F">
        <w:t>Foreign_</w:t>
      </w:r>
      <w:proofErr w:type="gramStart"/>
      <w:r w:rsidRPr="00A3112F">
        <w:t>Exchange.Forward.Forward</w:t>
      </w:r>
      <w:proofErr w:type="spellEnd"/>
      <w:proofErr w:type="gramEnd"/>
    </w:p>
    <w:p w14:paraId="2B44941D" w14:textId="77777777" w:rsidR="00AD5B3B" w:rsidRDefault="00AD5B3B" w:rsidP="00AD5B3B">
      <w:pPr>
        <w:pStyle w:val="ListParagraph"/>
        <w:numPr>
          <w:ilvl w:val="2"/>
          <w:numId w:val="17"/>
        </w:numPr>
        <w:ind w:left="426"/>
      </w:pPr>
      <w:r>
        <w:t>The underlying Forward products must be over the same currency pair</w:t>
      </w:r>
    </w:p>
    <w:p w14:paraId="00F2E0CD" w14:textId="0FCBC905" w:rsidR="00AD5B3B" w:rsidRDefault="00AD5B3B" w:rsidP="00AD5B3B">
      <w:pPr>
        <w:pStyle w:val="ListParagraph"/>
        <w:numPr>
          <w:ilvl w:val="2"/>
          <w:numId w:val="17"/>
        </w:numPr>
        <w:ind w:left="426"/>
      </w:pPr>
      <w:r>
        <w:t>The underlying forward ISINs must be unique</w:t>
      </w:r>
    </w:p>
    <w:p w14:paraId="17EB706D" w14:textId="71AA93FF" w:rsidR="00210F48" w:rsidRDefault="00210F48" w:rsidP="00210F48"/>
    <w:p w14:paraId="682AAC46" w14:textId="1120D1F0" w:rsidR="007742BA" w:rsidRDefault="007742BA" w:rsidP="007742BA">
      <w:pPr>
        <w:pStyle w:val="Heading2"/>
        <w:ind w:left="567"/>
      </w:pPr>
      <w:bookmarkStart w:id="58" w:name="_Toc527364500"/>
      <w:r>
        <w:t>Non-Deliverable FX Swap Validations</w:t>
      </w:r>
      <w:bookmarkEnd w:id="58"/>
    </w:p>
    <w:p w14:paraId="481FF7C2" w14:textId="77777777" w:rsidR="007742BA" w:rsidRDefault="007742BA" w:rsidP="007742BA"/>
    <w:p w14:paraId="561B9B30" w14:textId="77777777" w:rsidR="00FE6FD6" w:rsidRDefault="007742BA" w:rsidP="007742BA">
      <w:pPr>
        <w:pStyle w:val="ListParagraph"/>
        <w:numPr>
          <w:ilvl w:val="2"/>
          <w:numId w:val="17"/>
        </w:numPr>
        <w:ind w:left="426"/>
      </w:pPr>
      <w:r>
        <w:t>The Underlying ISINs must be for FX Forward products generated by the DSB using the following template</w:t>
      </w:r>
      <w:r w:rsidR="00FE6FD6">
        <w:t>s</w:t>
      </w:r>
      <w:r>
        <w:t xml:space="preserve">: </w:t>
      </w:r>
      <w:proofErr w:type="spellStart"/>
      <w:r w:rsidRPr="00A3112F">
        <w:t>Foreign_Exchange.Forward.</w:t>
      </w:r>
      <w:r w:rsidR="00FE6FD6">
        <w:t>NDF</w:t>
      </w:r>
      <w:proofErr w:type="spellEnd"/>
      <w:r w:rsidR="00FE6FD6">
        <w:t xml:space="preserve"> or</w:t>
      </w:r>
      <w:r w:rsidR="00FE6FD6" w:rsidRPr="00FE6FD6">
        <w:t xml:space="preserve"> </w:t>
      </w:r>
      <w:proofErr w:type="spellStart"/>
      <w:r w:rsidR="00FE6FD6" w:rsidRPr="00062CAA">
        <w:t>Foreign_</w:t>
      </w:r>
      <w:proofErr w:type="gramStart"/>
      <w:r w:rsidR="00FE6FD6" w:rsidRPr="00062CAA">
        <w:t>Exchange</w:t>
      </w:r>
      <w:r w:rsidR="00FE6FD6">
        <w:t>.Forward.Non</w:t>
      </w:r>
      <w:proofErr w:type="gramEnd"/>
      <w:r w:rsidR="00FE6FD6">
        <w:t>_Standard</w:t>
      </w:r>
      <w:proofErr w:type="spellEnd"/>
    </w:p>
    <w:p w14:paraId="0D70B0C3" w14:textId="496C77E8" w:rsidR="007742BA" w:rsidRDefault="00FE6FD6" w:rsidP="007742BA">
      <w:pPr>
        <w:pStyle w:val="ListParagraph"/>
        <w:numPr>
          <w:ilvl w:val="2"/>
          <w:numId w:val="17"/>
        </w:numPr>
        <w:ind w:left="426"/>
      </w:pPr>
      <w:r>
        <w:t>The Underlying ISINs must be based on identical templates</w:t>
      </w:r>
    </w:p>
    <w:p w14:paraId="3739CFCE" w14:textId="09D83310" w:rsidR="007742BA" w:rsidRDefault="007742BA" w:rsidP="007742BA">
      <w:pPr>
        <w:pStyle w:val="ListParagraph"/>
        <w:numPr>
          <w:ilvl w:val="2"/>
          <w:numId w:val="17"/>
        </w:numPr>
        <w:ind w:left="426"/>
      </w:pPr>
      <w:r>
        <w:t>The underlying Forward products must be over the same currency pair</w:t>
      </w:r>
      <w:r w:rsidR="00FE6FD6">
        <w:t>, settlement currency, delivery type and (if applicable) place of settlement</w:t>
      </w:r>
    </w:p>
    <w:p w14:paraId="3FE5D6B2" w14:textId="07F98430" w:rsidR="007742BA" w:rsidRDefault="007742BA" w:rsidP="007742BA">
      <w:pPr>
        <w:pStyle w:val="ListParagraph"/>
        <w:numPr>
          <w:ilvl w:val="2"/>
          <w:numId w:val="17"/>
        </w:numPr>
        <w:ind w:left="426"/>
      </w:pPr>
      <w:r>
        <w:t>The underlying forward ISINs must be unique</w:t>
      </w:r>
    </w:p>
    <w:p w14:paraId="5A68239A" w14:textId="77777777" w:rsidR="007742BA" w:rsidRDefault="007742BA" w:rsidP="00210F48"/>
    <w:p w14:paraId="1718E631" w14:textId="6A9FE87E" w:rsidR="00210F48" w:rsidRDefault="00DD0DA5" w:rsidP="00DD0DA5">
      <w:pPr>
        <w:pStyle w:val="Heading2"/>
        <w:ind w:left="567"/>
      </w:pPr>
      <w:bookmarkStart w:id="59" w:name="_Toc527364501"/>
      <w:r>
        <w:t>FX Non-Deliverable Validations</w:t>
      </w:r>
      <w:bookmarkEnd w:id="59"/>
    </w:p>
    <w:p w14:paraId="13A710A7" w14:textId="77777777" w:rsidR="00557C94" w:rsidRPr="00557C94" w:rsidRDefault="00557C94" w:rsidP="00557C94"/>
    <w:p w14:paraId="572C16F0" w14:textId="5E467221" w:rsidR="00DD0DA5" w:rsidRPr="00DD0DA5" w:rsidRDefault="00DD0DA5" w:rsidP="00557C94">
      <w:r>
        <w:t>For both NDO &amp; NDF Product Definitions, the only acceptable delivery type will be ‘CASH’ given that the cash flows themselves are non-deliverable.</w:t>
      </w:r>
    </w:p>
    <w:p w14:paraId="3A599634" w14:textId="77777777" w:rsidR="00463039" w:rsidRDefault="00463039" w:rsidP="00AD5B3B"/>
    <w:p w14:paraId="075F3E46" w14:textId="362FA3E7" w:rsidR="00463039" w:rsidRDefault="00463039" w:rsidP="00463039">
      <w:pPr>
        <w:pStyle w:val="Heading2"/>
        <w:ind w:left="567"/>
      </w:pPr>
      <w:bookmarkStart w:id="60" w:name="_Toc527364502"/>
      <w:r>
        <w:t>Commodities Basis Swap</w:t>
      </w:r>
      <w:bookmarkEnd w:id="60"/>
    </w:p>
    <w:p w14:paraId="6BE4AA17" w14:textId="77777777" w:rsidR="00463039" w:rsidRDefault="00463039" w:rsidP="00463039"/>
    <w:p w14:paraId="3E5E2A11" w14:textId="77777777" w:rsidR="00463039" w:rsidRDefault="00463039" w:rsidP="00463039">
      <w:r>
        <w:t>The current validation rule regarding Reference Rate in the Basis template is that the rates must be different for each leg.</w:t>
      </w:r>
    </w:p>
    <w:p w14:paraId="3D80B5CD" w14:textId="77777777" w:rsidR="00463039" w:rsidRDefault="00463039" w:rsidP="00463039"/>
    <w:p w14:paraId="0DCB5B55" w14:textId="11A516E8" w:rsidR="00463039" w:rsidRDefault="00463039" w:rsidP="00463039">
      <w:r>
        <w:t xml:space="preserve">A use case has been submitted to the DSB that requires the same Reference Rate to be submitted for both legs. The DSB acknowledges this required enhancement and will confirm delivery timelines with industry in the coming weeks. This change is considered backwardly compatible. </w:t>
      </w:r>
    </w:p>
    <w:p w14:paraId="056C74DD" w14:textId="75FAC9A2" w:rsidR="00F21DE3" w:rsidRDefault="00F21DE3" w:rsidP="00463039"/>
    <w:p w14:paraId="31164B15" w14:textId="6B9F1934" w:rsidR="00F21DE3" w:rsidRDefault="00F21DE3" w:rsidP="00F21DE3">
      <w:pPr>
        <w:pStyle w:val="Heading2"/>
        <w:ind w:left="567"/>
      </w:pPr>
      <w:bookmarkStart w:id="61" w:name="_Toc527364503"/>
      <w:r>
        <w:t>Underlying Instrument Index Prop</w:t>
      </w:r>
      <w:bookmarkEnd w:id="61"/>
    </w:p>
    <w:p w14:paraId="5196C56B" w14:textId="13C53592" w:rsidR="00F21DE3" w:rsidRDefault="00F21DE3" w:rsidP="00F21DE3"/>
    <w:p w14:paraId="0FA4D13F" w14:textId="17D16861" w:rsidR="00F21DE3" w:rsidRDefault="00F21DE3" w:rsidP="00F21DE3">
      <w:r>
        <w:t xml:space="preserve">User input is validated against a list of Proprietary indices that must have been pre-submitted to the DSB in line with the DSB Proprietary Index workflow published </w:t>
      </w:r>
      <w:hyperlink r:id="rId39" w:history="1">
        <w:r w:rsidRPr="00F21DE3">
          <w:rPr>
            <w:rStyle w:val="Hyperlink"/>
          </w:rPr>
          <w:t>here</w:t>
        </w:r>
      </w:hyperlink>
    </w:p>
    <w:p w14:paraId="579E005E" w14:textId="58ECFF43" w:rsidR="00F21DE3" w:rsidRDefault="00F21DE3" w:rsidP="00F21DE3"/>
    <w:p w14:paraId="17099352" w14:textId="25E0ED8F" w:rsidR="00F21DE3" w:rsidRDefault="00F21DE3" w:rsidP="00F21DE3">
      <w:r>
        <w:t>Index submissions are made per asset class and are only relevant for product definitions within that asset class. The exception is asset class ‘Other’ which is acceptable in all asset classes.</w:t>
      </w:r>
    </w:p>
    <w:p w14:paraId="4106564C" w14:textId="604D8050" w:rsidR="00F21DE3" w:rsidRDefault="00F21DE3" w:rsidP="00F21DE3"/>
    <w:p w14:paraId="184057CE" w14:textId="688CB1F0" w:rsidR="00F21DE3" w:rsidRDefault="00F21DE3" w:rsidP="00F21DE3">
      <w:pPr>
        <w:pStyle w:val="Heading2"/>
        <w:ind w:left="567"/>
      </w:pPr>
      <w:bookmarkStart w:id="62" w:name="_Toc527364504"/>
      <w:r>
        <w:t>Debt Seniority – Credit Product Definitions</w:t>
      </w:r>
      <w:bookmarkEnd w:id="62"/>
    </w:p>
    <w:p w14:paraId="34051DEF" w14:textId="5351D6D5" w:rsidR="00F21DE3" w:rsidRDefault="00F21DE3" w:rsidP="00F21DE3"/>
    <w:p w14:paraId="08D82B67" w14:textId="77777777" w:rsidR="00557C94" w:rsidRDefault="00F21DE3" w:rsidP="00AE79A6">
      <w:pPr>
        <w:pStyle w:val="ListParagraph"/>
        <w:numPr>
          <w:ilvl w:val="2"/>
          <w:numId w:val="17"/>
        </w:numPr>
        <w:ind w:left="426"/>
      </w:pPr>
      <w:r w:rsidRPr="00F21DE3">
        <w:t>Debt Seniority must be one of (SNDB, MZZD, SBOD, JUND) if Underlying Instrument ISIN/LEI is selected.</w:t>
      </w:r>
    </w:p>
    <w:p w14:paraId="5185BAF5" w14:textId="2786D794" w:rsidR="00F21DE3" w:rsidRDefault="00F21DE3" w:rsidP="00AE79A6">
      <w:pPr>
        <w:pStyle w:val="ListParagraph"/>
        <w:numPr>
          <w:ilvl w:val="2"/>
          <w:numId w:val="17"/>
        </w:numPr>
        <w:ind w:left="426"/>
      </w:pPr>
      <w:r w:rsidRPr="00F21DE3">
        <w:t>Debt Seniority can</w:t>
      </w:r>
      <w:r>
        <w:t>not</w:t>
      </w:r>
      <w:r w:rsidRPr="00F21DE3">
        <w:t xml:space="preserve"> be one of (SNDB, MZZD, SBOD, JUND) if Underlying Instrument index is selected</w:t>
      </w:r>
      <w:r>
        <w:t>.</w:t>
      </w:r>
    </w:p>
    <w:p w14:paraId="7B091DE2" w14:textId="76A265CC" w:rsidR="00557C94" w:rsidRDefault="00557C94" w:rsidP="00557C94"/>
    <w:p w14:paraId="2521C8BF" w14:textId="4CC6F198" w:rsidR="00557C94" w:rsidRDefault="00557C94" w:rsidP="00557C94">
      <w:pPr>
        <w:pStyle w:val="Heading2"/>
        <w:ind w:left="567"/>
      </w:pPr>
      <w:bookmarkStart w:id="63" w:name="_Toc527364505"/>
      <w:r>
        <w:t>Credit Index Term Value, Series &amp; Version</w:t>
      </w:r>
      <w:bookmarkEnd w:id="63"/>
    </w:p>
    <w:p w14:paraId="072F351B" w14:textId="67473748" w:rsidR="00557C94" w:rsidRDefault="00557C94" w:rsidP="00557C94"/>
    <w:p w14:paraId="3220C1EA" w14:textId="51311333" w:rsidR="00557C94" w:rsidRPr="00557C94" w:rsidRDefault="00557C94" w:rsidP="00557C94">
      <w:r w:rsidRPr="00557C94">
        <w:t>Term Value, Index Series and Index Version can only be zero if there are more than 1 Underlying Instrument Indices or at least 1 Index Prop</w:t>
      </w:r>
      <w:r>
        <w:t>.</w:t>
      </w:r>
    </w:p>
    <w:p w14:paraId="29334CBF" w14:textId="1561A242" w:rsidR="00AD5B3B" w:rsidRDefault="00AD5B3B" w:rsidP="00AD5B3B"/>
    <w:p w14:paraId="5D9A8622" w14:textId="77777777" w:rsidR="00263278" w:rsidRPr="007071D1" w:rsidRDefault="00263278" w:rsidP="00AD5B3B"/>
    <w:p w14:paraId="301405D4" w14:textId="77777777" w:rsidR="00AD5B3B" w:rsidRDefault="00AD5B3B" w:rsidP="00AD5B3B">
      <w:pPr>
        <w:pStyle w:val="Heading2"/>
        <w:ind w:left="567"/>
      </w:pPr>
      <w:bookmarkStart w:id="64" w:name="_Toc500926785"/>
      <w:bookmarkStart w:id="65" w:name="_Toc527364506"/>
      <w:r>
        <w:t>Credit Non-Standard SWAP Validations</w:t>
      </w:r>
      <w:bookmarkEnd w:id="64"/>
      <w:bookmarkEnd w:id="65"/>
    </w:p>
    <w:p w14:paraId="0B306E52" w14:textId="77777777" w:rsidR="00AD5B3B" w:rsidRDefault="00AD5B3B" w:rsidP="00AD5B3B"/>
    <w:p w14:paraId="5C0508E1" w14:textId="77777777" w:rsidR="00AD5B3B" w:rsidRDefault="00AD5B3B" w:rsidP="00AD5B3B">
      <w:r>
        <w:t>Scenario 1 - single ISIN ONLY</w:t>
      </w:r>
    </w:p>
    <w:p w14:paraId="48329410" w14:textId="77777777" w:rsidR="00AD5B3B" w:rsidRDefault="00AD5B3B" w:rsidP="00AD5B3B">
      <w:pPr>
        <w:pStyle w:val="ListParagraph"/>
        <w:numPr>
          <w:ilvl w:val="0"/>
          <w:numId w:val="4"/>
        </w:numPr>
      </w:pPr>
      <w:r>
        <w:t>Underlying Asset Type can only be 'Single name' or 'Other' (CFI 3rd character: U &amp; M respectively)</w:t>
      </w:r>
    </w:p>
    <w:p w14:paraId="576716C2" w14:textId="77777777" w:rsidR="00AD5B3B" w:rsidRDefault="00AD5B3B" w:rsidP="00AD5B3B"/>
    <w:p w14:paraId="28E0EE5D" w14:textId="77777777" w:rsidR="00AD5B3B" w:rsidRDefault="00AD5B3B" w:rsidP="00AD5B3B">
      <w:r>
        <w:t>Scenario 2 - single LEI ONLY</w:t>
      </w:r>
    </w:p>
    <w:p w14:paraId="5825301D" w14:textId="77777777" w:rsidR="00AD5B3B" w:rsidRDefault="00AD5B3B" w:rsidP="00AD5B3B">
      <w:pPr>
        <w:pStyle w:val="ListParagraph"/>
        <w:numPr>
          <w:ilvl w:val="0"/>
          <w:numId w:val="4"/>
        </w:numPr>
      </w:pPr>
      <w:r>
        <w:t>Underlying Asset Type only 'Single name' or 'Other' (CFI 3rd character: U &amp; M respectively)</w:t>
      </w:r>
    </w:p>
    <w:p w14:paraId="25B3A992" w14:textId="77777777" w:rsidR="00AD5B3B" w:rsidRDefault="00AD5B3B" w:rsidP="00AD5B3B"/>
    <w:p w14:paraId="787D0221" w14:textId="77777777" w:rsidR="00AD5B3B" w:rsidRDefault="00AD5B3B" w:rsidP="00AD5B3B">
      <w:r>
        <w:t>Scenario 3 - single Index ONLY</w:t>
      </w:r>
    </w:p>
    <w:p w14:paraId="6EC79FC0" w14:textId="77777777" w:rsidR="00AD5B3B" w:rsidRDefault="00AD5B3B" w:rsidP="00AD5B3B">
      <w:pPr>
        <w:pStyle w:val="ListParagraph"/>
        <w:numPr>
          <w:ilvl w:val="0"/>
          <w:numId w:val="4"/>
        </w:numPr>
      </w:pPr>
      <w:r>
        <w:t>Underlying Asset Type only 'Index', 'Index Tranche' or 'Other' (CFI 3rd character: I/V &amp; M respectively)</w:t>
      </w:r>
    </w:p>
    <w:p w14:paraId="7B487B03" w14:textId="77777777" w:rsidR="00AD5B3B" w:rsidRDefault="00AD5B3B" w:rsidP="00AD5B3B"/>
    <w:p w14:paraId="26A42272" w14:textId="77777777" w:rsidR="00AD5B3B" w:rsidRDefault="00AD5B3B" w:rsidP="00AD5B3B">
      <w:r>
        <w:t>Scenario 4 - single Index Prop ONLY</w:t>
      </w:r>
    </w:p>
    <w:p w14:paraId="01CA28BD" w14:textId="77777777" w:rsidR="00AD5B3B" w:rsidRDefault="00AD5B3B" w:rsidP="00AD5B3B">
      <w:pPr>
        <w:pStyle w:val="ListParagraph"/>
        <w:numPr>
          <w:ilvl w:val="0"/>
          <w:numId w:val="4"/>
        </w:numPr>
      </w:pPr>
      <w:r>
        <w:t>Underlying Asset Type only 'Index', 'Index Tranche' or 'Other' (CFI 3rd character: I/V &amp; M respectively)</w:t>
      </w:r>
    </w:p>
    <w:p w14:paraId="43898C6A" w14:textId="77777777" w:rsidR="00AD5B3B" w:rsidRDefault="00AD5B3B" w:rsidP="00AD5B3B"/>
    <w:p w14:paraId="0EDC895E" w14:textId="77777777" w:rsidR="00AD5B3B" w:rsidRDefault="00AD5B3B" w:rsidP="00AD5B3B">
      <w:r>
        <w:t>Scenario 5 - multiple ISIN ONLY</w:t>
      </w:r>
    </w:p>
    <w:p w14:paraId="3D8E90DF" w14:textId="77777777" w:rsidR="00AD5B3B" w:rsidRDefault="00AD5B3B" w:rsidP="00AD5B3B">
      <w:pPr>
        <w:pStyle w:val="ListParagraph"/>
        <w:numPr>
          <w:ilvl w:val="0"/>
          <w:numId w:val="4"/>
        </w:numPr>
      </w:pPr>
      <w:r>
        <w:t>Underlying Asset Type can only be 'Basket' or 'Other' (CFI 3rd character: B &amp; M respectively)</w:t>
      </w:r>
    </w:p>
    <w:p w14:paraId="21589DEB" w14:textId="77777777" w:rsidR="00AD5B3B" w:rsidRDefault="00AD5B3B" w:rsidP="00AD5B3B"/>
    <w:p w14:paraId="5FAF1138" w14:textId="77777777" w:rsidR="00AD5B3B" w:rsidRDefault="00AD5B3B" w:rsidP="00AD5B3B">
      <w:r>
        <w:t>Scenario 6 - multiple LEI ONLY</w:t>
      </w:r>
    </w:p>
    <w:p w14:paraId="5A346ACF" w14:textId="77777777" w:rsidR="00AD5B3B" w:rsidRDefault="00AD5B3B" w:rsidP="00AD5B3B">
      <w:pPr>
        <w:pStyle w:val="ListParagraph"/>
        <w:numPr>
          <w:ilvl w:val="0"/>
          <w:numId w:val="4"/>
        </w:numPr>
      </w:pPr>
      <w:r>
        <w:t>Underlying Asset Type can only be 'Basket' or 'Other' (CFI 3rd character: B &amp; M respectively)</w:t>
      </w:r>
    </w:p>
    <w:p w14:paraId="27F25C65" w14:textId="77777777" w:rsidR="00AD5B3B" w:rsidRDefault="00AD5B3B" w:rsidP="00AD5B3B"/>
    <w:p w14:paraId="17CF5653" w14:textId="77777777" w:rsidR="00AD5B3B" w:rsidRDefault="00AD5B3B" w:rsidP="00AD5B3B">
      <w:r>
        <w:t>Scenario 7 - multiple Index ONLY</w:t>
      </w:r>
    </w:p>
    <w:p w14:paraId="082F7A82" w14:textId="77777777" w:rsidR="00AD5B3B" w:rsidRDefault="00AD5B3B" w:rsidP="00AD5B3B">
      <w:pPr>
        <w:pStyle w:val="ListParagraph"/>
        <w:numPr>
          <w:ilvl w:val="0"/>
          <w:numId w:val="4"/>
        </w:numPr>
      </w:pPr>
      <w:r>
        <w:t>Underlying Asset Type can only be 'Basket' or 'Other' (CFI 3rd character: B &amp; M respectively)</w:t>
      </w:r>
    </w:p>
    <w:p w14:paraId="207B843A" w14:textId="77777777" w:rsidR="00AD5B3B" w:rsidRDefault="00AD5B3B" w:rsidP="00AD5B3B"/>
    <w:p w14:paraId="3D8C64FC" w14:textId="77777777" w:rsidR="00AD5B3B" w:rsidRDefault="00AD5B3B" w:rsidP="00AD5B3B">
      <w:r>
        <w:t>Scenario 8 - multiple Index Prop ONLY</w:t>
      </w:r>
    </w:p>
    <w:p w14:paraId="4E0AEF10" w14:textId="77777777" w:rsidR="00AD5B3B" w:rsidRDefault="00AD5B3B" w:rsidP="00AD5B3B">
      <w:pPr>
        <w:pStyle w:val="ListParagraph"/>
        <w:numPr>
          <w:ilvl w:val="0"/>
          <w:numId w:val="4"/>
        </w:numPr>
      </w:pPr>
      <w:r>
        <w:t>Underlying Asset Type can only be 'Basket' or 'Other' (CFI 3rd character: B &amp; M respectively)</w:t>
      </w:r>
    </w:p>
    <w:p w14:paraId="148218A6" w14:textId="77777777" w:rsidR="00AD5B3B" w:rsidRDefault="00AD5B3B" w:rsidP="00AD5B3B"/>
    <w:p w14:paraId="5DF857FE" w14:textId="77777777" w:rsidR="00AD5B3B" w:rsidRDefault="00AD5B3B" w:rsidP="00AD5B3B">
      <w:r>
        <w:t>Scenario 9 - multiple ISIN and LEI ONLY</w:t>
      </w:r>
    </w:p>
    <w:p w14:paraId="1B549440" w14:textId="77777777" w:rsidR="00AD5B3B" w:rsidRDefault="00AD5B3B" w:rsidP="00AD5B3B">
      <w:pPr>
        <w:pStyle w:val="ListParagraph"/>
        <w:numPr>
          <w:ilvl w:val="0"/>
          <w:numId w:val="4"/>
        </w:numPr>
      </w:pPr>
      <w:r>
        <w:t>Underlying Asset Type can only be 'Basket' or 'Other' (CFI 3rd character: B &amp; M respectively)</w:t>
      </w:r>
    </w:p>
    <w:p w14:paraId="16C82116" w14:textId="77777777" w:rsidR="00AD5B3B" w:rsidRDefault="00AD5B3B" w:rsidP="00AD5B3B"/>
    <w:p w14:paraId="16AA078F" w14:textId="77777777" w:rsidR="00AD5B3B" w:rsidRDefault="00AD5B3B" w:rsidP="00AD5B3B">
      <w:r>
        <w:t>Scenario 10 - multiple Index and Index Prop ONLY</w:t>
      </w:r>
    </w:p>
    <w:p w14:paraId="13F0C621" w14:textId="77777777" w:rsidR="00AD5B3B" w:rsidRDefault="00AD5B3B" w:rsidP="00AD5B3B">
      <w:pPr>
        <w:pStyle w:val="ListParagraph"/>
        <w:numPr>
          <w:ilvl w:val="0"/>
          <w:numId w:val="4"/>
        </w:numPr>
      </w:pPr>
      <w:r>
        <w:t>Underlying Asset Type can only be 'Basket' or 'Other' (CFI 3rd character: B &amp; M respectively)</w:t>
      </w:r>
    </w:p>
    <w:p w14:paraId="16ED96EA" w14:textId="77777777" w:rsidR="00AD5B3B" w:rsidRDefault="00AD5B3B" w:rsidP="00AD5B3B"/>
    <w:p w14:paraId="33C347F4" w14:textId="77777777" w:rsidR="00AD5B3B" w:rsidRDefault="00AD5B3B" w:rsidP="00AD5B3B">
      <w:r>
        <w:t>Scenario 11 - Any combination of ISIN/LEI and Index/Index Prop above</w:t>
      </w:r>
    </w:p>
    <w:p w14:paraId="65AC3747" w14:textId="77777777" w:rsidR="00AD5B3B" w:rsidRDefault="00AD5B3B" w:rsidP="00AD5B3B">
      <w:pPr>
        <w:pStyle w:val="ListParagraph"/>
        <w:numPr>
          <w:ilvl w:val="0"/>
          <w:numId w:val="4"/>
        </w:numPr>
      </w:pPr>
      <w:r>
        <w:t>Underlying Asset Type can only be 'Basket' or 'Other' (CFI 3rd character: B &amp; M respectively)</w:t>
      </w:r>
    </w:p>
    <w:p w14:paraId="1AD17E41" w14:textId="77777777" w:rsidR="00AD5B3B" w:rsidRDefault="00AD5B3B" w:rsidP="00AD5B3B"/>
    <w:p w14:paraId="71E546D2" w14:textId="77777777" w:rsidR="00AD5B3B" w:rsidRDefault="00AD5B3B" w:rsidP="00AD5B3B">
      <w:pPr>
        <w:pStyle w:val="Heading2"/>
        <w:ind w:left="567"/>
      </w:pPr>
      <w:bookmarkStart w:id="66" w:name="_Toc500926786"/>
      <w:bookmarkStart w:id="67" w:name="_Toc527364507"/>
      <w:r>
        <w:t>Credit Non-Standard OPTION Validations</w:t>
      </w:r>
      <w:bookmarkEnd w:id="66"/>
      <w:bookmarkEnd w:id="67"/>
    </w:p>
    <w:p w14:paraId="03DAE3DF" w14:textId="77777777" w:rsidR="00AD5B3B" w:rsidRDefault="00AD5B3B" w:rsidP="00AD5B3B"/>
    <w:p w14:paraId="7F64A5F8" w14:textId="77777777" w:rsidR="00AD5B3B" w:rsidRDefault="00AD5B3B" w:rsidP="00AD5B3B">
      <w:r>
        <w:t>Scenario 1 - single ISIN ONLY</w:t>
      </w:r>
    </w:p>
    <w:p w14:paraId="534011A1" w14:textId="77777777" w:rsidR="00AD5B3B" w:rsidRDefault="00AD5B3B" w:rsidP="00AD5B3B">
      <w:pPr>
        <w:pStyle w:val="ListParagraph"/>
        <w:numPr>
          <w:ilvl w:val="0"/>
          <w:numId w:val="4"/>
        </w:numPr>
      </w:pPr>
      <w:r>
        <w:t>Underlying Asset Type can only be 'CDS on Single name', 'Swaps' or 'Other' (CFI 3rd character: U/W &amp; M respectively)</w:t>
      </w:r>
    </w:p>
    <w:p w14:paraId="5BF1351D" w14:textId="77777777" w:rsidR="00AD5B3B" w:rsidRDefault="00AD5B3B" w:rsidP="00AD5B3B"/>
    <w:p w14:paraId="4F8F7B64" w14:textId="77777777" w:rsidR="00AD5B3B" w:rsidRDefault="00AD5B3B" w:rsidP="00AD5B3B">
      <w:r>
        <w:t>Scenario 2 - single LEI ONLY</w:t>
      </w:r>
    </w:p>
    <w:p w14:paraId="4E7D8DB5" w14:textId="77777777" w:rsidR="00AD5B3B" w:rsidRDefault="00AD5B3B" w:rsidP="00AD5B3B">
      <w:pPr>
        <w:pStyle w:val="ListParagraph"/>
        <w:numPr>
          <w:ilvl w:val="0"/>
          <w:numId w:val="4"/>
        </w:numPr>
      </w:pPr>
      <w:r>
        <w:t>Underlying Asset Type only 'CDS on Single name' or 'Other' (CFI 3rd character: U &amp; M respectively)</w:t>
      </w:r>
    </w:p>
    <w:p w14:paraId="41B2458D" w14:textId="77777777" w:rsidR="00AD5B3B" w:rsidRDefault="00AD5B3B" w:rsidP="00AD5B3B"/>
    <w:p w14:paraId="6F23022B" w14:textId="77777777" w:rsidR="00AD5B3B" w:rsidRDefault="00AD5B3B" w:rsidP="00AD5B3B">
      <w:r>
        <w:t>Scenario 3 - single Index ONLY</w:t>
      </w:r>
    </w:p>
    <w:p w14:paraId="2D17248F" w14:textId="77777777" w:rsidR="00AD5B3B" w:rsidRDefault="00AD5B3B" w:rsidP="00AD5B3B">
      <w:pPr>
        <w:pStyle w:val="ListParagraph"/>
        <w:numPr>
          <w:ilvl w:val="0"/>
          <w:numId w:val="4"/>
        </w:numPr>
      </w:pPr>
      <w:r>
        <w:lastRenderedPageBreak/>
        <w:t>Underlying Asset Type only 'CDS on Index', 'CDS on Index Tranche' or 'Other' (CFI 3rd character: I/V &amp; M respectively)</w:t>
      </w:r>
    </w:p>
    <w:p w14:paraId="6BE23C04" w14:textId="77777777" w:rsidR="00AD5B3B" w:rsidRDefault="00AD5B3B" w:rsidP="00AD5B3B"/>
    <w:p w14:paraId="61255CE3" w14:textId="77777777" w:rsidR="00AD5B3B" w:rsidRDefault="00AD5B3B" w:rsidP="00AD5B3B">
      <w:r>
        <w:t>Scenario 4 - single Index Prop ONLY</w:t>
      </w:r>
    </w:p>
    <w:p w14:paraId="71695EFB" w14:textId="77777777" w:rsidR="00AD5B3B" w:rsidRDefault="00AD5B3B" w:rsidP="00AD5B3B">
      <w:pPr>
        <w:pStyle w:val="ListParagraph"/>
        <w:numPr>
          <w:ilvl w:val="0"/>
          <w:numId w:val="4"/>
        </w:numPr>
      </w:pPr>
      <w:r>
        <w:t>Underlying Asset Type only 'CDS on Index', 'CDS on Index Tranche' or 'Other' (CFI 3rd character: I/V &amp; M respectively)</w:t>
      </w:r>
    </w:p>
    <w:p w14:paraId="726DC050" w14:textId="77777777" w:rsidR="00AD5B3B" w:rsidRDefault="00AD5B3B" w:rsidP="00AD5B3B"/>
    <w:p w14:paraId="7777A416" w14:textId="77777777" w:rsidR="00AD5B3B" w:rsidRDefault="00AD5B3B" w:rsidP="00AD5B3B">
      <w:r>
        <w:t>Scenario 5 - multiple ISIN ONLY</w:t>
      </w:r>
    </w:p>
    <w:p w14:paraId="43DED6E7" w14:textId="77777777" w:rsidR="00AD5B3B" w:rsidRDefault="00AD5B3B" w:rsidP="00AD5B3B">
      <w:pPr>
        <w:pStyle w:val="ListParagraph"/>
        <w:numPr>
          <w:ilvl w:val="0"/>
          <w:numId w:val="4"/>
        </w:numPr>
      </w:pPr>
      <w:r>
        <w:t>Underlying Asset Type can only be 'Swaps' or 'Other' (CFI 3rd character: W &amp; M respectively)</w:t>
      </w:r>
    </w:p>
    <w:p w14:paraId="56E73FF2" w14:textId="77777777" w:rsidR="00AD5B3B" w:rsidRDefault="00AD5B3B" w:rsidP="00AD5B3B"/>
    <w:p w14:paraId="008D1390" w14:textId="77777777" w:rsidR="00AD5B3B" w:rsidRDefault="00AD5B3B" w:rsidP="00AD5B3B">
      <w:r>
        <w:t>Scenario 6 - multiple LEI ONLY</w:t>
      </w:r>
    </w:p>
    <w:p w14:paraId="3F343D53" w14:textId="77777777" w:rsidR="00AD5B3B" w:rsidRDefault="00AD5B3B" w:rsidP="00AD5B3B"/>
    <w:p w14:paraId="522173F7" w14:textId="77777777" w:rsidR="00AD5B3B" w:rsidRDefault="00AD5B3B" w:rsidP="00AD5B3B">
      <w:pPr>
        <w:pStyle w:val="ListParagraph"/>
        <w:numPr>
          <w:ilvl w:val="0"/>
          <w:numId w:val="4"/>
        </w:numPr>
      </w:pPr>
      <w:r>
        <w:t>Underlying Asset Type can only be 'Swaps' or 'Other' (CFI 3rd character: W &amp; M respectively)</w:t>
      </w:r>
    </w:p>
    <w:p w14:paraId="686AB5BA" w14:textId="77777777" w:rsidR="00AD5B3B" w:rsidRDefault="00AD5B3B" w:rsidP="00AD5B3B"/>
    <w:p w14:paraId="60CA8918" w14:textId="77777777" w:rsidR="00AD5B3B" w:rsidRDefault="00AD5B3B" w:rsidP="00AD5B3B">
      <w:r>
        <w:t>Scenario 7 - multiple Index ONLY</w:t>
      </w:r>
    </w:p>
    <w:p w14:paraId="54FA4678" w14:textId="77777777" w:rsidR="00AD5B3B" w:rsidRDefault="00AD5B3B" w:rsidP="00AD5B3B">
      <w:pPr>
        <w:pStyle w:val="ListParagraph"/>
        <w:numPr>
          <w:ilvl w:val="0"/>
          <w:numId w:val="4"/>
        </w:numPr>
      </w:pPr>
      <w:r>
        <w:t>Underlying Asset Type can only be 'Other' (CFI 3rd character: M)</w:t>
      </w:r>
    </w:p>
    <w:p w14:paraId="206E40E3" w14:textId="77777777" w:rsidR="00AD5B3B" w:rsidRDefault="00AD5B3B" w:rsidP="00AD5B3B"/>
    <w:p w14:paraId="40BC0F65" w14:textId="77777777" w:rsidR="00AD5B3B" w:rsidRDefault="00AD5B3B" w:rsidP="00AD5B3B">
      <w:r>
        <w:t>Scenario 8 - multiple Index Prop ONLY</w:t>
      </w:r>
    </w:p>
    <w:p w14:paraId="09A761BF" w14:textId="77777777" w:rsidR="00AD5B3B" w:rsidRDefault="00AD5B3B" w:rsidP="00AD5B3B">
      <w:pPr>
        <w:pStyle w:val="ListParagraph"/>
        <w:numPr>
          <w:ilvl w:val="0"/>
          <w:numId w:val="4"/>
        </w:numPr>
      </w:pPr>
      <w:r>
        <w:t>Underlying Asset Type can only be 'Other' (CFI 3rd character: M)</w:t>
      </w:r>
    </w:p>
    <w:p w14:paraId="755D9DDF" w14:textId="77777777" w:rsidR="00AD5B3B" w:rsidRDefault="00AD5B3B" w:rsidP="00AD5B3B"/>
    <w:p w14:paraId="237E6AC6" w14:textId="77777777" w:rsidR="00AD5B3B" w:rsidRDefault="00AD5B3B" w:rsidP="00AD5B3B">
      <w:r>
        <w:t>Scenario 9 - multiple ISIN and LEI ONLY</w:t>
      </w:r>
    </w:p>
    <w:p w14:paraId="43D30406" w14:textId="77777777" w:rsidR="00AD5B3B" w:rsidRDefault="00AD5B3B" w:rsidP="00AD5B3B">
      <w:pPr>
        <w:pStyle w:val="ListParagraph"/>
        <w:numPr>
          <w:ilvl w:val="0"/>
          <w:numId w:val="4"/>
        </w:numPr>
      </w:pPr>
      <w:r>
        <w:t>Underlying Asset Type can only be 'Other' (CFI 3rd character: M)</w:t>
      </w:r>
    </w:p>
    <w:p w14:paraId="114E28B5" w14:textId="77777777" w:rsidR="00AD5B3B" w:rsidRDefault="00AD5B3B" w:rsidP="00AD5B3B"/>
    <w:p w14:paraId="7E7C6903" w14:textId="77777777" w:rsidR="00AD5B3B" w:rsidRDefault="00AD5B3B" w:rsidP="00AD5B3B">
      <w:r>
        <w:t>Scenario 10 - multiple Index and Index Prop ONLY</w:t>
      </w:r>
    </w:p>
    <w:p w14:paraId="05D5A050" w14:textId="77777777" w:rsidR="00AD5B3B" w:rsidRDefault="00AD5B3B" w:rsidP="00AD5B3B">
      <w:pPr>
        <w:pStyle w:val="ListParagraph"/>
        <w:numPr>
          <w:ilvl w:val="0"/>
          <w:numId w:val="4"/>
        </w:numPr>
      </w:pPr>
      <w:r>
        <w:t>Underlying Asset Type can only be 'Other' (CFI 3rd character: M)</w:t>
      </w:r>
    </w:p>
    <w:p w14:paraId="6F73D93A" w14:textId="77777777" w:rsidR="00AD5B3B" w:rsidRDefault="00AD5B3B" w:rsidP="00AD5B3B"/>
    <w:p w14:paraId="4A6180CD" w14:textId="77777777" w:rsidR="00AD5B3B" w:rsidRDefault="00AD5B3B" w:rsidP="00AD5B3B">
      <w:r>
        <w:t>Scenario 11 - Any combination of ISIN/LEI and Index/Index Prop above</w:t>
      </w:r>
    </w:p>
    <w:p w14:paraId="199726B2" w14:textId="77777777" w:rsidR="00AD5B3B" w:rsidRPr="001E3D9F" w:rsidRDefault="00AD5B3B" w:rsidP="00AD5B3B">
      <w:pPr>
        <w:pStyle w:val="ListParagraph"/>
        <w:numPr>
          <w:ilvl w:val="0"/>
          <w:numId w:val="4"/>
        </w:numPr>
      </w:pPr>
      <w:r>
        <w:t>Underlying Asset Type can only be 'Other' (CFI 3rd character: M)</w:t>
      </w:r>
    </w:p>
    <w:p w14:paraId="56B4358F" w14:textId="77777777" w:rsidR="00AD5B3B" w:rsidRDefault="00AD5B3B" w:rsidP="00AD5B3B"/>
    <w:p w14:paraId="5A777FF2" w14:textId="77777777" w:rsidR="00AD5B3B" w:rsidRDefault="00AD5B3B" w:rsidP="00AD5B3B">
      <w:pPr>
        <w:pStyle w:val="Heading2"/>
        <w:ind w:left="567"/>
      </w:pPr>
      <w:bookmarkStart w:id="68" w:name="_Toc500926787"/>
      <w:bookmarkStart w:id="69" w:name="_Toc527364508"/>
      <w:r>
        <w:t>Equity Non-Standard SWAP Validations</w:t>
      </w:r>
      <w:bookmarkEnd w:id="68"/>
      <w:bookmarkEnd w:id="69"/>
    </w:p>
    <w:p w14:paraId="35744E51" w14:textId="77777777" w:rsidR="00AD5B3B" w:rsidRDefault="00AD5B3B" w:rsidP="00AD5B3B"/>
    <w:p w14:paraId="49ED4660" w14:textId="77777777" w:rsidR="00AD5B3B" w:rsidRDefault="00AD5B3B" w:rsidP="00AD5B3B">
      <w:r>
        <w:t>Scenario 1 - Single Index ONLY</w:t>
      </w:r>
    </w:p>
    <w:p w14:paraId="2EB1BF9F" w14:textId="77777777" w:rsidR="00AD5B3B" w:rsidRDefault="00AD5B3B" w:rsidP="00AD5B3B">
      <w:pPr>
        <w:pStyle w:val="ListParagraph"/>
        <w:numPr>
          <w:ilvl w:val="0"/>
          <w:numId w:val="4"/>
        </w:numPr>
      </w:pPr>
      <w:r>
        <w:t>Underlying Asset Type can only be 'Index' (CFI 3rd character: I)</w:t>
      </w:r>
    </w:p>
    <w:p w14:paraId="7410FC11" w14:textId="77777777" w:rsidR="00AD5B3B" w:rsidRDefault="00AD5B3B" w:rsidP="00AD5B3B"/>
    <w:p w14:paraId="4AA3190D" w14:textId="77777777" w:rsidR="00AD5B3B" w:rsidRDefault="00AD5B3B" w:rsidP="00AD5B3B">
      <w:r>
        <w:t>Scenario 2 - Single Index Prop ONLY</w:t>
      </w:r>
    </w:p>
    <w:p w14:paraId="6E04F1BE" w14:textId="77777777" w:rsidR="00AD5B3B" w:rsidRDefault="00AD5B3B" w:rsidP="00AD5B3B">
      <w:pPr>
        <w:pStyle w:val="ListParagraph"/>
        <w:numPr>
          <w:ilvl w:val="0"/>
          <w:numId w:val="4"/>
        </w:numPr>
      </w:pPr>
      <w:r>
        <w:t>Underlying Asset Type can only be 'Index' (CFI 3rd character: I)</w:t>
      </w:r>
    </w:p>
    <w:p w14:paraId="4EBB070D" w14:textId="77777777" w:rsidR="00AD5B3B" w:rsidRDefault="00AD5B3B" w:rsidP="00AD5B3B"/>
    <w:p w14:paraId="780A4F77" w14:textId="77777777" w:rsidR="00AD5B3B" w:rsidRDefault="00AD5B3B" w:rsidP="00AD5B3B">
      <w:r>
        <w:t>Scenario 3 - Single ISIN ONLY</w:t>
      </w:r>
    </w:p>
    <w:p w14:paraId="3E978EF4" w14:textId="77777777" w:rsidR="00AD5B3B" w:rsidRDefault="00AD5B3B" w:rsidP="00AD5B3B">
      <w:pPr>
        <w:pStyle w:val="ListParagraph"/>
        <w:numPr>
          <w:ilvl w:val="0"/>
          <w:numId w:val="4"/>
        </w:numPr>
      </w:pPr>
      <w:r>
        <w:t>Underlying Asset Type only be 'Single Stock', 'Index' or 'Other' (CFI 3rd character: S/I/M respectively)</w:t>
      </w:r>
    </w:p>
    <w:p w14:paraId="5753F0E5" w14:textId="77777777" w:rsidR="00AD5B3B" w:rsidRDefault="00AD5B3B" w:rsidP="00AD5B3B"/>
    <w:p w14:paraId="4A4D5B41" w14:textId="77777777" w:rsidR="00AD5B3B" w:rsidRDefault="00AD5B3B" w:rsidP="00AD5B3B">
      <w:r>
        <w:t>Scenario 4 - multiple Index ONLY</w:t>
      </w:r>
    </w:p>
    <w:p w14:paraId="14B2B331" w14:textId="77777777" w:rsidR="00AD5B3B" w:rsidRDefault="00AD5B3B" w:rsidP="00AD5B3B">
      <w:pPr>
        <w:pStyle w:val="ListParagraph"/>
        <w:numPr>
          <w:ilvl w:val="0"/>
          <w:numId w:val="4"/>
        </w:numPr>
      </w:pPr>
      <w:r>
        <w:t>Underlying Asset Type only 'Basket' (CFI 3rd character: B respectively)</w:t>
      </w:r>
    </w:p>
    <w:p w14:paraId="26912BD4" w14:textId="77777777" w:rsidR="00AD5B3B" w:rsidRDefault="00AD5B3B" w:rsidP="00AD5B3B"/>
    <w:p w14:paraId="2A4B335E" w14:textId="77777777" w:rsidR="00AD5B3B" w:rsidRDefault="00AD5B3B" w:rsidP="00AD5B3B">
      <w:r>
        <w:t>Scenario 5 - multiple Index Prop ONLY</w:t>
      </w:r>
    </w:p>
    <w:p w14:paraId="21FE5E57" w14:textId="77777777" w:rsidR="00AD5B3B" w:rsidRDefault="00AD5B3B" w:rsidP="00AD5B3B">
      <w:pPr>
        <w:pStyle w:val="ListParagraph"/>
        <w:numPr>
          <w:ilvl w:val="0"/>
          <w:numId w:val="4"/>
        </w:numPr>
      </w:pPr>
      <w:r>
        <w:t>Underlying Asset Type only 'Basket' (CFI 3rd character: B only)</w:t>
      </w:r>
    </w:p>
    <w:p w14:paraId="3675E422" w14:textId="77777777" w:rsidR="00AD5B3B" w:rsidRDefault="00AD5B3B" w:rsidP="00AD5B3B"/>
    <w:p w14:paraId="63BDAC7D" w14:textId="77777777" w:rsidR="00AD5B3B" w:rsidRDefault="00AD5B3B" w:rsidP="00AD5B3B">
      <w:r>
        <w:t>Scenario 6 - multiple ISIN ONLY</w:t>
      </w:r>
    </w:p>
    <w:p w14:paraId="7E8F23D4" w14:textId="77777777" w:rsidR="00AD5B3B" w:rsidRDefault="00AD5B3B" w:rsidP="00AD5B3B">
      <w:pPr>
        <w:pStyle w:val="ListParagraph"/>
        <w:numPr>
          <w:ilvl w:val="0"/>
          <w:numId w:val="4"/>
        </w:numPr>
      </w:pPr>
      <w:r>
        <w:t>Underlying Asset Type only be 'Basket' (CFI 3rd character: B only)</w:t>
      </w:r>
    </w:p>
    <w:p w14:paraId="545E75D9" w14:textId="77777777" w:rsidR="00AD5B3B" w:rsidRDefault="00AD5B3B" w:rsidP="00AD5B3B"/>
    <w:p w14:paraId="46DBED28" w14:textId="77777777" w:rsidR="00AD5B3B" w:rsidRDefault="00AD5B3B" w:rsidP="00AD5B3B">
      <w:r>
        <w:t>Scenario 7 - Any combination of ISIN and Index/Index Prop above</w:t>
      </w:r>
    </w:p>
    <w:p w14:paraId="7E2603E0" w14:textId="77777777" w:rsidR="00AD5B3B" w:rsidRDefault="00AD5B3B" w:rsidP="00AD5B3B">
      <w:pPr>
        <w:pStyle w:val="ListParagraph"/>
        <w:numPr>
          <w:ilvl w:val="0"/>
          <w:numId w:val="4"/>
        </w:numPr>
      </w:pPr>
      <w:r>
        <w:t>Underlying Asset Type can only be 'Basket' (CFI 3rd character: B only)</w:t>
      </w:r>
    </w:p>
    <w:p w14:paraId="136F9B3E" w14:textId="77777777" w:rsidR="00AD5B3B" w:rsidRDefault="00AD5B3B" w:rsidP="00AD5B3B"/>
    <w:p w14:paraId="3BA35E88" w14:textId="77777777" w:rsidR="00AD5B3B" w:rsidRDefault="00AD5B3B" w:rsidP="00AD5B3B">
      <w:pPr>
        <w:pStyle w:val="Heading2"/>
        <w:ind w:left="567"/>
      </w:pPr>
      <w:bookmarkStart w:id="70" w:name="_Toc500926788"/>
      <w:bookmarkStart w:id="71" w:name="_Toc527364509"/>
      <w:r>
        <w:t>Equity Non-Standard OPTION Validations</w:t>
      </w:r>
      <w:bookmarkEnd w:id="70"/>
      <w:bookmarkEnd w:id="71"/>
    </w:p>
    <w:p w14:paraId="056E6C6A" w14:textId="77777777" w:rsidR="00AD5B3B" w:rsidRDefault="00AD5B3B" w:rsidP="00AD5B3B"/>
    <w:p w14:paraId="7841CC49" w14:textId="77777777" w:rsidR="00AD5B3B" w:rsidRDefault="00AD5B3B" w:rsidP="00AD5B3B">
      <w:r>
        <w:t>Scenario 1 - Single Index ONLY</w:t>
      </w:r>
    </w:p>
    <w:p w14:paraId="0F470C0D" w14:textId="77777777" w:rsidR="00AD5B3B" w:rsidRDefault="00AD5B3B" w:rsidP="00AD5B3B">
      <w:pPr>
        <w:pStyle w:val="ListParagraph"/>
        <w:numPr>
          <w:ilvl w:val="0"/>
          <w:numId w:val="4"/>
        </w:numPr>
      </w:pPr>
      <w:r>
        <w:t>Underlying Asset Type can only be 'Index' (CFI 3rd character: I only)</w:t>
      </w:r>
    </w:p>
    <w:p w14:paraId="33A60832" w14:textId="77777777" w:rsidR="00AD5B3B" w:rsidRDefault="00AD5B3B" w:rsidP="00AD5B3B"/>
    <w:p w14:paraId="039525DB" w14:textId="77777777" w:rsidR="00AD5B3B" w:rsidRDefault="00AD5B3B" w:rsidP="00AD5B3B">
      <w:r>
        <w:t>Scenario 2 - Single Index Prop ONLY</w:t>
      </w:r>
    </w:p>
    <w:p w14:paraId="0BDA052C" w14:textId="77777777" w:rsidR="00AD5B3B" w:rsidRDefault="00AD5B3B" w:rsidP="00AD5B3B">
      <w:pPr>
        <w:pStyle w:val="ListParagraph"/>
        <w:numPr>
          <w:ilvl w:val="0"/>
          <w:numId w:val="4"/>
        </w:numPr>
      </w:pPr>
      <w:r>
        <w:t>Underlying Asset Type can only be 'Index' (CFI 3rd character: I only)</w:t>
      </w:r>
    </w:p>
    <w:p w14:paraId="46052ED1" w14:textId="77777777" w:rsidR="00AD5B3B" w:rsidRDefault="00AD5B3B" w:rsidP="00AD5B3B"/>
    <w:p w14:paraId="4FE1ECDB" w14:textId="77777777" w:rsidR="00AD5B3B" w:rsidRDefault="00AD5B3B" w:rsidP="00AD5B3B">
      <w:r>
        <w:t>Scenario 3 - Single ISIN ONLY</w:t>
      </w:r>
    </w:p>
    <w:p w14:paraId="29485ABD" w14:textId="77777777" w:rsidR="00AD5B3B" w:rsidRDefault="00AD5B3B" w:rsidP="00AD5B3B">
      <w:pPr>
        <w:pStyle w:val="ListParagraph"/>
        <w:numPr>
          <w:ilvl w:val="0"/>
          <w:numId w:val="4"/>
        </w:numPr>
      </w:pPr>
      <w:r>
        <w:t>Underlying Asset Type only be 'Single Stock', 'Index', 'Options', 'Forwards', 'Futures' or 'Other' (CFI 3rd character: S/I/O/R/F/M respectively)</w:t>
      </w:r>
    </w:p>
    <w:p w14:paraId="57CDBB95" w14:textId="77777777" w:rsidR="00AD5B3B" w:rsidRDefault="00AD5B3B" w:rsidP="00AD5B3B"/>
    <w:p w14:paraId="0AA22271" w14:textId="77777777" w:rsidR="00AD5B3B" w:rsidRDefault="00AD5B3B" w:rsidP="00AD5B3B">
      <w:r>
        <w:t>Scenario 4 - multiple Index ONLY</w:t>
      </w:r>
    </w:p>
    <w:p w14:paraId="090FFE54" w14:textId="77777777" w:rsidR="00AD5B3B" w:rsidRDefault="00AD5B3B" w:rsidP="00AD5B3B">
      <w:pPr>
        <w:pStyle w:val="ListParagraph"/>
        <w:numPr>
          <w:ilvl w:val="0"/>
          <w:numId w:val="4"/>
        </w:numPr>
      </w:pPr>
      <w:r>
        <w:t>Underlying Asset Type only 'Basket' (CFI 3rd character: B only)</w:t>
      </w:r>
    </w:p>
    <w:p w14:paraId="459C959C" w14:textId="77777777" w:rsidR="00AD5B3B" w:rsidRDefault="00AD5B3B" w:rsidP="00AD5B3B"/>
    <w:p w14:paraId="23246B3F" w14:textId="77777777" w:rsidR="00AD5B3B" w:rsidRDefault="00AD5B3B" w:rsidP="00AD5B3B">
      <w:r>
        <w:t>Scenario 5 - multiple Index Prop ONLY</w:t>
      </w:r>
    </w:p>
    <w:p w14:paraId="4733271A" w14:textId="77777777" w:rsidR="00AD5B3B" w:rsidRDefault="00AD5B3B" w:rsidP="00AD5B3B">
      <w:pPr>
        <w:pStyle w:val="ListParagraph"/>
        <w:numPr>
          <w:ilvl w:val="0"/>
          <w:numId w:val="4"/>
        </w:numPr>
      </w:pPr>
      <w:r>
        <w:t>Underlying Asset Type only 'Basket' (CFI 3rd character: B only)</w:t>
      </w:r>
    </w:p>
    <w:p w14:paraId="106FFAC6" w14:textId="77777777" w:rsidR="00AD5B3B" w:rsidRDefault="00AD5B3B" w:rsidP="00AD5B3B"/>
    <w:p w14:paraId="32F427BE" w14:textId="77777777" w:rsidR="00AD5B3B" w:rsidRDefault="00AD5B3B" w:rsidP="00AD5B3B">
      <w:r>
        <w:t>Scenario 6 - multiple ISIN ONLY</w:t>
      </w:r>
    </w:p>
    <w:p w14:paraId="5BA56522" w14:textId="77777777" w:rsidR="00AD5B3B" w:rsidRDefault="00AD5B3B" w:rsidP="00AD5B3B">
      <w:pPr>
        <w:pStyle w:val="ListParagraph"/>
        <w:numPr>
          <w:ilvl w:val="0"/>
          <w:numId w:val="4"/>
        </w:numPr>
      </w:pPr>
      <w:r>
        <w:t>Underlying Asset Type only be 'Basket', 'Options', 'Forwards', 'Futures' or 'Other' (CFI 3rd character: B/O/R/F/M respectively)</w:t>
      </w:r>
    </w:p>
    <w:p w14:paraId="7325C3A2" w14:textId="77777777" w:rsidR="00AD5B3B" w:rsidRDefault="00AD5B3B" w:rsidP="00AD5B3B"/>
    <w:p w14:paraId="0ACF087A" w14:textId="77777777" w:rsidR="00AD5B3B" w:rsidRDefault="00AD5B3B" w:rsidP="00AD5B3B">
      <w:r>
        <w:t>Scenario 7 - Any combination of ISIN and Index/Index Prop above</w:t>
      </w:r>
    </w:p>
    <w:p w14:paraId="4384F614" w14:textId="77777777" w:rsidR="00AD5B3B" w:rsidRDefault="00AD5B3B" w:rsidP="00AD5B3B">
      <w:pPr>
        <w:pStyle w:val="ListParagraph"/>
        <w:numPr>
          <w:ilvl w:val="0"/>
          <w:numId w:val="4"/>
        </w:numPr>
      </w:pPr>
      <w:r>
        <w:t>Underlying Asset Type can only be 'Basket' (CFI 3rd character: B only)</w:t>
      </w:r>
    </w:p>
    <w:p w14:paraId="5EE13B39" w14:textId="77777777" w:rsidR="00AD5B3B" w:rsidRDefault="00AD5B3B" w:rsidP="00AD5B3B"/>
    <w:p w14:paraId="01A9F15F" w14:textId="77777777" w:rsidR="00AD5B3B" w:rsidRDefault="00AD5B3B" w:rsidP="00AD5B3B">
      <w:pPr>
        <w:pStyle w:val="Heading2"/>
        <w:ind w:left="567"/>
      </w:pPr>
      <w:bookmarkStart w:id="72" w:name="_Toc500926789"/>
      <w:bookmarkStart w:id="73" w:name="_Toc527364510"/>
      <w:r>
        <w:t>Equity Non-Standard FORWARD Validations</w:t>
      </w:r>
      <w:bookmarkEnd w:id="72"/>
      <w:bookmarkEnd w:id="73"/>
    </w:p>
    <w:p w14:paraId="6F9D800F" w14:textId="77777777" w:rsidR="00AD5B3B" w:rsidRDefault="00AD5B3B" w:rsidP="00AD5B3B"/>
    <w:p w14:paraId="0846A249" w14:textId="77777777" w:rsidR="00AD5B3B" w:rsidRDefault="00AD5B3B" w:rsidP="00AD5B3B">
      <w:r>
        <w:t>Scenario 1 - Single Index ONLY</w:t>
      </w:r>
    </w:p>
    <w:p w14:paraId="18CC79A7" w14:textId="77777777" w:rsidR="00AD5B3B" w:rsidRDefault="00AD5B3B" w:rsidP="00AD5B3B">
      <w:pPr>
        <w:pStyle w:val="ListParagraph"/>
        <w:numPr>
          <w:ilvl w:val="0"/>
          <w:numId w:val="4"/>
        </w:numPr>
      </w:pPr>
      <w:r>
        <w:t>Underlying Asset Type can only be 'Index' (CFI 3rd character: I)</w:t>
      </w:r>
    </w:p>
    <w:p w14:paraId="7763B8CE" w14:textId="77777777" w:rsidR="00AD5B3B" w:rsidRDefault="00AD5B3B" w:rsidP="00AD5B3B"/>
    <w:p w14:paraId="47B5BF6E" w14:textId="77777777" w:rsidR="00AD5B3B" w:rsidRDefault="00AD5B3B" w:rsidP="00AD5B3B">
      <w:r>
        <w:t>Scenario 2 - Single Index Prop ONLY</w:t>
      </w:r>
    </w:p>
    <w:p w14:paraId="227DBDE6" w14:textId="77777777" w:rsidR="00AD5B3B" w:rsidRDefault="00AD5B3B" w:rsidP="00AD5B3B">
      <w:pPr>
        <w:pStyle w:val="ListParagraph"/>
        <w:numPr>
          <w:ilvl w:val="0"/>
          <w:numId w:val="4"/>
        </w:numPr>
      </w:pPr>
      <w:r>
        <w:t>Underlying Asset Type can only be 'Index' (CFI 3rd character: I)</w:t>
      </w:r>
    </w:p>
    <w:p w14:paraId="4CEAD95A" w14:textId="77777777" w:rsidR="00AD5B3B" w:rsidRDefault="00AD5B3B" w:rsidP="00AD5B3B"/>
    <w:p w14:paraId="68A11F65" w14:textId="77777777" w:rsidR="00AD5B3B" w:rsidRDefault="00AD5B3B" w:rsidP="00AD5B3B">
      <w:r>
        <w:t>Scenario 3 - Single ISIN ONLY</w:t>
      </w:r>
    </w:p>
    <w:p w14:paraId="083E4D65" w14:textId="77777777" w:rsidR="00AD5B3B" w:rsidRDefault="00AD5B3B" w:rsidP="00AD5B3B">
      <w:pPr>
        <w:pStyle w:val="ListParagraph"/>
        <w:numPr>
          <w:ilvl w:val="0"/>
          <w:numId w:val="4"/>
        </w:numPr>
      </w:pPr>
      <w:r>
        <w:t>Underlying Asset Type only be 'Single Stock', 'Index', 'Options' or 'Futures' (CFI 3rd character: S/I/O/F respectively)</w:t>
      </w:r>
    </w:p>
    <w:p w14:paraId="592BDE27" w14:textId="77777777" w:rsidR="00AD5B3B" w:rsidRDefault="00AD5B3B" w:rsidP="00AD5B3B"/>
    <w:p w14:paraId="02F65C6F" w14:textId="77777777" w:rsidR="00AD5B3B" w:rsidRDefault="00AD5B3B" w:rsidP="00AD5B3B">
      <w:r>
        <w:t>Scenario 4 - multiple Index ONLY</w:t>
      </w:r>
    </w:p>
    <w:p w14:paraId="4044AEC5" w14:textId="77777777" w:rsidR="00AD5B3B" w:rsidRDefault="00AD5B3B" w:rsidP="00AD5B3B">
      <w:pPr>
        <w:pStyle w:val="ListParagraph"/>
        <w:numPr>
          <w:ilvl w:val="0"/>
          <w:numId w:val="4"/>
        </w:numPr>
      </w:pPr>
      <w:r>
        <w:t>Underlying Asset Type only 'Basket' (CFI 3rd character: B respectively)</w:t>
      </w:r>
    </w:p>
    <w:p w14:paraId="25F187FF" w14:textId="77777777" w:rsidR="00AD5B3B" w:rsidRDefault="00AD5B3B" w:rsidP="00AD5B3B"/>
    <w:p w14:paraId="3DFB169B" w14:textId="77777777" w:rsidR="00AD5B3B" w:rsidRDefault="00AD5B3B" w:rsidP="00AD5B3B">
      <w:r>
        <w:t>Scenario 5 - multiple Index Prop ONLY</w:t>
      </w:r>
    </w:p>
    <w:p w14:paraId="649F1165" w14:textId="77777777" w:rsidR="00AD5B3B" w:rsidRDefault="00AD5B3B" w:rsidP="00AD5B3B">
      <w:pPr>
        <w:pStyle w:val="ListParagraph"/>
        <w:numPr>
          <w:ilvl w:val="0"/>
          <w:numId w:val="4"/>
        </w:numPr>
      </w:pPr>
      <w:r>
        <w:t>Underlying Asset Type only 'Basket' (CFI 3rd character: B respectively)</w:t>
      </w:r>
    </w:p>
    <w:p w14:paraId="456B4EC5" w14:textId="77777777" w:rsidR="00AD5B3B" w:rsidRDefault="00AD5B3B" w:rsidP="00AD5B3B"/>
    <w:p w14:paraId="40B9B7CE" w14:textId="77777777" w:rsidR="00AD5B3B" w:rsidRDefault="00AD5B3B" w:rsidP="00AD5B3B">
      <w:r>
        <w:t>Scenario 6 - multiple ISIN ONLY</w:t>
      </w:r>
    </w:p>
    <w:p w14:paraId="2FCD2451" w14:textId="77777777" w:rsidR="00AD5B3B" w:rsidRDefault="00AD5B3B" w:rsidP="00AD5B3B">
      <w:pPr>
        <w:pStyle w:val="ListParagraph"/>
        <w:numPr>
          <w:ilvl w:val="0"/>
          <w:numId w:val="4"/>
        </w:numPr>
      </w:pPr>
      <w:r>
        <w:t>Underlying Asset Type only be 'Basket', 'Options' or 'Futures' (CFI 3rd character: B/O/F respectively)</w:t>
      </w:r>
    </w:p>
    <w:p w14:paraId="6BF70007" w14:textId="77777777" w:rsidR="00AD5B3B" w:rsidRDefault="00AD5B3B" w:rsidP="00AD5B3B"/>
    <w:p w14:paraId="7DC90D1E" w14:textId="77777777" w:rsidR="00AD5B3B" w:rsidRDefault="00AD5B3B" w:rsidP="00AD5B3B">
      <w:r>
        <w:t>Scenario 7 - Any combination of ISIN and Index/Index Prop above</w:t>
      </w:r>
    </w:p>
    <w:p w14:paraId="27F27758" w14:textId="6FDB926E" w:rsidR="0081519C" w:rsidRDefault="00AD5B3B" w:rsidP="00AD5B3B">
      <w:pPr>
        <w:pStyle w:val="ListParagraph"/>
        <w:numPr>
          <w:ilvl w:val="0"/>
          <w:numId w:val="4"/>
        </w:numPr>
      </w:pPr>
      <w:r>
        <w:t>Underlying Asset Type can only be 'Basket' (CFI 3rd character: B only)</w:t>
      </w:r>
    </w:p>
    <w:p w14:paraId="31148FBF" w14:textId="53BB12DC" w:rsidR="00FE6FD6" w:rsidRDefault="00FE6FD6">
      <w:r>
        <w:br w:type="page"/>
      </w:r>
    </w:p>
    <w:p w14:paraId="4ACF5637" w14:textId="77777777" w:rsidR="006C4DF9" w:rsidRDefault="006C4DF9" w:rsidP="00E362FA"/>
    <w:p w14:paraId="3889B246" w14:textId="77777777" w:rsidR="006C4DF9" w:rsidRDefault="006C4DF9" w:rsidP="006C4DF9">
      <w:pPr>
        <w:pStyle w:val="Heading2"/>
        <w:ind w:left="567"/>
      </w:pPr>
      <w:bookmarkStart w:id="74" w:name="_Toc511834913"/>
      <w:bookmarkStart w:id="75" w:name="_Toc527364511"/>
      <w:r>
        <w:t>Rates - Reference Rate or Other Leg Reference Rate Validations</w:t>
      </w:r>
      <w:bookmarkEnd w:id="74"/>
      <w:bookmarkEnd w:id="75"/>
    </w:p>
    <w:p w14:paraId="1588F416" w14:textId="77777777" w:rsidR="006C4DF9" w:rsidRDefault="006C4DF9" w:rsidP="006C4DF9"/>
    <w:p w14:paraId="4208B381" w14:textId="77777777" w:rsidR="006C4DF9" w:rsidRDefault="006C4DF9" w:rsidP="006C4DF9">
      <w:r>
        <w:t>The below table represents a list of reference rates where a minimum acceptable expiry date will be applied for newly created reference rates. The minimum expiry date will typically match the first date on which the reference rate is made available.</w:t>
      </w:r>
    </w:p>
    <w:p w14:paraId="62DB2897" w14:textId="77777777" w:rsidR="006C4DF9" w:rsidRDefault="006C4DF9" w:rsidP="006C4DF9"/>
    <w:tbl>
      <w:tblPr>
        <w:tblStyle w:val="GridTable4-Accent5"/>
        <w:tblW w:w="9016" w:type="dxa"/>
        <w:tblLook w:val="04A0" w:firstRow="1" w:lastRow="0" w:firstColumn="1" w:lastColumn="0" w:noHBand="0" w:noVBand="1"/>
      </w:tblPr>
      <w:tblGrid>
        <w:gridCol w:w="2254"/>
        <w:gridCol w:w="2254"/>
        <w:gridCol w:w="2254"/>
        <w:gridCol w:w="2254"/>
      </w:tblGrid>
      <w:tr w:rsidR="006C4DF9" w:rsidRPr="00F61043" w14:paraId="142FFFF7" w14:textId="77777777" w:rsidTr="000379F9">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254" w:type="dxa"/>
            <w:hideMark/>
          </w:tcPr>
          <w:p w14:paraId="0CB102B3" w14:textId="77777777" w:rsidR="006C4DF9" w:rsidRPr="00F61043" w:rsidRDefault="006C4DF9" w:rsidP="000379F9">
            <w:pPr>
              <w:spacing w:before="75" w:after="75"/>
              <w:jc w:val="center"/>
              <w:rPr>
                <w:rFonts w:eastAsia="Times New Roman" w:cstheme="minorHAnsi"/>
                <w:lang w:eastAsia="en-GB"/>
              </w:rPr>
            </w:pPr>
            <w:r>
              <w:rPr>
                <w:rFonts w:eastAsia="Times New Roman" w:cstheme="minorHAnsi"/>
                <w:lang w:eastAsia="en-GB"/>
              </w:rPr>
              <w:t>Rate</w:t>
            </w:r>
          </w:p>
        </w:tc>
        <w:tc>
          <w:tcPr>
            <w:tcW w:w="2254" w:type="dxa"/>
            <w:hideMark/>
          </w:tcPr>
          <w:p w14:paraId="7DC13855" w14:textId="77777777" w:rsidR="006C4DF9" w:rsidRPr="00F61043" w:rsidRDefault="006C4DF9" w:rsidP="000379F9">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Available Date</w:t>
            </w:r>
          </w:p>
        </w:tc>
        <w:tc>
          <w:tcPr>
            <w:tcW w:w="2254" w:type="dxa"/>
          </w:tcPr>
          <w:p w14:paraId="789B14A1" w14:textId="77777777" w:rsidR="006C4DF9" w:rsidRPr="00F61043" w:rsidRDefault="006C4DF9" w:rsidP="000379F9">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Minimum Expiry Date</w:t>
            </w:r>
          </w:p>
        </w:tc>
        <w:tc>
          <w:tcPr>
            <w:tcW w:w="2254" w:type="dxa"/>
          </w:tcPr>
          <w:p w14:paraId="70735926" w14:textId="77777777" w:rsidR="006C4DF9" w:rsidRDefault="006C4DF9" w:rsidP="000379F9">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Message</w:t>
            </w:r>
          </w:p>
        </w:tc>
      </w:tr>
      <w:tr w:rsidR="006C4DF9" w:rsidRPr="00F61043" w14:paraId="096B0FE5" w14:textId="77777777" w:rsidTr="000379F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254" w:type="dxa"/>
          </w:tcPr>
          <w:p w14:paraId="107B75A2" w14:textId="77777777" w:rsidR="006C4DF9" w:rsidRPr="00F61043" w:rsidRDefault="006C4DF9" w:rsidP="000379F9">
            <w:pPr>
              <w:spacing w:before="75" w:after="75"/>
              <w:rPr>
                <w:rFonts w:eastAsia="Times New Roman" w:cstheme="minorHAnsi"/>
                <w:b w:val="0"/>
                <w:lang w:eastAsia="en-GB"/>
              </w:rPr>
            </w:pPr>
            <w:r w:rsidRPr="00036B57">
              <w:rPr>
                <w:rFonts w:eastAsia="Times New Roman" w:cstheme="minorHAnsi"/>
                <w:b w:val="0"/>
                <w:lang w:eastAsia="en-GB"/>
              </w:rPr>
              <w:t>GBP-SONIA-COMPOUND</w:t>
            </w:r>
          </w:p>
        </w:tc>
        <w:tc>
          <w:tcPr>
            <w:tcW w:w="2254" w:type="dxa"/>
          </w:tcPr>
          <w:p w14:paraId="6B5C8597" w14:textId="77777777" w:rsidR="006C4DF9" w:rsidRPr="00F61043" w:rsidRDefault="006C4DF9" w:rsidP="000379F9">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23</w:t>
            </w:r>
            <w:r w:rsidRPr="00036B57">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577DE578" w14:textId="77777777" w:rsidR="006C4DF9" w:rsidRPr="00F61043" w:rsidRDefault="006C4DF9" w:rsidP="000379F9">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23</w:t>
            </w:r>
            <w:r w:rsidRPr="002D7933">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13D910ED" w14:textId="77777777" w:rsidR="006C4DF9" w:rsidRDefault="006C4DF9" w:rsidP="000379F9">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Error: This reference rate is invalid for the given expiry date</w:t>
            </w:r>
          </w:p>
        </w:tc>
      </w:tr>
      <w:tr w:rsidR="00A71F55" w:rsidRPr="00F61043" w14:paraId="11A6DD1F" w14:textId="77777777" w:rsidTr="000379F9">
        <w:trPr>
          <w:trHeight w:val="737"/>
        </w:trPr>
        <w:tc>
          <w:tcPr>
            <w:cnfStyle w:val="001000000000" w:firstRow="0" w:lastRow="0" w:firstColumn="1" w:lastColumn="0" w:oddVBand="0" w:evenVBand="0" w:oddHBand="0" w:evenHBand="0" w:firstRowFirstColumn="0" w:firstRowLastColumn="0" w:lastRowFirstColumn="0" w:lastRowLastColumn="0"/>
            <w:tcW w:w="2254" w:type="dxa"/>
          </w:tcPr>
          <w:p w14:paraId="37245501" w14:textId="2F174033" w:rsidR="00A71F55" w:rsidRPr="00036B57" w:rsidRDefault="00A71F55" w:rsidP="00A71F55">
            <w:pPr>
              <w:spacing w:before="75" w:after="75"/>
              <w:rPr>
                <w:rFonts w:eastAsia="Times New Roman" w:cstheme="minorHAnsi"/>
                <w:b w:val="0"/>
                <w:lang w:eastAsia="en-GB"/>
              </w:rPr>
            </w:pPr>
            <w:r w:rsidRPr="00450D49">
              <w:rPr>
                <w:rFonts w:eastAsia="Times New Roman" w:cstheme="minorHAnsi"/>
                <w:b w:val="0"/>
                <w:lang w:eastAsia="en-GB"/>
              </w:rPr>
              <w:t>USD-SOFR-COMPOUND</w:t>
            </w:r>
          </w:p>
        </w:tc>
        <w:tc>
          <w:tcPr>
            <w:tcW w:w="2254" w:type="dxa"/>
          </w:tcPr>
          <w:p w14:paraId="07DDD3B8" w14:textId="2A06AAE3" w:rsidR="00A71F55" w:rsidRDefault="00A71F55" w:rsidP="00A71F55">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w:t>
            </w:r>
            <w:r w:rsidRPr="00450D49">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640FF0D7" w14:textId="5CD68F72" w:rsidR="00A71F55" w:rsidRDefault="00A71F55" w:rsidP="00A71F55">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w:t>
            </w:r>
            <w:r w:rsidRPr="00450D49">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52974E62" w14:textId="2E49DF1C" w:rsidR="00A71F55" w:rsidRDefault="00A71F55" w:rsidP="00A71F55">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This reference rate is invalid for the given expiry date</w:t>
            </w:r>
          </w:p>
        </w:tc>
      </w:tr>
    </w:tbl>
    <w:p w14:paraId="6B4D75B7" w14:textId="77777777" w:rsidR="006C4DF9" w:rsidRDefault="006C4DF9" w:rsidP="006C4DF9"/>
    <w:p w14:paraId="15A9F029" w14:textId="77777777" w:rsidR="006C4DF9" w:rsidRDefault="006C4DF9" w:rsidP="006C4DF9">
      <w:pPr>
        <w:pStyle w:val="Heading2"/>
        <w:ind w:left="567"/>
      </w:pPr>
      <w:bookmarkStart w:id="76" w:name="_Toc511834914"/>
      <w:bookmarkStart w:id="77" w:name="_Toc527364512"/>
      <w:r>
        <w:t xml:space="preserve">Rates </w:t>
      </w:r>
      <w:proofErr w:type="spellStart"/>
      <w:r>
        <w:t>CapFloor</w:t>
      </w:r>
      <w:proofErr w:type="spellEnd"/>
      <w:r>
        <w:t xml:space="preserve"> – Underlying Instrument Index</w:t>
      </w:r>
      <w:bookmarkEnd w:id="76"/>
      <w:bookmarkEnd w:id="77"/>
    </w:p>
    <w:p w14:paraId="336EFFFB" w14:textId="77777777" w:rsidR="006C4DF9" w:rsidRDefault="006C4DF9" w:rsidP="006C4DF9"/>
    <w:p w14:paraId="445F04AB" w14:textId="77777777" w:rsidR="006C4DF9" w:rsidRDefault="006C4DF9" w:rsidP="006C4DF9">
      <w:r>
        <w:t xml:space="preserve">For the Rates </w:t>
      </w:r>
      <w:proofErr w:type="spellStart"/>
      <w:r>
        <w:t>CapFloor</w:t>
      </w:r>
      <w:proofErr w:type="spellEnd"/>
      <w:r>
        <w:t xml:space="preserve"> template, Underlying Instrument Index references the same list of enumerations as ‘Reference Rate’ and ‘Other Leg Reference Rate’.</w:t>
      </w:r>
    </w:p>
    <w:p w14:paraId="0C42EEB6" w14:textId="77777777" w:rsidR="006C4DF9" w:rsidRDefault="006C4DF9" w:rsidP="006C4DF9"/>
    <w:p w14:paraId="7ECC86BE" w14:textId="77777777" w:rsidR="006C4DF9" w:rsidRDefault="006C4DF9" w:rsidP="006C4DF9">
      <w:r>
        <w:t xml:space="preserve">The below table represents a list of Underlying Instrument Index values used in the Rates </w:t>
      </w:r>
      <w:proofErr w:type="spellStart"/>
      <w:r>
        <w:t>CapFloor</w:t>
      </w:r>
      <w:proofErr w:type="spellEnd"/>
      <w:r>
        <w:t xml:space="preserve"> template, where a minimum acceptable expiry date will be applied for newly created reference rates. The minimum expiry date will typically match the first date on which the reference rate is made available.</w:t>
      </w:r>
    </w:p>
    <w:p w14:paraId="075A23EF" w14:textId="77777777" w:rsidR="006C4DF9" w:rsidRDefault="006C4DF9" w:rsidP="006C4DF9"/>
    <w:tbl>
      <w:tblPr>
        <w:tblStyle w:val="GridTable4-Accent5"/>
        <w:tblW w:w="9016" w:type="dxa"/>
        <w:tblLook w:val="04A0" w:firstRow="1" w:lastRow="0" w:firstColumn="1" w:lastColumn="0" w:noHBand="0" w:noVBand="1"/>
      </w:tblPr>
      <w:tblGrid>
        <w:gridCol w:w="2254"/>
        <w:gridCol w:w="2254"/>
        <w:gridCol w:w="2254"/>
        <w:gridCol w:w="2254"/>
      </w:tblGrid>
      <w:tr w:rsidR="006C4DF9" w:rsidRPr="00F61043" w14:paraId="591A352F" w14:textId="77777777" w:rsidTr="000379F9">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254" w:type="dxa"/>
            <w:hideMark/>
          </w:tcPr>
          <w:p w14:paraId="28213382" w14:textId="77777777" w:rsidR="006C4DF9" w:rsidRPr="00F61043" w:rsidRDefault="006C4DF9" w:rsidP="000379F9">
            <w:pPr>
              <w:spacing w:before="75" w:after="75"/>
              <w:jc w:val="center"/>
              <w:rPr>
                <w:rFonts w:eastAsia="Times New Roman" w:cstheme="minorHAnsi"/>
                <w:lang w:eastAsia="en-GB"/>
              </w:rPr>
            </w:pPr>
            <w:r>
              <w:rPr>
                <w:rFonts w:eastAsia="Times New Roman" w:cstheme="minorHAnsi"/>
                <w:lang w:eastAsia="en-GB"/>
              </w:rPr>
              <w:t>Rate</w:t>
            </w:r>
          </w:p>
        </w:tc>
        <w:tc>
          <w:tcPr>
            <w:tcW w:w="2254" w:type="dxa"/>
            <w:hideMark/>
          </w:tcPr>
          <w:p w14:paraId="1CC1D819" w14:textId="77777777" w:rsidR="006C4DF9" w:rsidRPr="00F61043" w:rsidRDefault="006C4DF9" w:rsidP="000379F9">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Available Date</w:t>
            </w:r>
          </w:p>
        </w:tc>
        <w:tc>
          <w:tcPr>
            <w:tcW w:w="2254" w:type="dxa"/>
          </w:tcPr>
          <w:p w14:paraId="538BF0B3" w14:textId="77777777" w:rsidR="006C4DF9" w:rsidRPr="00F61043" w:rsidRDefault="006C4DF9" w:rsidP="000379F9">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Minimum Expiry Date</w:t>
            </w:r>
          </w:p>
        </w:tc>
        <w:tc>
          <w:tcPr>
            <w:tcW w:w="2254" w:type="dxa"/>
          </w:tcPr>
          <w:p w14:paraId="3A9DF704" w14:textId="77777777" w:rsidR="006C4DF9" w:rsidRDefault="006C4DF9" w:rsidP="000379F9">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Message</w:t>
            </w:r>
          </w:p>
        </w:tc>
      </w:tr>
      <w:tr w:rsidR="006C4DF9" w:rsidRPr="00F61043" w14:paraId="1B51EFD5" w14:textId="77777777" w:rsidTr="000379F9">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254" w:type="dxa"/>
          </w:tcPr>
          <w:p w14:paraId="5D773905" w14:textId="77777777" w:rsidR="006C4DF9" w:rsidRPr="00F61043" w:rsidRDefault="006C4DF9" w:rsidP="000379F9">
            <w:pPr>
              <w:spacing w:before="75" w:after="75"/>
              <w:rPr>
                <w:rFonts w:eastAsia="Times New Roman" w:cstheme="minorHAnsi"/>
                <w:b w:val="0"/>
                <w:lang w:eastAsia="en-GB"/>
              </w:rPr>
            </w:pPr>
            <w:r w:rsidRPr="00036B57">
              <w:rPr>
                <w:rFonts w:eastAsia="Times New Roman" w:cstheme="minorHAnsi"/>
                <w:b w:val="0"/>
                <w:lang w:eastAsia="en-GB"/>
              </w:rPr>
              <w:t>GBP-SONIA-COMPOUND</w:t>
            </w:r>
          </w:p>
        </w:tc>
        <w:tc>
          <w:tcPr>
            <w:tcW w:w="2254" w:type="dxa"/>
          </w:tcPr>
          <w:p w14:paraId="41D352B4" w14:textId="77777777" w:rsidR="006C4DF9" w:rsidRPr="00F61043" w:rsidRDefault="006C4DF9" w:rsidP="000379F9">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23</w:t>
            </w:r>
            <w:r w:rsidRPr="00036B57">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63188DB8" w14:textId="77777777" w:rsidR="006C4DF9" w:rsidRPr="00F61043" w:rsidRDefault="006C4DF9" w:rsidP="000379F9">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23</w:t>
            </w:r>
            <w:r w:rsidRPr="002D7933">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4001ACE0" w14:textId="77777777" w:rsidR="006C4DF9" w:rsidRDefault="006C4DF9" w:rsidP="000379F9">
            <w:pPr>
              <w:spacing w:before="75" w:after="75"/>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Error: This reference rate is invalid for the given expiry date</w:t>
            </w:r>
          </w:p>
        </w:tc>
      </w:tr>
      <w:tr w:rsidR="00A71F55" w:rsidRPr="00F61043" w14:paraId="408122E8" w14:textId="77777777" w:rsidTr="000379F9">
        <w:trPr>
          <w:trHeight w:val="737"/>
        </w:trPr>
        <w:tc>
          <w:tcPr>
            <w:cnfStyle w:val="001000000000" w:firstRow="0" w:lastRow="0" w:firstColumn="1" w:lastColumn="0" w:oddVBand="0" w:evenVBand="0" w:oddHBand="0" w:evenHBand="0" w:firstRowFirstColumn="0" w:firstRowLastColumn="0" w:lastRowFirstColumn="0" w:lastRowLastColumn="0"/>
            <w:tcW w:w="2254" w:type="dxa"/>
          </w:tcPr>
          <w:p w14:paraId="36CEE740" w14:textId="4E8E06EA" w:rsidR="00A71F55" w:rsidRPr="00036B57" w:rsidRDefault="00A71F55" w:rsidP="00A71F55">
            <w:pPr>
              <w:spacing w:before="75" w:after="75"/>
              <w:rPr>
                <w:rFonts w:eastAsia="Times New Roman" w:cstheme="minorHAnsi"/>
                <w:b w:val="0"/>
                <w:lang w:eastAsia="en-GB"/>
              </w:rPr>
            </w:pPr>
            <w:r w:rsidRPr="00450D49">
              <w:rPr>
                <w:rFonts w:eastAsia="Times New Roman" w:cstheme="minorHAnsi"/>
                <w:b w:val="0"/>
                <w:lang w:eastAsia="en-GB"/>
              </w:rPr>
              <w:t>USD-SOFR-COMPOUND</w:t>
            </w:r>
          </w:p>
        </w:tc>
        <w:tc>
          <w:tcPr>
            <w:tcW w:w="2254" w:type="dxa"/>
          </w:tcPr>
          <w:p w14:paraId="3A8A630F" w14:textId="39AC2FC7" w:rsidR="00A71F55" w:rsidRDefault="00A71F55" w:rsidP="00A71F55">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w:t>
            </w:r>
            <w:r w:rsidRPr="00450D49">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6A0703FF" w14:textId="1DB1A6EF" w:rsidR="00A71F55" w:rsidRDefault="00A71F55" w:rsidP="00A71F55">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w:t>
            </w:r>
            <w:r w:rsidRPr="00450D49">
              <w:rPr>
                <w:rFonts w:eastAsia="Times New Roman" w:cstheme="minorHAnsi"/>
                <w:vertAlign w:val="superscript"/>
                <w:lang w:eastAsia="en-GB"/>
              </w:rPr>
              <w:t>rd</w:t>
            </w:r>
            <w:r>
              <w:rPr>
                <w:rFonts w:eastAsia="Times New Roman" w:cstheme="minorHAnsi"/>
                <w:lang w:eastAsia="en-GB"/>
              </w:rPr>
              <w:t xml:space="preserve"> April 2018</w:t>
            </w:r>
          </w:p>
        </w:tc>
        <w:tc>
          <w:tcPr>
            <w:tcW w:w="2254" w:type="dxa"/>
          </w:tcPr>
          <w:p w14:paraId="2A314DC4" w14:textId="435DD6CC" w:rsidR="00A71F55" w:rsidRDefault="00A71F55" w:rsidP="00A71F55">
            <w:pPr>
              <w:spacing w:before="75" w:after="75"/>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This reference rate is invalid for the given expiry date</w:t>
            </w:r>
          </w:p>
        </w:tc>
      </w:tr>
    </w:tbl>
    <w:p w14:paraId="53A2BCB7" w14:textId="77777777" w:rsidR="00405F9B" w:rsidRDefault="00405F9B"/>
    <w:p w14:paraId="04936821" w14:textId="77777777" w:rsidR="00405F9B" w:rsidRDefault="00405F9B" w:rsidP="00405F9B">
      <w:pPr>
        <w:pStyle w:val="Heading2"/>
        <w:ind w:left="567"/>
      </w:pPr>
      <w:bookmarkStart w:id="78" w:name="_Toc518031511"/>
      <w:bookmarkStart w:id="79" w:name="_Toc527364513"/>
      <w:r>
        <w:t>New ISO 4217 Currency code validation</w:t>
      </w:r>
      <w:bookmarkEnd w:id="78"/>
      <w:bookmarkEnd w:id="79"/>
    </w:p>
    <w:p w14:paraId="260E6992" w14:textId="77777777" w:rsidR="00405F9B" w:rsidRPr="00710210" w:rsidRDefault="00405F9B" w:rsidP="00405F9B"/>
    <w:p w14:paraId="11F4C6A1" w14:textId="77777777" w:rsidR="00405F9B" w:rsidRDefault="00405F9B" w:rsidP="00405F9B">
      <w:r>
        <w:t>The below table represents a list of currency codes where a minimum acceptable expiry date will be applied for a newly introduced currency code to the ISO 4217 currency code list. The minimum expiry date will typically match the first date on which the currency code is made available.</w:t>
      </w:r>
    </w:p>
    <w:p w14:paraId="7674D7FD" w14:textId="77777777" w:rsidR="00405F9B" w:rsidRDefault="00405F9B" w:rsidP="00405F9B"/>
    <w:p w14:paraId="7B8F0C61" w14:textId="77777777" w:rsidR="00405F9B" w:rsidRDefault="00405F9B" w:rsidP="00405F9B">
      <w:r>
        <w:t>The validations in the below table impact the following fields in the DSB product definition templates:</w:t>
      </w:r>
    </w:p>
    <w:p w14:paraId="39DACEAA" w14:textId="77777777" w:rsidR="00405F9B" w:rsidRDefault="00405F9B" w:rsidP="00405F9B">
      <w:pPr>
        <w:pStyle w:val="ListParagraph"/>
        <w:numPr>
          <w:ilvl w:val="0"/>
          <w:numId w:val="21"/>
        </w:numPr>
      </w:pPr>
      <w:r>
        <w:t>Notional Currency</w:t>
      </w:r>
    </w:p>
    <w:p w14:paraId="1A37191E" w14:textId="77777777" w:rsidR="00405F9B" w:rsidRDefault="00405F9B" w:rsidP="00405F9B">
      <w:pPr>
        <w:pStyle w:val="ListParagraph"/>
        <w:numPr>
          <w:ilvl w:val="0"/>
          <w:numId w:val="21"/>
        </w:numPr>
      </w:pPr>
      <w:r>
        <w:t>Other Notional Currency</w:t>
      </w:r>
    </w:p>
    <w:p w14:paraId="4ECB40B4" w14:textId="77777777" w:rsidR="00405F9B" w:rsidRDefault="00405F9B" w:rsidP="00405F9B">
      <w:pPr>
        <w:pStyle w:val="ListParagraph"/>
        <w:numPr>
          <w:ilvl w:val="0"/>
          <w:numId w:val="21"/>
        </w:numPr>
      </w:pPr>
      <w:r>
        <w:t>Settlement Currency</w:t>
      </w:r>
    </w:p>
    <w:p w14:paraId="667E2B0E" w14:textId="77777777" w:rsidR="00405F9B" w:rsidRDefault="00405F9B" w:rsidP="00405F9B">
      <w:pPr>
        <w:pStyle w:val="ListParagraph"/>
        <w:numPr>
          <w:ilvl w:val="0"/>
          <w:numId w:val="21"/>
        </w:numPr>
      </w:pPr>
      <w:r>
        <w:t xml:space="preserve">Strike Price Currency </w:t>
      </w:r>
    </w:p>
    <w:p w14:paraId="1146A6FC" w14:textId="77777777" w:rsidR="00405F9B" w:rsidRDefault="00405F9B" w:rsidP="00405F9B"/>
    <w:tbl>
      <w:tblPr>
        <w:tblStyle w:val="GridTable4-Accent5"/>
        <w:tblW w:w="9016" w:type="dxa"/>
        <w:tblLook w:val="04A0" w:firstRow="1" w:lastRow="0" w:firstColumn="1" w:lastColumn="0" w:noHBand="0" w:noVBand="1"/>
      </w:tblPr>
      <w:tblGrid>
        <w:gridCol w:w="1696"/>
        <w:gridCol w:w="1985"/>
        <w:gridCol w:w="2410"/>
        <w:gridCol w:w="2925"/>
      </w:tblGrid>
      <w:tr w:rsidR="00405F9B" w:rsidRPr="00F61043" w14:paraId="03308A21" w14:textId="77777777" w:rsidTr="002D325D">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1696" w:type="dxa"/>
            <w:hideMark/>
          </w:tcPr>
          <w:p w14:paraId="5E80BE6D" w14:textId="77777777" w:rsidR="00405F9B" w:rsidRPr="00F61043" w:rsidRDefault="00405F9B" w:rsidP="002D325D">
            <w:pPr>
              <w:spacing w:before="75" w:after="75"/>
              <w:jc w:val="center"/>
              <w:rPr>
                <w:rFonts w:eastAsia="Times New Roman" w:cstheme="minorHAnsi"/>
                <w:lang w:eastAsia="en-GB"/>
              </w:rPr>
            </w:pPr>
            <w:r>
              <w:rPr>
                <w:rFonts w:eastAsia="Times New Roman" w:cstheme="minorHAnsi"/>
                <w:lang w:eastAsia="en-GB"/>
              </w:rPr>
              <w:t>Currency Code</w:t>
            </w:r>
          </w:p>
        </w:tc>
        <w:tc>
          <w:tcPr>
            <w:tcW w:w="1985" w:type="dxa"/>
            <w:hideMark/>
          </w:tcPr>
          <w:p w14:paraId="0C16543C" w14:textId="77777777" w:rsidR="00405F9B" w:rsidRPr="00F61043" w:rsidRDefault="00405F9B" w:rsidP="002D325D">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Available Date</w:t>
            </w:r>
          </w:p>
        </w:tc>
        <w:tc>
          <w:tcPr>
            <w:tcW w:w="2410" w:type="dxa"/>
          </w:tcPr>
          <w:p w14:paraId="4FAA4635" w14:textId="77777777" w:rsidR="00405F9B" w:rsidRPr="00F61043" w:rsidRDefault="00405F9B" w:rsidP="002D325D">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Minimum Expiry Date</w:t>
            </w:r>
          </w:p>
        </w:tc>
        <w:tc>
          <w:tcPr>
            <w:tcW w:w="2925" w:type="dxa"/>
          </w:tcPr>
          <w:p w14:paraId="525432E0" w14:textId="77777777" w:rsidR="00405F9B" w:rsidRDefault="00405F9B" w:rsidP="002D325D">
            <w:pPr>
              <w:spacing w:before="75" w:after="75"/>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Error Message</w:t>
            </w:r>
          </w:p>
        </w:tc>
      </w:tr>
      <w:tr w:rsidR="00405F9B" w:rsidRPr="00F61043" w14:paraId="449ECB35" w14:textId="77777777" w:rsidTr="002D325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696" w:type="dxa"/>
          </w:tcPr>
          <w:p w14:paraId="782FC3CA" w14:textId="77777777" w:rsidR="00405F9B" w:rsidRPr="001A0EB7" w:rsidRDefault="00405F9B" w:rsidP="002D325D">
            <w:pPr>
              <w:spacing w:before="75" w:after="75"/>
              <w:jc w:val="center"/>
              <w:rPr>
                <w:rFonts w:eastAsia="Times New Roman" w:cstheme="minorHAnsi"/>
                <w:b w:val="0"/>
                <w:lang w:eastAsia="en-GB"/>
              </w:rPr>
            </w:pPr>
            <w:r w:rsidRPr="001A0EB7">
              <w:rPr>
                <w:rFonts w:eastAsia="Times New Roman" w:cstheme="minorHAnsi"/>
                <w:b w:val="0"/>
                <w:lang w:eastAsia="en-GB"/>
              </w:rPr>
              <w:t>STN</w:t>
            </w:r>
          </w:p>
        </w:tc>
        <w:tc>
          <w:tcPr>
            <w:tcW w:w="1985" w:type="dxa"/>
          </w:tcPr>
          <w:p w14:paraId="5B77183E" w14:textId="77777777" w:rsidR="00405F9B" w:rsidRDefault="00405F9B" w:rsidP="002D325D">
            <w:pPr>
              <w:spacing w:before="75" w:after="75"/>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30</w:t>
            </w:r>
            <w:r w:rsidRPr="001A0EB7">
              <w:rPr>
                <w:rFonts w:eastAsia="Times New Roman" w:cstheme="minorHAnsi"/>
                <w:vertAlign w:val="superscript"/>
                <w:lang w:eastAsia="en-GB"/>
              </w:rPr>
              <w:t>th</w:t>
            </w:r>
            <w:r>
              <w:rPr>
                <w:rFonts w:eastAsia="Times New Roman" w:cstheme="minorHAnsi"/>
                <w:lang w:eastAsia="en-GB"/>
              </w:rPr>
              <w:t xml:space="preserve"> June</w:t>
            </w:r>
          </w:p>
        </w:tc>
        <w:tc>
          <w:tcPr>
            <w:tcW w:w="2410" w:type="dxa"/>
          </w:tcPr>
          <w:p w14:paraId="02E9D6AC" w14:textId="77777777" w:rsidR="00405F9B" w:rsidRDefault="00405F9B" w:rsidP="002D325D">
            <w:pPr>
              <w:spacing w:before="75" w:after="75"/>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30</w:t>
            </w:r>
            <w:r w:rsidRPr="001A0EB7">
              <w:rPr>
                <w:rFonts w:eastAsia="Times New Roman" w:cstheme="minorHAnsi"/>
                <w:vertAlign w:val="superscript"/>
                <w:lang w:eastAsia="en-GB"/>
              </w:rPr>
              <w:t>th</w:t>
            </w:r>
            <w:r>
              <w:rPr>
                <w:rFonts w:eastAsia="Times New Roman" w:cstheme="minorHAnsi"/>
                <w:lang w:eastAsia="en-GB"/>
              </w:rPr>
              <w:t xml:space="preserve"> June</w:t>
            </w:r>
          </w:p>
        </w:tc>
        <w:tc>
          <w:tcPr>
            <w:tcW w:w="2925" w:type="dxa"/>
          </w:tcPr>
          <w:p w14:paraId="5FDD3749" w14:textId="77777777" w:rsidR="00405F9B" w:rsidRPr="00AE0713" w:rsidRDefault="00405F9B" w:rsidP="002D325D">
            <w:pPr>
              <w:cnfStyle w:val="000000100000" w:firstRow="0" w:lastRow="0" w:firstColumn="0" w:lastColumn="0" w:oddVBand="0" w:evenVBand="0" w:oddHBand="1" w:evenHBand="0" w:firstRowFirstColumn="0" w:firstRowLastColumn="0" w:lastRowFirstColumn="0" w:lastRowLastColumn="0"/>
              <w:rPr>
                <w:rFonts w:eastAsiaTheme="minorEastAsia"/>
                <w:noProof/>
                <w:lang w:eastAsia="en-GB"/>
              </w:rPr>
            </w:pPr>
            <w:r>
              <w:rPr>
                <w:rFonts w:eastAsiaTheme="minorEastAsia"/>
                <w:noProof/>
                <w:lang w:eastAsia="en-GB"/>
              </w:rPr>
              <w:t>Error: The given currency 'STN' is only available for instruments with Expiry Date of 2018-06-30 and onwards</w:t>
            </w:r>
          </w:p>
        </w:tc>
      </w:tr>
      <w:tr w:rsidR="00405F9B" w:rsidRPr="00F61043" w14:paraId="7FDAE428" w14:textId="77777777" w:rsidTr="002D325D">
        <w:trPr>
          <w:trHeight w:val="737"/>
        </w:trPr>
        <w:tc>
          <w:tcPr>
            <w:cnfStyle w:val="001000000000" w:firstRow="0" w:lastRow="0" w:firstColumn="1" w:lastColumn="0" w:oddVBand="0" w:evenVBand="0" w:oddHBand="0" w:evenHBand="0" w:firstRowFirstColumn="0" w:firstRowLastColumn="0" w:lastRowFirstColumn="0" w:lastRowLastColumn="0"/>
            <w:tcW w:w="1696" w:type="dxa"/>
          </w:tcPr>
          <w:p w14:paraId="1AE67903" w14:textId="77777777" w:rsidR="00405F9B" w:rsidRPr="001A0EB7" w:rsidRDefault="00405F9B" w:rsidP="002D325D">
            <w:pPr>
              <w:spacing w:before="75" w:after="75"/>
              <w:jc w:val="center"/>
              <w:rPr>
                <w:rFonts w:eastAsia="Times New Roman" w:cstheme="minorHAnsi"/>
                <w:b w:val="0"/>
                <w:lang w:eastAsia="en-GB"/>
              </w:rPr>
            </w:pPr>
            <w:r w:rsidRPr="001A0EB7">
              <w:rPr>
                <w:rFonts w:eastAsia="Times New Roman" w:cstheme="minorHAnsi"/>
                <w:b w:val="0"/>
                <w:lang w:eastAsia="en-GB"/>
              </w:rPr>
              <w:t>MRU</w:t>
            </w:r>
          </w:p>
        </w:tc>
        <w:tc>
          <w:tcPr>
            <w:tcW w:w="1985" w:type="dxa"/>
          </w:tcPr>
          <w:p w14:paraId="16BD29E1" w14:textId="77777777" w:rsidR="00405F9B" w:rsidRDefault="00405F9B" w:rsidP="002D325D">
            <w:pPr>
              <w:spacing w:before="75" w:after="75"/>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30</w:t>
            </w:r>
            <w:r w:rsidRPr="001A0EB7">
              <w:rPr>
                <w:rFonts w:eastAsia="Times New Roman" w:cstheme="minorHAnsi"/>
                <w:vertAlign w:val="superscript"/>
                <w:lang w:eastAsia="en-GB"/>
              </w:rPr>
              <w:t>th</w:t>
            </w:r>
            <w:r>
              <w:rPr>
                <w:rFonts w:eastAsia="Times New Roman" w:cstheme="minorHAnsi"/>
                <w:lang w:eastAsia="en-GB"/>
              </w:rPr>
              <w:t xml:space="preserve"> June</w:t>
            </w:r>
          </w:p>
        </w:tc>
        <w:tc>
          <w:tcPr>
            <w:tcW w:w="2410" w:type="dxa"/>
          </w:tcPr>
          <w:p w14:paraId="71FC62A5" w14:textId="77777777" w:rsidR="00405F9B" w:rsidRDefault="00405F9B" w:rsidP="002D325D">
            <w:pPr>
              <w:spacing w:before="75" w:after="75"/>
              <w:jc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n-GB"/>
              </w:rPr>
            </w:pPr>
            <w:r>
              <w:rPr>
                <w:rFonts w:eastAsia="Times New Roman" w:cstheme="minorHAnsi"/>
                <w:lang w:eastAsia="en-GB"/>
              </w:rPr>
              <w:t>30</w:t>
            </w:r>
            <w:r w:rsidRPr="001A0EB7">
              <w:rPr>
                <w:rFonts w:eastAsia="Times New Roman" w:cstheme="minorHAnsi"/>
                <w:vertAlign w:val="superscript"/>
                <w:lang w:eastAsia="en-GB"/>
              </w:rPr>
              <w:t>th</w:t>
            </w:r>
            <w:r>
              <w:rPr>
                <w:rFonts w:eastAsia="Times New Roman" w:cstheme="minorHAnsi"/>
                <w:lang w:eastAsia="en-GB"/>
              </w:rPr>
              <w:t xml:space="preserve"> June</w:t>
            </w:r>
          </w:p>
        </w:tc>
        <w:tc>
          <w:tcPr>
            <w:tcW w:w="2925" w:type="dxa"/>
          </w:tcPr>
          <w:p w14:paraId="7A613FD6" w14:textId="77777777" w:rsidR="00405F9B" w:rsidRPr="00AE0713" w:rsidRDefault="00405F9B" w:rsidP="002D325D">
            <w:pPr>
              <w:cnfStyle w:val="000000000000" w:firstRow="0" w:lastRow="0" w:firstColumn="0" w:lastColumn="0" w:oddVBand="0" w:evenVBand="0" w:oddHBand="0" w:evenHBand="0" w:firstRowFirstColumn="0" w:firstRowLastColumn="0" w:lastRowFirstColumn="0" w:lastRowLastColumn="0"/>
              <w:rPr>
                <w:rFonts w:eastAsiaTheme="minorEastAsia"/>
                <w:noProof/>
                <w:lang w:eastAsia="en-GB"/>
              </w:rPr>
            </w:pPr>
            <w:r>
              <w:rPr>
                <w:rFonts w:eastAsiaTheme="minorEastAsia"/>
                <w:noProof/>
                <w:lang w:eastAsia="en-GB"/>
              </w:rPr>
              <w:t>Error: The given currency 'MRU' is only available for instruments with Expiry Date of 2018-06-30 and onwards</w:t>
            </w:r>
          </w:p>
        </w:tc>
      </w:tr>
      <w:tr w:rsidR="002D325D" w:rsidRPr="00F61043" w14:paraId="1B4CEA4E" w14:textId="77777777" w:rsidTr="002D325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696" w:type="dxa"/>
          </w:tcPr>
          <w:p w14:paraId="06ABCDE8" w14:textId="0D8A21DC" w:rsidR="002D325D" w:rsidRPr="001A0EB7" w:rsidRDefault="002D325D" w:rsidP="002D325D">
            <w:pPr>
              <w:spacing w:before="75" w:after="75"/>
              <w:jc w:val="center"/>
              <w:rPr>
                <w:rFonts w:eastAsia="Times New Roman" w:cstheme="minorHAnsi"/>
                <w:lang w:eastAsia="en-GB"/>
              </w:rPr>
            </w:pPr>
            <w:r w:rsidRPr="00AC7523">
              <w:rPr>
                <w:rFonts w:eastAsia="Times New Roman" w:cstheme="minorHAnsi"/>
                <w:b w:val="0"/>
                <w:lang w:eastAsia="en-GB"/>
              </w:rPr>
              <w:t>VES</w:t>
            </w:r>
          </w:p>
        </w:tc>
        <w:tc>
          <w:tcPr>
            <w:tcW w:w="1985" w:type="dxa"/>
          </w:tcPr>
          <w:p w14:paraId="0806E8F8" w14:textId="0741B19E" w:rsidR="002D325D" w:rsidRDefault="002D325D" w:rsidP="002D325D">
            <w:pPr>
              <w:spacing w:before="75" w:after="75"/>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20</w:t>
            </w:r>
            <w:r w:rsidRPr="00AC7523">
              <w:rPr>
                <w:rFonts w:eastAsia="Times New Roman" w:cstheme="minorHAnsi"/>
                <w:vertAlign w:val="superscript"/>
                <w:lang w:eastAsia="en-GB"/>
              </w:rPr>
              <w:t>th</w:t>
            </w:r>
            <w:r>
              <w:rPr>
                <w:rFonts w:eastAsia="Times New Roman" w:cstheme="minorHAnsi"/>
                <w:lang w:eastAsia="en-GB"/>
              </w:rPr>
              <w:t xml:space="preserve"> August</w:t>
            </w:r>
          </w:p>
        </w:tc>
        <w:tc>
          <w:tcPr>
            <w:tcW w:w="2410" w:type="dxa"/>
          </w:tcPr>
          <w:p w14:paraId="0C24219A" w14:textId="7E47B2D1" w:rsidR="002D325D" w:rsidRDefault="002D325D" w:rsidP="002D325D">
            <w:pPr>
              <w:spacing w:before="75" w:after="75"/>
              <w:jc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n-GB"/>
              </w:rPr>
            </w:pPr>
            <w:r>
              <w:rPr>
                <w:rFonts w:eastAsia="Times New Roman" w:cstheme="minorHAnsi"/>
                <w:lang w:eastAsia="en-GB"/>
              </w:rPr>
              <w:t>20</w:t>
            </w:r>
            <w:r w:rsidRPr="00AC7523">
              <w:rPr>
                <w:rFonts w:eastAsia="Times New Roman" w:cstheme="minorHAnsi"/>
                <w:vertAlign w:val="superscript"/>
                <w:lang w:eastAsia="en-GB"/>
              </w:rPr>
              <w:t>th</w:t>
            </w:r>
            <w:r>
              <w:rPr>
                <w:rFonts w:eastAsia="Times New Roman" w:cstheme="minorHAnsi"/>
                <w:lang w:eastAsia="en-GB"/>
              </w:rPr>
              <w:t xml:space="preserve"> August 2018</w:t>
            </w:r>
          </w:p>
        </w:tc>
        <w:tc>
          <w:tcPr>
            <w:tcW w:w="2925" w:type="dxa"/>
          </w:tcPr>
          <w:p w14:paraId="1FA3F383" w14:textId="77777777" w:rsidR="002D325D" w:rsidRPr="00AC7523" w:rsidRDefault="002D325D" w:rsidP="002D325D">
            <w:pPr>
              <w:cnfStyle w:val="000000100000" w:firstRow="0" w:lastRow="0" w:firstColumn="0" w:lastColumn="0" w:oddVBand="0" w:evenVBand="0" w:oddHBand="1" w:evenHBand="0" w:firstRowFirstColumn="0" w:firstRowLastColumn="0" w:lastRowFirstColumn="0" w:lastRowLastColumn="0"/>
              <w:rPr>
                <w:rFonts w:eastAsiaTheme="minorEastAsia"/>
                <w:noProof/>
                <w:lang w:eastAsia="en-GB"/>
              </w:rPr>
            </w:pPr>
            <w:r w:rsidRPr="00AC7523">
              <w:rPr>
                <w:rFonts w:eastAsiaTheme="minorEastAsia"/>
                <w:noProof/>
                <w:lang w:eastAsia="en-GB"/>
              </w:rPr>
              <w:t>Error: The given currency 'VES' is only available for instruments with Expiry Date of 2018-08-20 and onwards</w:t>
            </w:r>
          </w:p>
          <w:p w14:paraId="6129CA90" w14:textId="77777777" w:rsidR="002D325D" w:rsidRDefault="002D325D" w:rsidP="002D325D">
            <w:pPr>
              <w:cnfStyle w:val="000000100000" w:firstRow="0" w:lastRow="0" w:firstColumn="0" w:lastColumn="0" w:oddVBand="0" w:evenVBand="0" w:oddHBand="1" w:evenHBand="0" w:firstRowFirstColumn="0" w:firstRowLastColumn="0" w:lastRowFirstColumn="0" w:lastRowLastColumn="0"/>
              <w:rPr>
                <w:rFonts w:eastAsiaTheme="minorEastAsia"/>
                <w:noProof/>
                <w:lang w:eastAsia="en-GB"/>
              </w:rPr>
            </w:pPr>
          </w:p>
        </w:tc>
      </w:tr>
    </w:tbl>
    <w:p w14:paraId="0F5F6E45" w14:textId="77777777" w:rsidR="00A57D79" w:rsidRDefault="00A57D79"/>
    <w:p w14:paraId="5B15F5FA" w14:textId="4A46368A" w:rsidR="00A57D79" w:rsidRDefault="00A57D79" w:rsidP="00A57D79">
      <w:pPr>
        <w:pStyle w:val="Heading2"/>
        <w:ind w:left="567"/>
      </w:pPr>
      <w:bookmarkStart w:id="80" w:name="_Toc527364514"/>
      <w:proofErr w:type="gramStart"/>
      <w:r>
        <w:t>Commodities :</w:t>
      </w:r>
      <w:proofErr w:type="gramEnd"/>
      <w:r>
        <w:t xml:space="preserve"> Multi-Exotic Swap, Option or Forward Underlying Assets</w:t>
      </w:r>
      <w:bookmarkEnd w:id="80"/>
    </w:p>
    <w:p w14:paraId="748A6F67" w14:textId="77777777" w:rsidR="00A57D79" w:rsidRPr="00710210" w:rsidRDefault="00A57D79" w:rsidP="00A57D79"/>
    <w:p w14:paraId="7DE0BEB8" w14:textId="506F2080" w:rsidR="00A57D79" w:rsidRDefault="00A57D79" w:rsidP="00A57D79">
      <w:r>
        <w:t xml:space="preserve">For these </w:t>
      </w:r>
      <w:r w:rsidR="006D36B2">
        <w:t xml:space="preserve">Commodity </w:t>
      </w:r>
      <w:r>
        <w:t>templates</w:t>
      </w:r>
      <w:r w:rsidR="006D36B2">
        <w:t>,</w:t>
      </w:r>
      <w:r>
        <w:t xml:space="preserve"> the Base Product is </w:t>
      </w:r>
      <w:r w:rsidR="006D36B2">
        <w:t xml:space="preserve">a </w:t>
      </w:r>
      <w:r>
        <w:t>mandatory</w:t>
      </w:r>
      <w:r w:rsidR="006D36B2">
        <w:t xml:space="preserve"> attribute</w:t>
      </w:r>
      <w:r>
        <w:t xml:space="preserve"> and it will accept a single value. Its valid values are based on the standard set of enumerations used in other Commodity templates (inc. Other (OTHR) and Multi Commodity Exotic (MCEX)</w:t>
      </w:r>
      <w:r w:rsidR="006D36B2">
        <w:t>). However, in the Multi-Exotic templates, this attribute will not be used in conjunction with the Sub-Product and Additional Sub-Product attributes.</w:t>
      </w:r>
    </w:p>
    <w:p w14:paraId="7474781D" w14:textId="72B1B77C" w:rsidR="006D36B2" w:rsidRDefault="006D36B2" w:rsidP="00A57D79">
      <w:r>
        <w:t>The underlying asset attributes are to be validated in the following way:</w:t>
      </w:r>
    </w:p>
    <w:p w14:paraId="26D8F9D9" w14:textId="77777777" w:rsidR="006D36B2" w:rsidRDefault="006D36B2" w:rsidP="00A57D79"/>
    <w:p w14:paraId="7FB5F4AF" w14:textId="77777777" w:rsidR="006D36B2" w:rsidRDefault="006D36B2" w:rsidP="006D36B2">
      <w:pPr>
        <w:pStyle w:val="ListParagraph"/>
        <w:numPr>
          <w:ilvl w:val="0"/>
          <w:numId w:val="21"/>
        </w:numPr>
        <w:tabs>
          <w:tab w:val="left" w:pos="567"/>
        </w:tabs>
        <w:ind w:left="3969" w:hanging="3609"/>
      </w:pPr>
      <w:r w:rsidRPr="006D36B2">
        <w:rPr>
          <w:b/>
        </w:rPr>
        <w:t>Underlying Instrument Index</w:t>
      </w:r>
      <w:r w:rsidRPr="006D36B2">
        <w:tab/>
      </w:r>
      <w:r>
        <w:t>This attribute is optional and can only be set to a value of “OTHER”.</w:t>
      </w:r>
    </w:p>
    <w:p w14:paraId="0278E366" w14:textId="77777777" w:rsidR="006D36B2" w:rsidRPr="006D36B2" w:rsidRDefault="006D36B2" w:rsidP="006D36B2">
      <w:pPr>
        <w:pStyle w:val="ListParagraph"/>
        <w:numPr>
          <w:ilvl w:val="0"/>
          <w:numId w:val="21"/>
        </w:numPr>
        <w:tabs>
          <w:tab w:val="left" w:pos="567"/>
        </w:tabs>
        <w:ind w:left="3969" w:hanging="3609"/>
      </w:pPr>
      <w:r w:rsidRPr="006D36B2">
        <w:rPr>
          <w:b/>
        </w:rPr>
        <w:t>Underlying Instrument Index Prop</w:t>
      </w:r>
      <w:r w:rsidRPr="006D36B2">
        <w:tab/>
      </w:r>
      <w:r>
        <w:t xml:space="preserve">This attribute is </w:t>
      </w:r>
      <w:proofErr w:type="gramStart"/>
      <w:r>
        <w:t>optional</w:t>
      </w:r>
      <w:proofErr w:type="gramEnd"/>
      <w:r>
        <w:t xml:space="preserve"> and</w:t>
      </w:r>
      <w:r w:rsidRPr="000F1475">
        <w:t xml:space="preserve"> </w:t>
      </w:r>
      <w:r w:rsidRPr="006D36B2">
        <w:t>it is to be validated against a list of Commodity Proprietary Indices that must have been pre-submitted to the DSB.</w:t>
      </w:r>
    </w:p>
    <w:p w14:paraId="72B8836A" w14:textId="6CF5BF96" w:rsidR="006D36B2" w:rsidRDefault="006D36B2" w:rsidP="006D36B2">
      <w:pPr>
        <w:pStyle w:val="ListParagraph"/>
        <w:numPr>
          <w:ilvl w:val="0"/>
          <w:numId w:val="21"/>
        </w:numPr>
        <w:tabs>
          <w:tab w:val="left" w:pos="567"/>
        </w:tabs>
        <w:ind w:left="3969" w:hanging="3609"/>
      </w:pPr>
      <w:r w:rsidRPr="006D36B2">
        <w:rPr>
          <w:b/>
        </w:rPr>
        <w:t>Reference Rate</w:t>
      </w:r>
      <w:r w:rsidRPr="006D36B2">
        <w:tab/>
      </w:r>
      <w:r w:rsidRPr="00DE0292">
        <w:t xml:space="preserve">This attribute is </w:t>
      </w:r>
      <w:proofErr w:type="gramStart"/>
      <w:r w:rsidRPr="00DE0292">
        <w:t>optional</w:t>
      </w:r>
      <w:proofErr w:type="gramEnd"/>
      <w:r w:rsidRPr="00DE0292">
        <w:t xml:space="preserve"> and its valid values are based on the standard set of enumerations used in other Commodity templates based on the ISDA 2.0 taxonomy for Commodity Reference Rates (eg:  OIL-BRENT/BFOE-ARGUS CRUDE, OIL-BRENT/BFOE-PLATTS MARKETWIRE</w:t>
      </w:r>
      <w:r>
        <w:t>)</w:t>
      </w:r>
      <w:r w:rsidRPr="00DE0292">
        <w:t>.</w:t>
      </w:r>
    </w:p>
    <w:p w14:paraId="2AC3E1D1" w14:textId="77777777" w:rsidR="006D36B2" w:rsidRDefault="006D36B2" w:rsidP="006D36B2">
      <w:pPr>
        <w:pStyle w:val="ListParagraph"/>
        <w:tabs>
          <w:tab w:val="left" w:pos="567"/>
        </w:tabs>
        <w:ind w:left="3969"/>
      </w:pPr>
    </w:p>
    <w:p w14:paraId="19B3C0AA" w14:textId="77777777" w:rsidR="006D36B2" w:rsidRDefault="006D36B2" w:rsidP="006D36B2">
      <w:r>
        <w:t>At least one of Underlying Instrument Index, Underlying Instrument Index Prop and/or Reference Rate must be input.</w:t>
      </w:r>
    </w:p>
    <w:p w14:paraId="1FF2FB9F" w14:textId="1EF3D397" w:rsidR="006D36B2" w:rsidRDefault="006D36B2" w:rsidP="006D36B2">
      <w:r w:rsidRPr="00566708">
        <w:t xml:space="preserve">If </w:t>
      </w:r>
      <w:r>
        <w:t>a single</w:t>
      </w:r>
      <w:r w:rsidRPr="00566708">
        <w:t xml:space="preserve"> value is input in Reference Rate, at least one value must be entered in </w:t>
      </w:r>
      <w:r>
        <w:t xml:space="preserve">either </w:t>
      </w:r>
      <w:r w:rsidRPr="00566708">
        <w:t>Underlying Instrument Index or Underlying Instrument Index Prop</w:t>
      </w:r>
      <w:r>
        <w:t>.</w:t>
      </w:r>
    </w:p>
    <w:p w14:paraId="47ABCFA3" w14:textId="349C2D7F" w:rsidR="006D36B2" w:rsidRDefault="006D36B2" w:rsidP="006D36B2">
      <w:r w:rsidRPr="00566708">
        <w:t>If two or more values are input in Reference Rate, then Underlying Instrument Index and Underlying Instrument Index Prop can be blank</w:t>
      </w:r>
      <w:r>
        <w:t>.</w:t>
      </w:r>
    </w:p>
    <w:p w14:paraId="668A434A" w14:textId="77777777" w:rsidR="006D36B2" w:rsidRDefault="006D36B2" w:rsidP="006D36B2"/>
    <w:p w14:paraId="34524C05" w14:textId="70CEC67F" w:rsidR="00A57D79" w:rsidRDefault="006D36B2" w:rsidP="006D36B2">
      <w:r>
        <w:t>Underlying Instrument Index, Underlying Instrument Index Prop and Reference Rate are optional attributes (within the conditions given above) and should, therefore, be excluded from the message payload if not required in the product definition.</w:t>
      </w:r>
      <w:r w:rsidR="00A57D79">
        <w:t xml:space="preserve"> </w:t>
      </w:r>
    </w:p>
    <w:p w14:paraId="579FC412" w14:textId="02B90773" w:rsidR="00E362FA" w:rsidRDefault="00405F9B">
      <w:r>
        <w:br w:type="page"/>
      </w:r>
    </w:p>
    <w:p w14:paraId="4C584993" w14:textId="46F6D420" w:rsidR="00E362FA" w:rsidRDefault="00E362FA" w:rsidP="00E362FA">
      <w:pPr>
        <w:pStyle w:val="Heading1"/>
      </w:pPr>
      <w:bookmarkStart w:id="81" w:name="_Hlk511387828"/>
      <w:bookmarkStart w:id="82" w:name="_Toc527364515"/>
      <w:r>
        <w:lastRenderedPageBreak/>
        <w:t xml:space="preserve">Appendix III: </w:t>
      </w:r>
      <w:r w:rsidR="00473A2C">
        <w:t>Licensing</w:t>
      </w:r>
      <w:bookmarkEnd w:id="82"/>
    </w:p>
    <w:p w14:paraId="0634BC80" w14:textId="657E6F1B" w:rsidR="00473A2C" w:rsidRDefault="00473A2C" w:rsidP="00473A2C"/>
    <w:p w14:paraId="3E79551F" w14:textId="5B7303C3" w:rsidR="00473A2C" w:rsidRDefault="00473A2C" w:rsidP="00473A2C">
      <w:pPr>
        <w:pStyle w:val="Heading2"/>
        <w:ind w:left="567"/>
      </w:pPr>
      <w:bookmarkStart w:id="83" w:name="_Toc527364516"/>
      <w:r>
        <w:t>FpML Exhibit A</w:t>
      </w:r>
      <w:bookmarkEnd w:id="83"/>
    </w:p>
    <w:p w14:paraId="6664360A" w14:textId="12CBD31B" w:rsidR="00473A2C" w:rsidRDefault="00473A2C" w:rsidP="00473A2C"/>
    <w:p w14:paraId="1A4326F6" w14:textId="77777777" w:rsidR="00473A2C" w:rsidRDefault="00473A2C" w:rsidP="00473A2C">
      <w:pPr>
        <w:pStyle w:val="ListParagraph"/>
        <w:numPr>
          <w:ilvl w:val="0"/>
          <w:numId w:val="20"/>
        </w:numPr>
      </w:pPr>
      <w:r>
        <w:t>The FpML Specifications of this document are subject to the FpML Public License (the “License”); you may not use the FpML Specifications except in compliance with the License. You may obtain a copy of the License at http://www.FpML.org.</w:t>
      </w:r>
    </w:p>
    <w:p w14:paraId="1D3A5F13" w14:textId="77777777" w:rsidR="00473A2C" w:rsidRDefault="00473A2C" w:rsidP="00473A2C">
      <w:pPr>
        <w:pStyle w:val="ListParagraph"/>
        <w:numPr>
          <w:ilvl w:val="0"/>
          <w:numId w:val="20"/>
        </w:numPr>
      </w:pPr>
      <w:r>
        <w:t>The FpML Specifications distributed under the License are distributed on an “AS IS” basis, WITHOUT WARRANTY OF ANY KIND, either express or implied. See the License for the specific language governing rights and limitations under the License.</w:t>
      </w:r>
    </w:p>
    <w:p w14:paraId="306E7100" w14:textId="635E0CC1" w:rsidR="00473A2C" w:rsidRPr="00473A2C" w:rsidRDefault="00473A2C" w:rsidP="00473A2C">
      <w:pPr>
        <w:pStyle w:val="ListParagraph"/>
        <w:numPr>
          <w:ilvl w:val="0"/>
          <w:numId w:val="20"/>
        </w:numPr>
      </w:pPr>
      <w:r>
        <w:t>The Licensor of the FpML Specifications is the International Swaps and Derivatives Association, Inc. All Rights Reserved.</w:t>
      </w:r>
      <w:bookmarkEnd w:id="81"/>
    </w:p>
    <w:sectPr w:rsidR="00473A2C" w:rsidRPr="00473A2C" w:rsidSect="00277760">
      <w:footerReference w:type="default" r:id="rId40"/>
      <w:footerReference w:type="first" r:id="rId41"/>
      <w:pgSz w:w="11906" w:h="16838" w:code="9"/>
      <w:pgMar w:top="851" w:right="1440" w:bottom="1276"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3A9D4" w14:textId="77777777" w:rsidR="007742BA" w:rsidRDefault="007742BA" w:rsidP="009F04A7">
      <w:r>
        <w:separator/>
      </w:r>
    </w:p>
  </w:endnote>
  <w:endnote w:type="continuationSeparator" w:id="0">
    <w:p w14:paraId="16681784" w14:textId="77777777" w:rsidR="007742BA" w:rsidRDefault="007742BA" w:rsidP="009F04A7">
      <w:r>
        <w:continuationSeparator/>
      </w:r>
    </w:p>
  </w:endnote>
  <w:endnote w:type="continuationNotice" w:id="1">
    <w:p w14:paraId="6616FB22" w14:textId="77777777" w:rsidR="007742BA" w:rsidRDefault="00774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rPr>
      <w:id w:val="-641427601"/>
      <w:docPartObj>
        <w:docPartGallery w:val="Page Numbers (Bottom of Page)"/>
        <w:docPartUnique/>
      </w:docPartObj>
    </w:sdtPr>
    <w:sdtEndPr/>
    <w:sdtContent>
      <w:p w14:paraId="55BA4013" w14:textId="77777777" w:rsidR="007742BA" w:rsidRDefault="007742BA" w:rsidP="00F26527">
        <w:pPr>
          <w:pStyle w:val="Footer"/>
          <w:jc w:val="center"/>
          <w:rPr>
            <w:sz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7742BA" w14:paraId="4CF25B92" w14:textId="77777777" w:rsidTr="00D22780">
          <w:tc>
            <w:tcPr>
              <w:tcW w:w="3005" w:type="dxa"/>
            </w:tcPr>
            <w:p w14:paraId="564D0849" w14:textId="77B38DE4" w:rsidR="007742BA" w:rsidRDefault="007742BA" w:rsidP="00D22780">
              <w:pPr>
                <w:pStyle w:val="Footer"/>
                <w:rPr>
                  <w:sz w:val="18"/>
                </w:rPr>
              </w:pPr>
              <w:r>
                <w:rPr>
                  <w:sz w:val="18"/>
                </w:rPr>
                <w:t>©DSB Product Committee 2017</w:t>
              </w:r>
            </w:p>
          </w:tc>
          <w:tc>
            <w:tcPr>
              <w:tcW w:w="3005" w:type="dxa"/>
            </w:tcPr>
            <w:p w14:paraId="6443A9D1" w14:textId="77777777" w:rsidR="007742BA" w:rsidRDefault="007742BA" w:rsidP="00F26527">
              <w:pPr>
                <w:pStyle w:val="Footer"/>
                <w:jc w:val="center"/>
                <w:rPr>
                  <w:sz w:val="18"/>
                </w:rPr>
              </w:pPr>
            </w:p>
          </w:tc>
          <w:tc>
            <w:tcPr>
              <w:tcW w:w="3006" w:type="dxa"/>
            </w:tcPr>
            <w:p w14:paraId="12D693D7" w14:textId="3D315353" w:rsidR="007742BA" w:rsidRDefault="007742BA" w:rsidP="00D22780">
              <w:pPr>
                <w:pStyle w:val="Footer"/>
                <w:jc w:val="right"/>
                <w:rPr>
                  <w:sz w:val="18"/>
                </w:rPr>
              </w:pPr>
              <w:r w:rsidRPr="009F04A7">
                <w:rPr>
                  <w:sz w:val="18"/>
                </w:rPr>
                <w:t xml:space="preserve">Page | </w:t>
              </w:r>
              <w:r w:rsidRPr="009F04A7">
                <w:rPr>
                  <w:sz w:val="18"/>
                </w:rPr>
                <w:fldChar w:fldCharType="begin"/>
              </w:r>
              <w:r w:rsidRPr="009F04A7">
                <w:rPr>
                  <w:sz w:val="18"/>
                </w:rPr>
                <w:instrText xml:space="preserve"> PAGE   \* MERGEFORMAT </w:instrText>
              </w:r>
              <w:r w:rsidRPr="009F04A7">
                <w:rPr>
                  <w:sz w:val="18"/>
                </w:rPr>
                <w:fldChar w:fldCharType="separate"/>
              </w:r>
              <w:r>
                <w:rPr>
                  <w:noProof/>
                  <w:sz w:val="18"/>
                </w:rPr>
                <w:t>2</w:t>
              </w:r>
              <w:r w:rsidRPr="009F04A7">
                <w:rPr>
                  <w:noProof/>
                  <w:sz w:val="18"/>
                </w:rPr>
                <w:fldChar w:fldCharType="end"/>
              </w:r>
            </w:p>
          </w:tc>
        </w:tr>
      </w:tbl>
      <w:p w14:paraId="28D3BC47" w14:textId="77777777" w:rsidR="007742BA" w:rsidRDefault="007742BA" w:rsidP="00F26527">
        <w:pPr>
          <w:pStyle w:val="Footer"/>
          <w:jc w:val="center"/>
          <w:rPr>
            <w:sz w:val="18"/>
          </w:rPr>
        </w:pPr>
      </w:p>
      <w:p w14:paraId="1BA82C39" w14:textId="69719BDE" w:rsidR="007742BA" w:rsidRPr="009F04A7" w:rsidRDefault="00903D74">
        <w:pPr>
          <w:pStyle w:val="Footer"/>
          <w:jc w:val="right"/>
          <w:rPr>
            <w:sz w:val="18"/>
          </w:rPr>
        </w:pPr>
      </w:p>
    </w:sdtContent>
  </w:sdt>
  <w:p w14:paraId="0F40545F" w14:textId="77777777" w:rsidR="007742BA" w:rsidRDefault="00774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64A76" w14:textId="1EEC0E20" w:rsidR="007742BA" w:rsidRDefault="007742BA" w:rsidP="00F2652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C0749" w14:textId="77777777" w:rsidR="007742BA" w:rsidRDefault="007742BA" w:rsidP="009F04A7">
      <w:r>
        <w:separator/>
      </w:r>
    </w:p>
  </w:footnote>
  <w:footnote w:type="continuationSeparator" w:id="0">
    <w:p w14:paraId="450F90AC" w14:textId="77777777" w:rsidR="007742BA" w:rsidRDefault="007742BA" w:rsidP="009F04A7">
      <w:r>
        <w:continuationSeparator/>
      </w:r>
    </w:p>
  </w:footnote>
  <w:footnote w:type="continuationNotice" w:id="1">
    <w:p w14:paraId="5BCDE1C9" w14:textId="77777777" w:rsidR="007742BA" w:rsidRDefault="007742BA"/>
  </w:footnote>
  <w:footnote w:id="2">
    <w:p w14:paraId="6BF9A35D" w14:textId="77777777" w:rsidR="007742BA" w:rsidRPr="008458A1" w:rsidRDefault="007742BA" w:rsidP="00AD5B3B">
      <w:pPr>
        <w:rPr>
          <w:sz w:val="20"/>
          <w:szCs w:val="20"/>
        </w:rPr>
      </w:pPr>
      <w:r>
        <w:rPr>
          <w:rStyle w:val="FootnoteReference"/>
        </w:rPr>
        <w:footnoteRef/>
      </w:r>
      <w:r>
        <w:t xml:space="preserve"> </w:t>
      </w:r>
      <w:r w:rsidRPr="008458A1">
        <w:rPr>
          <w:sz w:val="20"/>
          <w:szCs w:val="20"/>
        </w:rPr>
        <w:t>To access the relevant reference links below to the ISO20022 messages within swift/</w:t>
      </w:r>
      <w:proofErr w:type="spellStart"/>
      <w:r w:rsidRPr="008458A1">
        <w:rPr>
          <w:sz w:val="20"/>
          <w:szCs w:val="20"/>
        </w:rPr>
        <w:t>mystandards</w:t>
      </w:r>
      <w:proofErr w:type="spellEnd"/>
      <w:r w:rsidRPr="008458A1">
        <w:rPr>
          <w:sz w:val="20"/>
          <w:szCs w:val="20"/>
        </w:rPr>
        <w:t xml:space="preserve">, users are required to create a free account by following the link below and clicking ‘Login to </w:t>
      </w:r>
      <w:proofErr w:type="spellStart"/>
      <w:r w:rsidRPr="008458A1">
        <w:rPr>
          <w:sz w:val="20"/>
          <w:szCs w:val="20"/>
        </w:rPr>
        <w:t>MyStandards</w:t>
      </w:r>
      <w:proofErr w:type="spellEnd"/>
      <w:r w:rsidRPr="008458A1">
        <w:rPr>
          <w:sz w:val="20"/>
          <w:szCs w:val="20"/>
        </w:rPr>
        <w:t xml:space="preserve">’ in the top right of the homepage: </w:t>
      </w:r>
      <w:hyperlink r:id="rId1" w:history="1">
        <w:r w:rsidRPr="008458A1">
          <w:rPr>
            <w:rStyle w:val="Hyperlink"/>
            <w:sz w:val="20"/>
            <w:szCs w:val="20"/>
          </w:rPr>
          <w:t>https://mystandards.swift.com/</w:t>
        </w:r>
      </w:hyperlink>
    </w:p>
    <w:p w14:paraId="62FD2437" w14:textId="77777777" w:rsidR="007742BA" w:rsidRPr="008458A1" w:rsidRDefault="007742BA" w:rsidP="00AD5B3B">
      <w:pPr>
        <w:rPr>
          <w:sz w:val="20"/>
          <w:szCs w:val="20"/>
        </w:rPr>
      </w:pPr>
      <w:r w:rsidRPr="008458A1">
        <w:rPr>
          <w:sz w:val="20"/>
          <w:szCs w:val="20"/>
        </w:rPr>
        <w:t>Once an account has been created and login is successful, the links below will direct users to the correct reference.</w:t>
      </w:r>
    </w:p>
    <w:p w14:paraId="24632E85" w14:textId="77777777" w:rsidR="007742BA" w:rsidRPr="008458A1" w:rsidRDefault="007742BA" w:rsidP="00AD5B3B">
      <w:pPr>
        <w:pStyle w:val="FootnoteText"/>
        <w:rPr>
          <w:lang w:val="en-GB"/>
        </w:rPr>
      </w:pPr>
    </w:p>
  </w:footnote>
  <w:footnote w:id="3">
    <w:p w14:paraId="3DC4AA27" w14:textId="55DF49B1" w:rsidR="007742BA" w:rsidRPr="003B255B" w:rsidRDefault="007742BA">
      <w:pPr>
        <w:pStyle w:val="FootnoteText"/>
        <w:rPr>
          <w:lang w:val="en-GB"/>
        </w:rPr>
      </w:pPr>
      <w:r>
        <w:rPr>
          <w:rStyle w:val="FootnoteReference"/>
        </w:rPr>
        <w:footnoteRef/>
      </w:r>
      <w:r>
        <w:t xml:space="preserve"> Any additional Reference Rates can be added to FpML following the submission to and acceptance by ISDA of a specific legal definition for the rate in question. Submissions are made by ISDA members.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1C6F"/>
    <w:multiLevelType w:val="hybridMultilevel"/>
    <w:tmpl w:val="FDA66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B663B1"/>
    <w:multiLevelType w:val="hybridMultilevel"/>
    <w:tmpl w:val="A3B02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C36BD4"/>
    <w:multiLevelType w:val="hybridMultilevel"/>
    <w:tmpl w:val="03809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7403F"/>
    <w:multiLevelType w:val="hybridMultilevel"/>
    <w:tmpl w:val="EA764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0D24C7"/>
    <w:multiLevelType w:val="hybridMultilevel"/>
    <w:tmpl w:val="32FA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01C79"/>
    <w:multiLevelType w:val="hybridMultilevel"/>
    <w:tmpl w:val="CC78B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9E2743"/>
    <w:multiLevelType w:val="hybridMultilevel"/>
    <w:tmpl w:val="E17022CE"/>
    <w:lvl w:ilvl="0" w:tplc="4B6CF466">
      <w:numFmt w:val="bullet"/>
      <w:lvlText w:val="-"/>
      <w:lvlJc w:val="left"/>
      <w:pPr>
        <w:ind w:left="720" w:hanging="360"/>
      </w:pPr>
      <w:rPr>
        <w:rFonts w:ascii="Calibri" w:eastAsiaTheme="minorHAnsi" w:hAnsi="Calibri" w:cs="Calibri" w:hint="default"/>
        <w:color w:val="000000"/>
      </w:rPr>
    </w:lvl>
    <w:lvl w:ilvl="1" w:tplc="08090003">
      <w:start w:val="1"/>
      <w:numFmt w:val="bullet"/>
      <w:lvlText w:val="o"/>
      <w:lvlJc w:val="left"/>
      <w:pPr>
        <w:ind w:left="1440" w:hanging="360"/>
      </w:pPr>
      <w:rPr>
        <w:rFonts w:ascii="Courier New" w:hAnsi="Courier New" w:cs="Courier New" w:hint="default"/>
      </w:rPr>
    </w:lvl>
    <w:lvl w:ilvl="2" w:tplc="4B6CF466">
      <w:numFmt w:val="bullet"/>
      <w:lvlText w:val="-"/>
      <w:lvlJc w:val="left"/>
      <w:pPr>
        <w:ind w:left="2340" w:hanging="360"/>
      </w:pPr>
      <w:rPr>
        <w:rFonts w:ascii="Calibri" w:eastAsiaTheme="minorHAnsi" w:hAnsi="Calibri" w:cs="Calibri" w:hint="default"/>
        <w:color w:val="00000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8078E2"/>
    <w:multiLevelType w:val="hybridMultilevel"/>
    <w:tmpl w:val="A3B02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FB5A66"/>
    <w:multiLevelType w:val="hybridMultilevel"/>
    <w:tmpl w:val="C4600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272292"/>
    <w:multiLevelType w:val="hybridMultilevel"/>
    <w:tmpl w:val="C1C2D7F4"/>
    <w:lvl w:ilvl="0" w:tplc="08090001">
      <w:start w:val="1"/>
      <w:numFmt w:val="bullet"/>
      <w:lvlText w:val=""/>
      <w:lvlJc w:val="left"/>
      <w:pPr>
        <w:ind w:left="3645" w:hanging="360"/>
      </w:pPr>
      <w:rPr>
        <w:rFonts w:ascii="Symbol" w:hAnsi="Symbol" w:hint="default"/>
      </w:rPr>
    </w:lvl>
    <w:lvl w:ilvl="1" w:tplc="08090003" w:tentative="1">
      <w:start w:val="1"/>
      <w:numFmt w:val="bullet"/>
      <w:lvlText w:val="o"/>
      <w:lvlJc w:val="left"/>
      <w:pPr>
        <w:ind w:left="4365" w:hanging="360"/>
      </w:pPr>
      <w:rPr>
        <w:rFonts w:ascii="Courier New" w:hAnsi="Courier New" w:cs="Courier New" w:hint="default"/>
      </w:rPr>
    </w:lvl>
    <w:lvl w:ilvl="2" w:tplc="08090005" w:tentative="1">
      <w:start w:val="1"/>
      <w:numFmt w:val="bullet"/>
      <w:lvlText w:val=""/>
      <w:lvlJc w:val="left"/>
      <w:pPr>
        <w:ind w:left="5085" w:hanging="360"/>
      </w:pPr>
      <w:rPr>
        <w:rFonts w:ascii="Wingdings" w:hAnsi="Wingdings" w:hint="default"/>
      </w:rPr>
    </w:lvl>
    <w:lvl w:ilvl="3" w:tplc="08090001" w:tentative="1">
      <w:start w:val="1"/>
      <w:numFmt w:val="bullet"/>
      <w:lvlText w:val=""/>
      <w:lvlJc w:val="left"/>
      <w:pPr>
        <w:ind w:left="5805" w:hanging="360"/>
      </w:pPr>
      <w:rPr>
        <w:rFonts w:ascii="Symbol" w:hAnsi="Symbol" w:hint="default"/>
      </w:rPr>
    </w:lvl>
    <w:lvl w:ilvl="4" w:tplc="08090003" w:tentative="1">
      <w:start w:val="1"/>
      <w:numFmt w:val="bullet"/>
      <w:lvlText w:val="o"/>
      <w:lvlJc w:val="left"/>
      <w:pPr>
        <w:ind w:left="6525" w:hanging="360"/>
      </w:pPr>
      <w:rPr>
        <w:rFonts w:ascii="Courier New" w:hAnsi="Courier New" w:cs="Courier New" w:hint="default"/>
      </w:rPr>
    </w:lvl>
    <w:lvl w:ilvl="5" w:tplc="08090005" w:tentative="1">
      <w:start w:val="1"/>
      <w:numFmt w:val="bullet"/>
      <w:lvlText w:val=""/>
      <w:lvlJc w:val="left"/>
      <w:pPr>
        <w:ind w:left="7245" w:hanging="360"/>
      </w:pPr>
      <w:rPr>
        <w:rFonts w:ascii="Wingdings" w:hAnsi="Wingdings" w:hint="default"/>
      </w:rPr>
    </w:lvl>
    <w:lvl w:ilvl="6" w:tplc="08090001" w:tentative="1">
      <w:start w:val="1"/>
      <w:numFmt w:val="bullet"/>
      <w:lvlText w:val=""/>
      <w:lvlJc w:val="left"/>
      <w:pPr>
        <w:ind w:left="7965" w:hanging="360"/>
      </w:pPr>
      <w:rPr>
        <w:rFonts w:ascii="Symbol" w:hAnsi="Symbol" w:hint="default"/>
      </w:rPr>
    </w:lvl>
    <w:lvl w:ilvl="7" w:tplc="08090003" w:tentative="1">
      <w:start w:val="1"/>
      <w:numFmt w:val="bullet"/>
      <w:lvlText w:val="o"/>
      <w:lvlJc w:val="left"/>
      <w:pPr>
        <w:ind w:left="8685" w:hanging="360"/>
      </w:pPr>
      <w:rPr>
        <w:rFonts w:ascii="Courier New" w:hAnsi="Courier New" w:cs="Courier New" w:hint="default"/>
      </w:rPr>
    </w:lvl>
    <w:lvl w:ilvl="8" w:tplc="08090005" w:tentative="1">
      <w:start w:val="1"/>
      <w:numFmt w:val="bullet"/>
      <w:lvlText w:val=""/>
      <w:lvlJc w:val="left"/>
      <w:pPr>
        <w:ind w:left="9405" w:hanging="360"/>
      </w:pPr>
      <w:rPr>
        <w:rFonts w:ascii="Wingdings" w:hAnsi="Wingdings" w:hint="default"/>
      </w:rPr>
    </w:lvl>
  </w:abstractNum>
  <w:abstractNum w:abstractNumId="10" w15:restartNumberingAfterBreak="0">
    <w:nsid w:val="3EC13068"/>
    <w:multiLevelType w:val="hybridMultilevel"/>
    <w:tmpl w:val="917492F6"/>
    <w:lvl w:ilvl="0" w:tplc="0809000F">
      <w:start w:val="1"/>
      <w:numFmt w:val="decimal"/>
      <w:lvlText w:val="%1."/>
      <w:lvlJc w:val="left"/>
      <w:pPr>
        <w:ind w:left="720" w:hanging="360"/>
      </w:pPr>
      <w:rPr>
        <w:rFonts w:hint="default"/>
        <w:color w:val="000000"/>
      </w:rPr>
    </w:lvl>
    <w:lvl w:ilvl="1" w:tplc="08090003">
      <w:start w:val="1"/>
      <w:numFmt w:val="bullet"/>
      <w:lvlText w:val="o"/>
      <w:lvlJc w:val="left"/>
      <w:pPr>
        <w:ind w:left="1440" w:hanging="360"/>
      </w:pPr>
      <w:rPr>
        <w:rFonts w:ascii="Courier New" w:hAnsi="Courier New" w:cs="Courier New" w:hint="default"/>
      </w:rPr>
    </w:lvl>
    <w:lvl w:ilvl="2" w:tplc="4B6CF466">
      <w:numFmt w:val="bullet"/>
      <w:lvlText w:val="-"/>
      <w:lvlJc w:val="left"/>
      <w:pPr>
        <w:ind w:left="2340" w:hanging="360"/>
      </w:pPr>
      <w:rPr>
        <w:rFonts w:ascii="Calibri" w:eastAsiaTheme="minorHAnsi" w:hAnsi="Calibri" w:cs="Calibri" w:hint="default"/>
        <w:color w:val="00000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3D44A9"/>
    <w:multiLevelType w:val="hybridMultilevel"/>
    <w:tmpl w:val="70584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4903D6"/>
    <w:multiLevelType w:val="hybridMultilevel"/>
    <w:tmpl w:val="B61CE568"/>
    <w:lvl w:ilvl="0" w:tplc="08090001">
      <w:start w:val="1"/>
      <w:numFmt w:val="bullet"/>
      <w:lvlText w:val=""/>
      <w:lvlJc w:val="left"/>
      <w:pPr>
        <w:ind w:left="720" w:hanging="360"/>
      </w:pPr>
      <w:rPr>
        <w:rFonts w:ascii="Symbol" w:hAnsi="Symbol" w:hint="default"/>
        <w:color w:val="000000"/>
      </w:rPr>
    </w:lvl>
    <w:lvl w:ilvl="1" w:tplc="08090003">
      <w:start w:val="1"/>
      <w:numFmt w:val="bullet"/>
      <w:lvlText w:val="o"/>
      <w:lvlJc w:val="left"/>
      <w:pPr>
        <w:ind w:left="1440" w:hanging="360"/>
      </w:pPr>
      <w:rPr>
        <w:rFonts w:ascii="Courier New" w:hAnsi="Courier New" w:cs="Courier New" w:hint="default"/>
      </w:rPr>
    </w:lvl>
    <w:lvl w:ilvl="2" w:tplc="4B6CF466">
      <w:numFmt w:val="bullet"/>
      <w:lvlText w:val="-"/>
      <w:lvlJc w:val="left"/>
      <w:pPr>
        <w:ind w:left="2340" w:hanging="360"/>
      </w:pPr>
      <w:rPr>
        <w:rFonts w:ascii="Calibri" w:eastAsiaTheme="minorHAnsi" w:hAnsi="Calibri" w:cs="Calibri" w:hint="default"/>
        <w:color w:val="00000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844C37"/>
    <w:multiLevelType w:val="hybridMultilevel"/>
    <w:tmpl w:val="5C6C2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337CD0"/>
    <w:multiLevelType w:val="hybridMultilevel"/>
    <w:tmpl w:val="28C69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0E612E"/>
    <w:multiLevelType w:val="hybridMultilevel"/>
    <w:tmpl w:val="FE269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FF5898"/>
    <w:multiLevelType w:val="hybridMultilevel"/>
    <w:tmpl w:val="E800C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B66FD4"/>
    <w:multiLevelType w:val="hybridMultilevel"/>
    <w:tmpl w:val="CC78B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4F731C"/>
    <w:multiLevelType w:val="multilevel"/>
    <w:tmpl w:val="7DA82768"/>
    <w:lvl w:ilvl="0">
      <w:start w:val="1"/>
      <w:numFmt w:val="decimal"/>
      <w:pStyle w:val="Heading1"/>
      <w:lvlText w:val="%1"/>
      <w:lvlJc w:val="left"/>
      <w:pPr>
        <w:ind w:left="432" w:hanging="432"/>
      </w:pPr>
    </w:lvl>
    <w:lvl w:ilvl="1">
      <w:start w:val="1"/>
      <w:numFmt w:val="decimal"/>
      <w:pStyle w:val="Heading2"/>
      <w:lvlText w:val="%1.%2"/>
      <w:lvlJc w:val="left"/>
      <w:pPr>
        <w:ind w:left="2561" w:hanging="576"/>
      </w:pPr>
    </w:lvl>
    <w:lvl w:ilvl="2">
      <w:start w:val="1"/>
      <w:numFmt w:val="decimal"/>
      <w:pStyle w:val="Heading3"/>
      <w:lvlText w:val="%1.%2.%3"/>
      <w:lvlJc w:val="left"/>
      <w:pPr>
        <w:ind w:left="199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50B1121"/>
    <w:multiLevelType w:val="hybridMultilevel"/>
    <w:tmpl w:val="B46C3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0C5291"/>
    <w:multiLevelType w:val="hybridMultilevel"/>
    <w:tmpl w:val="D8FAA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6"/>
  </w:num>
  <w:num w:numId="5">
    <w:abstractNumId w:val="12"/>
  </w:num>
  <w:num w:numId="6">
    <w:abstractNumId w:val="20"/>
  </w:num>
  <w:num w:numId="7">
    <w:abstractNumId w:val="14"/>
  </w:num>
  <w:num w:numId="8">
    <w:abstractNumId w:val="16"/>
  </w:num>
  <w:num w:numId="9">
    <w:abstractNumId w:val="7"/>
  </w:num>
  <w:num w:numId="10">
    <w:abstractNumId w:val="1"/>
  </w:num>
  <w:num w:numId="11">
    <w:abstractNumId w:val="13"/>
  </w:num>
  <w:num w:numId="12">
    <w:abstractNumId w:val="15"/>
  </w:num>
  <w:num w:numId="13">
    <w:abstractNumId w:val="8"/>
  </w:num>
  <w:num w:numId="14">
    <w:abstractNumId w:val="9"/>
  </w:num>
  <w:num w:numId="15">
    <w:abstractNumId w:val="0"/>
  </w:num>
  <w:num w:numId="16">
    <w:abstractNumId w:val="2"/>
  </w:num>
  <w:num w:numId="17">
    <w:abstractNumId w:val="10"/>
  </w:num>
  <w:num w:numId="18">
    <w:abstractNumId w:val="17"/>
  </w:num>
  <w:num w:numId="19">
    <w:abstractNumId w:val="18"/>
  </w:num>
  <w:num w:numId="20">
    <w:abstractNumId w:val="3"/>
  </w:num>
  <w:num w:numId="21">
    <w:abstractNumId w:val="19"/>
  </w:num>
  <w:num w:numId="22">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983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482"/>
    <w:rsid w:val="000030C3"/>
    <w:rsid w:val="000108B3"/>
    <w:rsid w:val="000124A8"/>
    <w:rsid w:val="0001262F"/>
    <w:rsid w:val="00013524"/>
    <w:rsid w:val="00013671"/>
    <w:rsid w:val="00013DAA"/>
    <w:rsid w:val="00014D6D"/>
    <w:rsid w:val="000225A3"/>
    <w:rsid w:val="00025C9C"/>
    <w:rsid w:val="00027487"/>
    <w:rsid w:val="00030360"/>
    <w:rsid w:val="00031850"/>
    <w:rsid w:val="00031EA9"/>
    <w:rsid w:val="000324A4"/>
    <w:rsid w:val="000332F3"/>
    <w:rsid w:val="000353C1"/>
    <w:rsid w:val="000356CE"/>
    <w:rsid w:val="000361F3"/>
    <w:rsid w:val="000379F9"/>
    <w:rsid w:val="00042BFB"/>
    <w:rsid w:val="00045F49"/>
    <w:rsid w:val="00050BAC"/>
    <w:rsid w:val="000510EE"/>
    <w:rsid w:val="00054132"/>
    <w:rsid w:val="000561B7"/>
    <w:rsid w:val="000574D8"/>
    <w:rsid w:val="000614AC"/>
    <w:rsid w:val="00062CAA"/>
    <w:rsid w:val="000636E0"/>
    <w:rsid w:val="000659B5"/>
    <w:rsid w:val="00067B5B"/>
    <w:rsid w:val="00075C1C"/>
    <w:rsid w:val="00081214"/>
    <w:rsid w:val="000A0405"/>
    <w:rsid w:val="000A30C5"/>
    <w:rsid w:val="000A459A"/>
    <w:rsid w:val="000A658F"/>
    <w:rsid w:val="000B5574"/>
    <w:rsid w:val="000B697A"/>
    <w:rsid w:val="000B7158"/>
    <w:rsid w:val="000C193F"/>
    <w:rsid w:val="000C3487"/>
    <w:rsid w:val="000C3656"/>
    <w:rsid w:val="000C4B76"/>
    <w:rsid w:val="000C60A1"/>
    <w:rsid w:val="000C7A3E"/>
    <w:rsid w:val="000D1D72"/>
    <w:rsid w:val="000E670C"/>
    <w:rsid w:val="000E6800"/>
    <w:rsid w:val="000E7A1C"/>
    <w:rsid w:val="000F4CFB"/>
    <w:rsid w:val="0010197A"/>
    <w:rsid w:val="001023F9"/>
    <w:rsid w:val="00102434"/>
    <w:rsid w:val="0010313F"/>
    <w:rsid w:val="001055F7"/>
    <w:rsid w:val="00105FA1"/>
    <w:rsid w:val="00107F1E"/>
    <w:rsid w:val="00111A93"/>
    <w:rsid w:val="00113400"/>
    <w:rsid w:val="00114476"/>
    <w:rsid w:val="00124E8C"/>
    <w:rsid w:val="001369DD"/>
    <w:rsid w:val="00151860"/>
    <w:rsid w:val="00161DFC"/>
    <w:rsid w:val="0016507F"/>
    <w:rsid w:val="00167F77"/>
    <w:rsid w:val="001712C7"/>
    <w:rsid w:val="001764EA"/>
    <w:rsid w:val="001800AA"/>
    <w:rsid w:val="00186370"/>
    <w:rsid w:val="00190B13"/>
    <w:rsid w:val="001A581B"/>
    <w:rsid w:val="001A7508"/>
    <w:rsid w:val="001B1097"/>
    <w:rsid w:val="001C4C20"/>
    <w:rsid w:val="001D16EB"/>
    <w:rsid w:val="001D417B"/>
    <w:rsid w:val="001D537F"/>
    <w:rsid w:val="001D7566"/>
    <w:rsid w:val="001E6515"/>
    <w:rsid w:val="001E7488"/>
    <w:rsid w:val="001F07A0"/>
    <w:rsid w:val="001F292D"/>
    <w:rsid w:val="002010D3"/>
    <w:rsid w:val="002044A7"/>
    <w:rsid w:val="00205F07"/>
    <w:rsid w:val="00210F48"/>
    <w:rsid w:val="00215561"/>
    <w:rsid w:val="002170B1"/>
    <w:rsid w:val="00221246"/>
    <w:rsid w:val="00222E4D"/>
    <w:rsid w:val="002322E8"/>
    <w:rsid w:val="00235262"/>
    <w:rsid w:val="00235F28"/>
    <w:rsid w:val="002365F6"/>
    <w:rsid w:val="00245251"/>
    <w:rsid w:val="00250FEB"/>
    <w:rsid w:val="00255B98"/>
    <w:rsid w:val="00263278"/>
    <w:rsid w:val="00274CAC"/>
    <w:rsid w:val="00276804"/>
    <w:rsid w:val="00277760"/>
    <w:rsid w:val="00286406"/>
    <w:rsid w:val="0029114D"/>
    <w:rsid w:val="00293711"/>
    <w:rsid w:val="00295CA3"/>
    <w:rsid w:val="002A1856"/>
    <w:rsid w:val="002A2496"/>
    <w:rsid w:val="002A7839"/>
    <w:rsid w:val="002B3A68"/>
    <w:rsid w:val="002B499C"/>
    <w:rsid w:val="002B6654"/>
    <w:rsid w:val="002B776F"/>
    <w:rsid w:val="002C26AF"/>
    <w:rsid w:val="002C32D6"/>
    <w:rsid w:val="002C3484"/>
    <w:rsid w:val="002D1D75"/>
    <w:rsid w:val="002D325D"/>
    <w:rsid w:val="002D3518"/>
    <w:rsid w:val="002D5E02"/>
    <w:rsid w:val="002E090E"/>
    <w:rsid w:val="002E1A6D"/>
    <w:rsid w:val="002E2DD2"/>
    <w:rsid w:val="002E38F6"/>
    <w:rsid w:val="002F08B2"/>
    <w:rsid w:val="002F7527"/>
    <w:rsid w:val="00312EC5"/>
    <w:rsid w:val="00316DA5"/>
    <w:rsid w:val="00320E6B"/>
    <w:rsid w:val="003216AC"/>
    <w:rsid w:val="00321F21"/>
    <w:rsid w:val="003260A8"/>
    <w:rsid w:val="00334C01"/>
    <w:rsid w:val="003458E5"/>
    <w:rsid w:val="00351652"/>
    <w:rsid w:val="003519E1"/>
    <w:rsid w:val="0035344C"/>
    <w:rsid w:val="0035452B"/>
    <w:rsid w:val="00356D4B"/>
    <w:rsid w:val="00367BA9"/>
    <w:rsid w:val="00374FD3"/>
    <w:rsid w:val="00375AB3"/>
    <w:rsid w:val="00375F05"/>
    <w:rsid w:val="00385AC4"/>
    <w:rsid w:val="003904A9"/>
    <w:rsid w:val="0039315E"/>
    <w:rsid w:val="003A0689"/>
    <w:rsid w:val="003A1574"/>
    <w:rsid w:val="003A312A"/>
    <w:rsid w:val="003B19C0"/>
    <w:rsid w:val="003B255B"/>
    <w:rsid w:val="003D271D"/>
    <w:rsid w:val="003D4B12"/>
    <w:rsid w:val="003E3E26"/>
    <w:rsid w:val="003E7FAC"/>
    <w:rsid w:val="003F0ADD"/>
    <w:rsid w:val="003F7FAB"/>
    <w:rsid w:val="00403883"/>
    <w:rsid w:val="004043C8"/>
    <w:rsid w:val="00405A04"/>
    <w:rsid w:val="00405F9B"/>
    <w:rsid w:val="0041427C"/>
    <w:rsid w:val="00422092"/>
    <w:rsid w:val="00422EBA"/>
    <w:rsid w:val="00431485"/>
    <w:rsid w:val="0045034B"/>
    <w:rsid w:val="00451D35"/>
    <w:rsid w:val="00452B51"/>
    <w:rsid w:val="00455612"/>
    <w:rsid w:val="00460188"/>
    <w:rsid w:val="00461D88"/>
    <w:rsid w:val="00461E4C"/>
    <w:rsid w:val="00463039"/>
    <w:rsid w:val="00465AD7"/>
    <w:rsid w:val="004676C9"/>
    <w:rsid w:val="00471BA4"/>
    <w:rsid w:val="00473A2C"/>
    <w:rsid w:val="004771EC"/>
    <w:rsid w:val="00487204"/>
    <w:rsid w:val="00492E31"/>
    <w:rsid w:val="004933E8"/>
    <w:rsid w:val="004A401C"/>
    <w:rsid w:val="004A5F58"/>
    <w:rsid w:val="004A7CC9"/>
    <w:rsid w:val="004B1E67"/>
    <w:rsid w:val="004B2F70"/>
    <w:rsid w:val="004C7E2B"/>
    <w:rsid w:val="004D212F"/>
    <w:rsid w:val="004D2543"/>
    <w:rsid w:val="004D2A25"/>
    <w:rsid w:val="004D446C"/>
    <w:rsid w:val="004D6849"/>
    <w:rsid w:val="004D7068"/>
    <w:rsid w:val="004D7583"/>
    <w:rsid w:val="004E0B81"/>
    <w:rsid w:val="004F28A9"/>
    <w:rsid w:val="004F717B"/>
    <w:rsid w:val="00504454"/>
    <w:rsid w:val="00514606"/>
    <w:rsid w:val="00525E52"/>
    <w:rsid w:val="00526691"/>
    <w:rsid w:val="00532AE1"/>
    <w:rsid w:val="005347AC"/>
    <w:rsid w:val="005379F7"/>
    <w:rsid w:val="00540F88"/>
    <w:rsid w:val="00541292"/>
    <w:rsid w:val="005416F0"/>
    <w:rsid w:val="00554A21"/>
    <w:rsid w:val="00557853"/>
    <w:rsid w:val="00557C94"/>
    <w:rsid w:val="00557F3C"/>
    <w:rsid w:val="00562934"/>
    <w:rsid w:val="005719D9"/>
    <w:rsid w:val="00572CD6"/>
    <w:rsid w:val="005816AD"/>
    <w:rsid w:val="00581785"/>
    <w:rsid w:val="005817ED"/>
    <w:rsid w:val="0058423B"/>
    <w:rsid w:val="00591579"/>
    <w:rsid w:val="0059267A"/>
    <w:rsid w:val="00593630"/>
    <w:rsid w:val="00597849"/>
    <w:rsid w:val="005A7CFF"/>
    <w:rsid w:val="005B0812"/>
    <w:rsid w:val="005B2413"/>
    <w:rsid w:val="005B35C4"/>
    <w:rsid w:val="005B3B5C"/>
    <w:rsid w:val="005B6CC2"/>
    <w:rsid w:val="005C3CDC"/>
    <w:rsid w:val="005D1134"/>
    <w:rsid w:val="005D6F50"/>
    <w:rsid w:val="005D77A8"/>
    <w:rsid w:val="005E1544"/>
    <w:rsid w:val="005E562A"/>
    <w:rsid w:val="005F1CB7"/>
    <w:rsid w:val="005F36A5"/>
    <w:rsid w:val="005F6F7C"/>
    <w:rsid w:val="005F7939"/>
    <w:rsid w:val="00604528"/>
    <w:rsid w:val="00611DCF"/>
    <w:rsid w:val="00611E3E"/>
    <w:rsid w:val="0061697E"/>
    <w:rsid w:val="00617F5E"/>
    <w:rsid w:val="006233A3"/>
    <w:rsid w:val="00624E1A"/>
    <w:rsid w:val="006352CF"/>
    <w:rsid w:val="006409AF"/>
    <w:rsid w:val="00642F92"/>
    <w:rsid w:val="006536CB"/>
    <w:rsid w:val="00655DDC"/>
    <w:rsid w:val="00664B73"/>
    <w:rsid w:val="00664D8C"/>
    <w:rsid w:val="006755F7"/>
    <w:rsid w:val="006760D6"/>
    <w:rsid w:val="00677F3B"/>
    <w:rsid w:val="00681568"/>
    <w:rsid w:val="006849B4"/>
    <w:rsid w:val="0068598D"/>
    <w:rsid w:val="0068620B"/>
    <w:rsid w:val="00686D75"/>
    <w:rsid w:val="00691696"/>
    <w:rsid w:val="00691A23"/>
    <w:rsid w:val="006A57A5"/>
    <w:rsid w:val="006B1F0C"/>
    <w:rsid w:val="006C0BE4"/>
    <w:rsid w:val="006C1317"/>
    <w:rsid w:val="006C1EBB"/>
    <w:rsid w:val="006C2D1A"/>
    <w:rsid w:val="006C4DF9"/>
    <w:rsid w:val="006D03AE"/>
    <w:rsid w:val="006D1733"/>
    <w:rsid w:val="006D2A86"/>
    <w:rsid w:val="006D36B2"/>
    <w:rsid w:val="006D50FE"/>
    <w:rsid w:val="006D6A0D"/>
    <w:rsid w:val="006D6B38"/>
    <w:rsid w:val="006D7C6A"/>
    <w:rsid w:val="006E01AB"/>
    <w:rsid w:val="006E5BA5"/>
    <w:rsid w:val="006E5DB4"/>
    <w:rsid w:val="006F09FB"/>
    <w:rsid w:val="006F0C33"/>
    <w:rsid w:val="006F32DC"/>
    <w:rsid w:val="006F7127"/>
    <w:rsid w:val="007031EA"/>
    <w:rsid w:val="00706E68"/>
    <w:rsid w:val="00711719"/>
    <w:rsid w:val="00712B3C"/>
    <w:rsid w:val="0071330A"/>
    <w:rsid w:val="007162F2"/>
    <w:rsid w:val="007167F1"/>
    <w:rsid w:val="0072033D"/>
    <w:rsid w:val="00723486"/>
    <w:rsid w:val="007328DC"/>
    <w:rsid w:val="00733612"/>
    <w:rsid w:val="00734A5E"/>
    <w:rsid w:val="00737626"/>
    <w:rsid w:val="00742CAC"/>
    <w:rsid w:val="007439C3"/>
    <w:rsid w:val="0074438B"/>
    <w:rsid w:val="0074507E"/>
    <w:rsid w:val="007475A3"/>
    <w:rsid w:val="00747D3E"/>
    <w:rsid w:val="00752EFA"/>
    <w:rsid w:val="00757210"/>
    <w:rsid w:val="0075762F"/>
    <w:rsid w:val="00762C2F"/>
    <w:rsid w:val="00766282"/>
    <w:rsid w:val="00766968"/>
    <w:rsid w:val="00766CC6"/>
    <w:rsid w:val="007742BA"/>
    <w:rsid w:val="007765CD"/>
    <w:rsid w:val="00777E65"/>
    <w:rsid w:val="00780F60"/>
    <w:rsid w:val="00783867"/>
    <w:rsid w:val="00793F46"/>
    <w:rsid w:val="007955A5"/>
    <w:rsid w:val="007B1901"/>
    <w:rsid w:val="007B6CDF"/>
    <w:rsid w:val="007C078E"/>
    <w:rsid w:val="007C2546"/>
    <w:rsid w:val="007C32DC"/>
    <w:rsid w:val="007C3C00"/>
    <w:rsid w:val="007C6CEE"/>
    <w:rsid w:val="007D20CE"/>
    <w:rsid w:val="007D2E7E"/>
    <w:rsid w:val="007D5D9D"/>
    <w:rsid w:val="007D6CDD"/>
    <w:rsid w:val="007E188B"/>
    <w:rsid w:val="007F15E9"/>
    <w:rsid w:val="008023D1"/>
    <w:rsid w:val="00805F0C"/>
    <w:rsid w:val="008077BC"/>
    <w:rsid w:val="008105C0"/>
    <w:rsid w:val="00810C95"/>
    <w:rsid w:val="0081519C"/>
    <w:rsid w:val="00827316"/>
    <w:rsid w:val="00840502"/>
    <w:rsid w:val="0084359D"/>
    <w:rsid w:val="008441F2"/>
    <w:rsid w:val="008458A1"/>
    <w:rsid w:val="008505C0"/>
    <w:rsid w:val="00850D10"/>
    <w:rsid w:val="00852295"/>
    <w:rsid w:val="008531F0"/>
    <w:rsid w:val="00856E7D"/>
    <w:rsid w:val="00870226"/>
    <w:rsid w:val="00873578"/>
    <w:rsid w:val="00873CDC"/>
    <w:rsid w:val="0088097A"/>
    <w:rsid w:val="00883746"/>
    <w:rsid w:val="00884976"/>
    <w:rsid w:val="00892D95"/>
    <w:rsid w:val="00893A6F"/>
    <w:rsid w:val="008A3CE1"/>
    <w:rsid w:val="008C0DEF"/>
    <w:rsid w:val="008C3BBD"/>
    <w:rsid w:val="008C4175"/>
    <w:rsid w:val="008C4AA4"/>
    <w:rsid w:val="008C7C8F"/>
    <w:rsid w:val="008D1A3B"/>
    <w:rsid w:val="008D2AAB"/>
    <w:rsid w:val="008D6E00"/>
    <w:rsid w:val="008E2067"/>
    <w:rsid w:val="008E4A76"/>
    <w:rsid w:val="008E6811"/>
    <w:rsid w:val="008E7CD5"/>
    <w:rsid w:val="00903D74"/>
    <w:rsid w:val="0090669B"/>
    <w:rsid w:val="00907C13"/>
    <w:rsid w:val="00910C1E"/>
    <w:rsid w:val="00911030"/>
    <w:rsid w:val="009123C6"/>
    <w:rsid w:val="00913D95"/>
    <w:rsid w:val="00916F60"/>
    <w:rsid w:val="009173ED"/>
    <w:rsid w:val="00917EB5"/>
    <w:rsid w:val="00920CB1"/>
    <w:rsid w:val="00921806"/>
    <w:rsid w:val="009231B1"/>
    <w:rsid w:val="009240F9"/>
    <w:rsid w:val="009243A8"/>
    <w:rsid w:val="00927746"/>
    <w:rsid w:val="00930B45"/>
    <w:rsid w:val="009339D9"/>
    <w:rsid w:val="00933F5E"/>
    <w:rsid w:val="009354F8"/>
    <w:rsid w:val="009357B9"/>
    <w:rsid w:val="009400E3"/>
    <w:rsid w:val="009410A5"/>
    <w:rsid w:val="009428B5"/>
    <w:rsid w:val="009459CC"/>
    <w:rsid w:val="00946419"/>
    <w:rsid w:val="009506B6"/>
    <w:rsid w:val="009615D4"/>
    <w:rsid w:val="0096187F"/>
    <w:rsid w:val="00961982"/>
    <w:rsid w:val="0096268F"/>
    <w:rsid w:val="009639D5"/>
    <w:rsid w:val="00964925"/>
    <w:rsid w:val="0097076F"/>
    <w:rsid w:val="00970B22"/>
    <w:rsid w:val="00973485"/>
    <w:rsid w:val="0098446F"/>
    <w:rsid w:val="00984910"/>
    <w:rsid w:val="009854F4"/>
    <w:rsid w:val="00985817"/>
    <w:rsid w:val="00992204"/>
    <w:rsid w:val="009A0988"/>
    <w:rsid w:val="009A0B51"/>
    <w:rsid w:val="009A230F"/>
    <w:rsid w:val="009A674A"/>
    <w:rsid w:val="009B0482"/>
    <w:rsid w:val="009B5520"/>
    <w:rsid w:val="009B6F3E"/>
    <w:rsid w:val="009B781E"/>
    <w:rsid w:val="009C06FD"/>
    <w:rsid w:val="009C1E7D"/>
    <w:rsid w:val="009C3584"/>
    <w:rsid w:val="009D33DB"/>
    <w:rsid w:val="009D5E18"/>
    <w:rsid w:val="009D7531"/>
    <w:rsid w:val="009E02BE"/>
    <w:rsid w:val="009E49E8"/>
    <w:rsid w:val="009E7FC0"/>
    <w:rsid w:val="009F04A7"/>
    <w:rsid w:val="009F45D2"/>
    <w:rsid w:val="00A05385"/>
    <w:rsid w:val="00A06652"/>
    <w:rsid w:val="00A21DB3"/>
    <w:rsid w:val="00A2292D"/>
    <w:rsid w:val="00A238CC"/>
    <w:rsid w:val="00A23D98"/>
    <w:rsid w:val="00A25059"/>
    <w:rsid w:val="00A2719A"/>
    <w:rsid w:val="00A3112F"/>
    <w:rsid w:val="00A31E6E"/>
    <w:rsid w:val="00A34C41"/>
    <w:rsid w:val="00A46031"/>
    <w:rsid w:val="00A536C3"/>
    <w:rsid w:val="00A57D79"/>
    <w:rsid w:val="00A65CBB"/>
    <w:rsid w:val="00A709E6"/>
    <w:rsid w:val="00A71F55"/>
    <w:rsid w:val="00A75435"/>
    <w:rsid w:val="00A770EE"/>
    <w:rsid w:val="00A84F13"/>
    <w:rsid w:val="00A86747"/>
    <w:rsid w:val="00A86C17"/>
    <w:rsid w:val="00A905A7"/>
    <w:rsid w:val="00A926B2"/>
    <w:rsid w:val="00A929C8"/>
    <w:rsid w:val="00A95CF5"/>
    <w:rsid w:val="00AA30FE"/>
    <w:rsid w:val="00AA3C42"/>
    <w:rsid w:val="00AB5947"/>
    <w:rsid w:val="00AC2463"/>
    <w:rsid w:val="00AC576A"/>
    <w:rsid w:val="00AC7C20"/>
    <w:rsid w:val="00AD09F2"/>
    <w:rsid w:val="00AD1841"/>
    <w:rsid w:val="00AD5B3B"/>
    <w:rsid w:val="00AD719E"/>
    <w:rsid w:val="00AD77B0"/>
    <w:rsid w:val="00AE0887"/>
    <w:rsid w:val="00AE4B2A"/>
    <w:rsid w:val="00AE58D8"/>
    <w:rsid w:val="00AE79A6"/>
    <w:rsid w:val="00AF1062"/>
    <w:rsid w:val="00AF2EF4"/>
    <w:rsid w:val="00AF468C"/>
    <w:rsid w:val="00B11317"/>
    <w:rsid w:val="00B14C83"/>
    <w:rsid w:val="00B16C8F"/>
    <w:rsid w:val="00B20BE2"/>
    <w:rsid w:val="00B21AC9"/>
    <w:rsid w:val="00B274AC"/>
    <w:rsid w:val="00B313A5"/>
    <w:rsid w:val="00B56783"/>
    <w:rsid w:val="00B57167"/>
    <w:rsid w:val="00B63D8B"/>
    <w:rsid w:val="00B6533D"/>
    <w:rsid w:val="00B717E7"/>
    <w:rsid w:val="00B719EA"/>
    <w:rsid w:val="00B76CA0"/>
    <w:rsid w:val="00B77F74"/>
    <w:rsid w:val="00B8073F"/>
    <w:rsid w:val="00B841CD"/>
    <w:rsid w:val="00B91492"/>
    <w:rsid w:val="00B915D5"/>
    <w:rsid w:val="00B91BBC"/>
    <w:rsid w:val="00B920B9"/>
    <w:rsid w:val="00B93E50"/>
    <w:rsid w:val="00B943E7"/>
    <w:rsid w:val="00B95CC4"/>
    <w:rsid w:val="00B96E7A"/>
    <w:rsid w:val="00B96F62"/>
    <w:rsid w:val="00B97F1D"/>
    <w:rsid w:val="00BB01B3"/>
    <w:rsid w:val="00BB467B"/>
    <w:rsid w:val="00BB4D1D"/>
    <w:rsid w:val="00BB6769"/>
    <w:rsid w:val="00BB7D6C"/>
    <w:rsid w:val="00BC6A86"/>
    <w:rsid w:val="00BC76DF"/>
    <w:rsid w:val="00BD378E"/>
    <w:rsid w:val="00BD3C38"/>
    <w:rsid w:val="00BD4AF4"/>
    <w:rsid w:val="00BD76F8"/>
    <w:rsid w:val="00BE4AA1"/>
    <w:rsid w:val="00BE54CB"/>
    <w:rsid w:val="00BF09C2"/>
    <w:rsid w:val="00BF1155"/>
    <w:rsid w:val="00BF1E39"/>
    <w:rsid w:val="00BF3032"/>
    <w:rsid w:val="00BF751E"/>
    <w:rsid w:val="00BF7DC8"/>
    <w:rsid w:val="00C00454"/>
    <w:rsid w:val="00C00F02"/>
    <w:rsid w:val="00C0705C"/>
    <w:rsid w:val="00C07D03"/>
    <w:rsid w:val="00C15856"/>
    <w:rsid w:val="00C174C6"/>
    <w:rsid w:val="00C2177C"/>
    <w:rsid w:val="00C265CA"/>
    <w:rsid w:val="00C30729"/>
    <w:rsid w:val="00C348D6"/>
    <w:rsid w:val="00C422D9"/>
    <w:rsid w:val="00C42482"/>
    <w:rsid w:val="00C454F3"/>
    <w:rsid w:val="00C52141"/>
    <w:rsid w:val="00C531AA"/>
    <w:rsid w:val="00C71A46"/>
    <w:rsid w:val="00C72ED8"/>
    <w:rsid w:val="00C7306E"/>
    <w:rsid w:val="00C73D9B"/>
    <w:rsid w:val="00C74417"/>
    <w:rsid w:val="00C76C56"/>
    <w:rsid w:val="00C80B7E"/>
    <w:rsid w:val="00C81E43"/>
    <w:rsid w:val="00C85CA6"/>
    <w:rsid w:val="00C90687"/>
    <w:rsid w:val="00C94B81"/>
    <w:rsid w:val="00CA18BA"/>
    <w:rsid w:val="00CA2AFF"/>
    <w:rsid w:val="00CB6C12"/>
    <w:rsid w:val="00CB78A7"/>
    <w:rsid w:val="00CC1FDC"/>
    <w:rsid w:val="00CC45E9"/>
    <w:rsid w:val="00CD0ACD"/>
    <w:rsid w:val="00CD1191"/>
    <w:rsid w:val="00CD305B"/>
    <w:rsid w:val="00CD323A"/>
    <w:rsid w:val="00CD6EA4"/>
    <w:rsid w:val="00CE2737"/>
    <w:rsid w:val="00CF0764"/>
    <w:rsid w:val="00CF1325"/>
    <w:rsid w:val="00CF63F2"/>
    <w:rsid w:val="00D01336"/>
    <w:rsid w:val="00D016F6"/>
    <w:rsid w:val="00D05F87"/>
    <w:rsid w:val="00D07AA8"/>
    <w:rsid w:val="00D11F3D"/>
    <w:rsid w:val="00D15364"/>
    <w:rsid w:val="00D16C68"/>
    <w:rsid w:val="00D2218B"/>
    <w:rsid w:val="00D22780"/>
    <w:rsid w:val="00D23E32"/>
    <w:rsid w:val="00D3029D"/>
    <w:rsid w:val="00D31070"/>
    <w:rsid w:val="00D321F9"/>
    <w:rsid w:val="00D33B69"/>
    <w:rsid w:val="00D36E58"/>
    <w:rsid w:val="00D4118F"/>
    <w:rsid w:val="00D51CE8"/>
    <w:rsid w:val="00D53210"/>
    <w:rsid w:val="00D55BB3"/>
    <w:rsid w:val="00D632FC"/>
    <w:rsid w:val="00D70CE9"/>
    <w:rsid w:val="00D7765D"/>
    <w:rsid w:val="00D81A81"/>
    <w:rsid w:val="00D876AD"/>
    <w:rsid w:val="00D9195E"/>
    <w:rsid w:val="00D91A60"/>
    <w:rsid w:val="00D93398"/>
    <w:rsid w:val="00D96A5A"/>
    <w:rsid w:val="00DA11E1"/>
    <w:rsid w:val="00DA3689"/>
    <w:rsid w:val="00DB3913"/>
    <w:rsid w:val="00DB7F7B"/>
    <w:rsid w:val="00DC3270"/>
    <w:rsid w:val="00DC61C2"/>
    <w:rsid w:val="00DD0DA5"/>
    <w:rsid w:val="00DD1EEC"/>
    <w:rsid w:val="00DD4C73"/>
    <w:rsid w:val="00DE075B"/>
    <w:rsid w:val="00DE21CB"/>
    <w:rsid w:val="00DE235D"/>
    <w:rsid w:val="00DE4C1B"/>
    <w:rsid w:val="00DF0C91"/>
    <w:rsid w:val="00DF1B27"/>
    <w:rsid w:val="00DF38B5"/>
    <w:rsid w:val="00DF3B48"/>
    <w:rsid w:val="00DF5673"/>
    <w:rsid w:val="00DF7D25"/>
    <w:rsid w:val="00E01C95"/>
    <w:rsid w:val="00E05215"/>
    <w:rsid w:val="00E133F3"/>
    <w:rsid w:val="00E17500"/>
    <w:rsid w:val="00E176F9"/>
    <w:rsid w:val="00E2416E"/>
    <w:rsid w:val="00E25677"/>
    <w:rsid w:val="00E30ADE"/>
    <w:rsid w:val="00E362FA"/>
    <w:rsid w:val="00E37D17"/>
    <w:rsid w:val="00E4128A"/>
    <w:rsid w:val="00E4169A"/>
    <w:rsid w:val="00E4546B"/>
    <w:rsid w:val="00E47B34"/>
    <w:rsid w:val="00E51594"/>
    <w:rsid w:val="00E5341F"/>
    <w:rsid w:val="00E5395C"/>
    <w:rsid w:val="00E54059"/>
    <w:rsid w:val="00E550CE"/>
    <w:rsid w:val="00E6162D"/>
    <w:rsid w:val="00E67501"/>
    <w:rsid w:val="00E71C0F"/>
    <w:rsid w:val="00E73BA0"/>
    <w:rsid w:val="00E761A8"/>
    <w:rsid w:val="00E81629"/>
    <w:rsid w:val="00E84CE7"/>
    <w:rsid w:val="00E864D7"/>
    <w:rsid w:val="00E939AC"/>
    <w:rsid w:val="00E95B47"/>
    <w:rsid w:val="00EA5EDE"/>
    <w:rsid w:val="00EB2AE9"/>
    <w:rsid w:val="00EB6698"/>
    <w:rsid w:val="00EB6891"/>
    <w:rsid w:val="00EB75E6"/>
    <w:rsid w:val="00EB7D30"/>
    <w:rsid w:val="00EC208D"/>
    <w:rsid w:val="00EC2185"/>
    <w:rsid w:val="00EC531E"/>
    <w:rsid w:val="00EC601E"/>
    <w:rsid w:val="00EC7106"/>
    <w:rsid w:val="00EC7C60"/>
    <w:rsid w:val="00ED0780"/>
    <w:rsid w:val="00ED07C6"/>
    <w:rsid w:val="00ED3B3F"/>
    <w:rsid w:val="00ED6C87"/>
    <w:rsid w:val="00EE0F31"/>
    <w:rsid w:val="00EE2BE3"/>
    <w:rsid w:val="00EF12AE"/>
    <w:rsid w:val="00EF5483"/>
    <w:rsid w:val="00EF5955"/>
    <w:rsid w:val="00EF790E"/>
    <w:rsid w:val="00F1282F"/>
    <w:rsid w:val="00F12EDD"/>
    <w:rsid w:val="00F1414B"/>
    <w:rsid w:val="00F151FC"/>
    <w:rsid w:val="00F17ADB"/>
    <w:rsid w:val="00F21DE3"/>
    <w:rsid w:val="00F21EAA"/>
    <w:rsid w:val="00F23ABE"/>
    <w:rsid w:val="00F24BBC"/>
    <w:rsid w:val="00F26527"/>
    <w:rsid w:val="00F2686E"/>
    <w:rsid w:val="00F26ADB"/>
    <w:rsid w:val="00F272D2"/>
    <w:rsid w:val="00F325F5"/>
    <w:rsid w:val="00F3451D"/>
    <w:rsid w:val="00F37248"/>
    <w:rsid w:val="00F37D2B"/>
    <w:rsid w:val="00F45E71"/>
    <w:rsid w:val="00F51DF2"/>
    <w:rsid w:val="00F530A5"/>
    <w:rsid w:val="00F531FB"/>
    <w:rsid w:val="00F53FB9"/>
    <w:rsid w:val="00F70ADE"/>
    <w:rsid w:val="00F73382"/>
    <w:rsid w:val="00F7711F"/>
    <w:rsid w:val="00F811D8"/>
    <w:rsid w:val="00F828A2"/>
    <w:rsid w:val="00F82D9A"/>
    <w:rsid w:val="00F875AD"/>
    <w:rsid w:val="00F91A75"/>
    <w:rsid w:val="00F92429"/>
    <w:rsid w:val="00F9250B"/>
    <w:rsid w:val="00F948AA"/>
    <w:rsid w:val="00F97A01"/>
    <w:rsid w:val="00FA1C1C"/>
    <w:rsid w:val="00FA651D"/>
    <w:rsid w:val="00FA6BD0"/>
    <w:rsid w:val="00FC2A46"/>
    <w:rsid w:val="00FC7945"/>
    <w:rsid w:val="00FD04F8"/>
    <w:rsid w:val="00FD0A61"/>
    <w:rsid w:val="00FE17E0"/>
    <w:rsid w:val="00FE3D8C"/>
    <w:rsid w:val="00FE6FD6"/>
    <w:rsid w:val="00FE71AF"/>
    <w:rsid w:val="00FF15B4"/>
    <w:rsid w:val="00FF1899"/>
    <w:rsid w:val="00FF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251567D0"/>
  <w15:chartTrackingRefBased/>
  <w15:docId w15:val="{7F79D650-B734-4008-B70C-9056847D4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673"/>
  </w:style>
  <w:style w:type="paragraph" w:styleId="Heading1">
    <w:name w:val="heading 1"/>
    <w:basedOn w:val="Normal"/>
    <w:next w:val="Normal"/>
    <w:link w:val="Heading1Char"/>
    <w:uiPriority w:val="9"/>
    <w:qFormat/>
    <w:rsid w:val="009B0482"/>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0482"/>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0482"/>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048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048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048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048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048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048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82"/>
    <w:pPr>
      <w:ind w:left="720"/>
      <w:contextualSpacing/>
    </w:pPr>
  </w:style>
  <w:style w:type="character" w:customStyle="1" w:styleId="Heading1Char">
    <w:name w:val="Heading 1 Char"/>
    <w:basedOn w:val="DefaultParagraphFont"/>
    <w:link w:val="Heading1"/>
    <w:uiPriority w:val="9"/>
    <w:rsid w:val="009B04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04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04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B04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048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048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B048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B04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048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86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1544"/>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9F04A7"/>
    <w:pPr>
      <w:tabs>
        <w:tab w:val="center" w:pos="4513"/>
        <w:tab w:val="right" w:pos="9026"/>
      </w:tabs>
    </w:pPr>
  </w:style>
  <w:style w:type="character" w:customStyle="1" w:styleId="HeaderChar">
    <w:name w:val="Header Char"/>
    <w:basedOn w:val="DefaultParagraphFont"/>
    <w:link w:val="Header"/>
    <w:uiPriority w:val="99"/>
    <w:rsid w:val="009F04A7"/>
  </w:style>
  <w:style w:type="paragraph" w:styleId="Footer">
    <w:name w:val="footer"/>
    <w:basedOn w:val="Normal"/>
    <w:link w:val="FooterChar"/>
    <w:uiPriority w:val="99"/>
    <w:unhideWhenUsed/>
    <w:rsid w:val="009F04A7"/>
    <w:pPr>
      <w:tabs>
        <w:tab w:val="center" w:pos="4513"/>
        <w:tab w:val="right" w:pos="9026"/>
      </w:tabs>
    </w:pPr>
  </w:style>
  <w:style w:type="character" w:customStyle="1" w:styleId="FooterChar">
    <w:name w:val="Footer Char"/>
    <w:basedOn w:val="DefaultParagraphFont"/>
    <w:link w:val="Footer"/>
    <w:uiPriority w:val="99"/>
    <w:rsid w:val="009F04A7"/>
  </w:style>
  <w:style w:type="paragraph" w:styleId="BalloonText">
    <w:name w:val="Balloon Text"/>
    <w:basedOn w:val="Normal"/>
    <w:link w:val="BalloonTextChar"/>
    <w:uiPriority w:val="99"/>
    <w:semiHidden/>
    <w:unhideWhenUsed/>
    <w:rsid w:val="00235F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F28"/>
    <w:rPr>
      <w:rFonts w:ascii="Segoe UI" w:hAnsi="Segoe UI" w:cs="Segoe UI"/>
      <w:sz w:val="18"/>
      <w:szCs w:val="18"/>
    </w:rPr>
  </w:style>
  <w:style w:type="table" w:styleId="GridTable4-Accent3">
    <w:name w:val="Grid Table 4 Accent 3"/>
    <w:basedOn w:val="TableNormal"/>
    <w:uiPriority w:val="49"/>
    <w:rsid w:val="00DF56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F26527"/>
    <w:rPr>
      <w:color w:val="0563C1" w:themeColor="hyperlink"/>
      <w:u w:val="single"/>
    </w:rPr>
  </w:style>
  <w:style w:type="paragraph" w:styleId="FootnoteText">
    <w:name w:val="footnote text"/>
    <w:basedOn w:val="Normal"/>
    <w:link w:val="FootnoteTextChar"/>
    <w:uiPriority w:val="99"/>
    <w:semiHidden/>
    <w:unhideWhenUsed/>
    <w:rsid w:val="00B76CA0"/>
    <w:rPr>
      <w:sz w:val="20"/>
      <w:szCs w:val="20"/>
    </w:rPr>
  </w:style>
  <w:style w:type="character" w:customStyle="1" w:styleId="FootnoteTextChar">
    <w:name w:val="Footnote Text Char"/>
    <w:basedOn w:val="DefaultParagraphFont"/>
    <w:link w:val="FootnoteText"/>
    <w:uiPriority w:val="99"/>
    <w:semiHidden/>
    <w:rsid w:val="00B76CA0"/>
    <w:rPr>
      <w:sz w:val="20"/>
      <w:szCs w:val="20"/>
    </w:rPr>
  </w:style>
  <w:style w:type="character" w:styleId="FootnoteReference">
    <w:name w:val="footnote reference"/>
    <w:basedOn w:val="DefaultParagraphFont"/>
    <w:uiPriority w:val="99"/>
    <w:semiHidden/>
    <w:unhideWhenUsed/>
    <w:rsid w:val="00B76CA0"/>
    <w:rPr>
      <w:vertAlign w:val="superscript"/>
    </w:rPr>
  </w:style>
  <w:style w:type="character" w:styleId="FollowedHyperlink">
    <w:name w:val="FollowedHyperlink"/>
    <w:basedOn w:val="DefaultParagraphFont"/>
    <w:uiPriority w:val="99"/>
    <w:semiHidden/>
    <w:unhideWhenUsed/>
    <w:rsid w:val="00422EBA"/>
    <w:rPr>
      <w:color w:val="954F72" w:themeColor="followedHyperlink"/>
      <w:u w:val="single"/>
    </w:rPr>
  </w:style>
  <w:style w:type="paragraph" w:customStyle="1" w:styleId="TableParagraph">
    <w:name w:val="Table Paragraph"/>
    <w:basedOn w:val="Normal"/>
    <w:uiPriority w:val="1"/>
    <w:qFormat/>
    <w:rsid w:val="002010D3"/>
    <w:pPr>
      <w:widowControl w:val="0"/>
      <w:ind w:left="103"/>
    </w:pPr>
    <w:rPr>
      <w:rFonts w:ascii="Times New Roman" w:eastAsia="Times New Roman" w:hAnsi="Times New Roman" w:cs="Times New Roman"/>
    </w:rPr>
  </w:style>
  <w:style w:type="paragraph" w:styleId="TOCHeading">
    <w:name w:val="TOC Heading"/>
    <w:basedOn w:val="Heading1"/>
    <w:next w:val="Normal"/>
    <w:uiPriority w:val="39"/>
    <w:unhideWhenUsed/>
    <w:qFormat/>
    <w:rsid w:val="00D16C68"/>
    <w:pPr>
      <w:numPr>
        <w:numId w:val="0"/>
      </w:numPr>
      <w:outlineLvl w:val="9"/>
    </w:pPr>
  </w:style>
  <w:style w:type="paragraph" w:styleId="TOC1">
    <w:name w:val="toc 1"/>
    <w:basedOn w:val="Normal"/>
    <w:next w:val="Normal"/>
    <w:autoRedefine/>
    <w:uiPriority w:val="39"/>
    <w:unhideWhenUsed/>
    <w:rsid w:val="00D16C68"/>
    <w:pPr>
      <w:spacing w:after="100"/>
    </w:pPr>
    <w:rPr>
      <w:lang w:val="en-GB"/>
    </w:rPr>
  </w:style>
  <w:style w:type="paragraph" w:styleId="TOC2">
    <w:name w:val="toc 2"/>
    <w:basedOn w:val="Normal"/>
    <w:next w:val="Normal"/>
    <w:autoRedefine/>
    <w:uiPriority w:val="39"/>
    <w:unhideWhenUsed/>
    <w:rsid w:val="008441F2"/>
    <w:pPr>
      <w:tabs>
        <w:tab w:val="left" w:pos="880"/>
        <w:tab w:val="left" w:pos="1134"/>
        <w:tab w:val="right" w:leader="dot" w:pos="9016"/>
      </w:tabs>
      <w:spacing w:after="100"/>
      <w:ind w:left="220"/>
    </w:pPr>
    <w:rPr>
      <w:lang w:val="en-GB"/>
    </w:rPr>
  </w:style>
  <w:style w:type="paragraph" w:styleId="TOC3">
    <w:name w:val="toc 3"/>
    <w:basedOn w:val="Normal"/>
    <w:next w:val="Normal"/>
    <w:autoRedefine/>
    <w:uiPriority w:val="39"/>
    <w:unhideWhenUsed/>
    <w:rsid w:val="00D16C68"/>
    <w:pPr>
      <w:spacing w:after="100"/>
      <w:ind w:left="440"/>
    </w:pPr>
  </w:style>
  <w:style w:type="paragraph" w:styleId="NormalWeb">
    <w:name w:val="Normal (Web)"/>
    <w:basedOn w:val="Normal"/>
    <w:uiPriority w:val="99"/>
    <w:semiHidden/>
    <w:unhideWhenUsed/>
    <w:rsid w:val="00F23ABE"/>
    <w:rPr>
      <w:rFonts w:ascii="Times New Roman" w:hAnsi="Times New Roman" w:cs="Times New Roman"/>
      <w:sz w:val="24"/>
      <w:szCs w:val="24"/>
    </w:rPr>
  </w:style>
  <w:style w:type="paragraph" w:customStyle="1" w:styleId="Style1">
    <w:name w:val="Style1"/>
    <w:basedOn w:val="Heading3"/>
    <w:link w:val="Style1Char"/>
    <w:qFormat/>
    <w:rsid w:val="002C26AF"/>
    <w:rPr>
      <w:color w:val="2E74B5" w:themeColor="accent1" w:themeShade="BF"/>
    </w:rPr>
  </w:style>
  <w:style w:type="character" w:customStyle="1" w:styleId="Style1Char">
    <w:name w:val="Style1 Char"/>
    <w:basedOn w:val="Heading3Char"/>
    <w:link w:val="Style1"/>
    <w:rsid w:val="002C26AF"/>
    <w:rPr>
      <w:rFonts w:asciiTheme="majorHAnsi" w:eastAsiaTheme="majorEastAsia" w:hAnsiTheme="majorHAnsi" w:cstheme="majorBidi"/>
      <w:color w:val="2E74B5" w:themeColor="accent1" w:themeShade="BF"/>
      <w:sz w:val="24"/>
      <w:szCs w:val="24"/>
    </w:rPr>
  </w:style>
  <w:style w:type="paragraph" w:styleId="CommentText">
    <w:name w:val="annotation text"/>
    <w:basedOn w:val="Normal"/>
    <w:link w:val="CommentTextChar"/>
    <w:uiPriority w:val="99"/>
    <w:unhideWhenUsed/>
    <w:rsid w:val="00C30729"/>
    <w:rPr>
      <w:sz w:val="20"/>
      <w:szCs w:val="20"/>
    </w:rPr>
  </w:style>
  <w:style w:type="character" w:customStyle="1" w:styleId="CommentTextChar">
    <w:name w:val="Comment Text Char"/>
    <w:basedOn w:val="DefaultParagraphFont"/>
    <w:link w:val="CommentText"/>
    <w:uiPriority w:val="99"/>
    <w:rsid w:val="00C30729"/>
    <w:rPr>
      <w:sz w:val="20"/>
      <w:szCs w:val="20"/>
    </w:rPr>
  </w:style>
  <w:style w:type="table" w:styleId="GridTable4-Accent1">
    <w:name w:val="Grid Table 4 Accent 1"/>
    <w:basedOn w:val="TableNormal"/>
    <w:uiPriority w:val="49"/>
    <w:rsid w:val="0071330A"/>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apple-converted-space">
    <w:name w:val="apple-converted-space"/>
    <w:basedOn w:val="DefaultParagraphFont"/>
    <w:rsid w:val="00F325F5"/>
  </w:style>
  <w:style w:type="character" w:styleId="Mention">
    <w:name w:val="Mention"/>
    <w:basedOn w:val="DefaultParagraphFont"/>
    <w:uiPriority w:val="99"/>
    <w:semiHidden/>
    <w:unhideWhenUsed/>
    <w:rsid w:val="00F875AD"/>
    <w:rPr>
      <w:color w:val="2B579A"/>
      <w:shd w:val="clear" w:color="auto" w:fill="E6E6E6"/>
    </w:rPr>
  </w:style>
  <w:style w:type="table" w:styleId="GridTable4-Accent5">
    <w:name w:val="Grid Table 4 Accent 5"/>
    <w:basedOn w:val="TableNormal"/>
    <w:uiPriority w:val="49"/>
    <w:rsid w:val="005817ED"/>
    <w:rPr>
      <w:lang w:val="en-GB"/>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error">
    <w:name w:val="error"/>
    <w:basedOn w:val="DefaultParagraphFont"/>
    <w:rsid w:val="000C7A3E"/>
  </w:style>
  <w:style w:type="character" w:styleId="UnresolvedMention">
    <w:name w:val="Unresolved Mention"/>
    <w:basedOn w:val="DefaultParagraphFont"/>
    <w:uiPriority w:val="99"/>
    <w:semiHidden/>
    <w:unhideWhenUsed/>
    <w:rsid w:val="00AD5B3B"/>
    <w:rPr>
      <w:color w:val="808080"/>
      <w:shd w:val="clear" w:color="auto" w:fill="E6E6E6"/>
    </w:rPr>
  </w:style>
  <w:style w:type="character" w:styleId="Strong">
    <w:name w:val="Strong"/>
    <w:basedOn w:val="DefaultParagraphFont"/>
    <w:uiPriority w:val="22"/>
    <w:qFormat/>
    <w:rsid w:val="00451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570">
      <w:bodyDiv w:val="1"/>
      <w:marLeft w:val="0"/>
      <w:marRight w:val="0"/>
      <w:marTop w:val="0"/>
      <w:marBottom w:val="0"/>
      <w:divBdr>
        <w:top w:val="none" w:sz="0" w:space="0" w:color="auto"/>
        <w:left w:val="none" w:sz="0" w:space="0" w:color="auto"/>
        <w:bottom w:val="none" w:sz="0" w:space="0" w:color="auto"/>
        <w:right w:val="none" w:sz="0" w:space="0" w:color="auto"/>
      </w:divBdr>
      <w:divsChild>
        <w:div w:id="751203874">
          <w:marLeft w:val="-225"/>
          <w:marRight w:val="-225"/>
          <w:marTop w:val="0"/>
          <w:marBottom w:val="0"/>
          <w:divBdr>
            <w:top w:val="none" w:sz="0" w:space="0" w:color="auto"/>
            <w:left w:val="none" w:sz="0" w:space="0" w:color="auto"/>
            <w:bottom w:val="none" w:sz="0" w:space="0" w:color="auto"/>
            <w:right w:val="none" w:sz="0" w:space="0" w:color="auto"/>
          </w:divBdr>
          <w:divsChild>
            <w:div w:id="1694376586">
              <w:marLeft w:val="0"/>
              <w:marRight w:val="0"/>
              <w:marTop w:val="0"/>
              <w:marBottom w:val="0"/>
              <w:divBdr>
                <w:top w:val="none" w:sz="0" w:space="0" w:color="auto"/>
                <w:left w:val="none" w:sz="0" w:space="0" w:color="auto"/>
                <w:bottom w:val="none" w:sz="0" w:space="0" w:color="auto"/>
                <w:right w:val="none" w:sz="0" w:space="0" w:color="auto"/>
              </w:divBdr>
              <w:divsChild>
                <w:div w:id="312952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62842755">
          <w:marLeft w:val="-225"/>
          <w:marRight w:val="-225"/>
          <w:marTop w:val="0"/>
          <w:marBottom w:val="0"/>
          <w:divBdr>
            <w:top w:val="none" w:sz="0" w:space="0" w:color="auto"/>
            <w:left w:val="none" w:sz="0" w:space="0" w:color="auto"/>
            <w:bottom w:val="none" w:sz="0" w:space="0" w:color="auto"/>
            <w:right w:val="none" w:sz="0" w:space="0" w:color="auto"/>
          </w:divBdr>
          <w:divsChild>
            <w:div w:id="948657404">
              <w:marLeft w:val="0"/>
              <w:marRight w:val="0"/>
              <w:marTop w:val="0"/>
              <w:marBottom w:val="0"/>
              <w:divBdr>
                <w:top w:val="none" w:sz="0" w:space="0" w:color="auto"/>
                <w:left w:val="none" w:sz="0" w:space="0" w:color="auto"/>
                <w:bottom w:val="none" w:sz="0" w:space="0" w:color="auto"/>
                <w:right w:val="none" w:sz="0" w:space="0" w:color="auto"/>
              </w:divBdr>
              <w:divsChild>
                <w:div w:id="68964217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27795014">
          <w:marLeft w:val="-225"/>
          <w:marRight w:val="-225"/>
          <w:marTop w:val="0"/>
          <w:marBottom w:val="0"/>
          <w:divBdr>
            <w:top w:val="none" w:sz="0" w:space="0" w:color="auto"/>
            <w:left w:val="none" w:sz="0" w:space="0" w:color="auto"/>
            <w:bottom w:val="none" w:sz="0" w:space="0" w:color="auto"/>
            <w:right w:val="none" w:sz="0" w:space="0" w:color="auto"/>
          </w:divBdr>
          <w:divsChild>
            <w:div w:id="1969585243">
              <w:marLeft w:val="0"/>
              <w:marRight w:val="0"/>
              <w:marTop w:val="0"/>
              <w:marBottom w:val="0"/>
              <w:divBdr>
                <w:top w:val="none" w:sz="0" w:space="0" w:color="auto"/>
                <w:left w:val="none" w:sz="0" w:space="0" w:color="auto"/>
                <w:bottom w:val="none" w:sz="0" w:space="0" w:color="auto"/>
                <w:right w:val="none" w:sz="0" w:space="0" w:color="auto"/>
              </w:divBdr>
              <w:divsChild>
                <w:div w:id="3997952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8594791">
      <w:bodyDiv w:val="1"/>
      <w:marLeft w:val="0"/>
      <w:marRight w:val="0"/>
      <w:marTop w:val="0"/>
      <w:marBottom w:val="0"/>
      <w:divBdr>
        <w:top w:val="none" w:sz="0" w:space="0" w:color="auto"/>
        <w:left w:val="none" w:sz="0" w:space="0" w:color="auto"/>
        <w:bottom w:val="none" w:sz="0" w:space="0" w:color="auto"/>
        <w:right w:val="none" w:sz="0" w:space="0" w:color="auto"/>
      </w:divBdr>
    </w:div>
    <w:div w:id="113839756">
      <w:bodyDiv w:val="1"/>
      <w:marLeft w:val="0"/>
      <w:marRight w:val="0"/>
      <w:marTop w:val="0"/>
      <w:marBottom w:val="0"/>
      <w:divBdr>
        <w:top w:val="none" w:sz="0" w:space="0" w:color="auto"/>
        <w:left w:val="none" w:sz="0" w:space="0" w:color="auto"/>
        <w:bottom w:val="none" w:sz="0" w:space="0" w:color="auto"/>
        <w:right w:val="none" w:sz="0" w:space="0" w:color="auto"/>
      </w:divBdr>
    </w:div>
    <w:div w:id="148056016">
      <w:bodyDiv w:val="1"/>
      <w:marLeft w:val="0"/>
      <w:marRight w:val="0"/>
      <w:marTop w:val="0"/>
      <w:marBottom w:val="0"/>
      <w:divBdr>
        <w:top w:val="none" w:sz="0" w:space="0" w:color="auto"/>
        <w:left w:val="none" w:sz="0" w:space="0" w:color="auto"/>
        <w:bottom w:val="none" w:sz="0" w:space="0" w:color="auto"/>
        <w:right w:val="none" w:sz="0" w:space="0" w:color="auto"/>
      </w:divBdr>
    </w:div>
    <w:div w:id="157893466">
      <w:bodyDiv w:val="1"/>
      <w:marLeft w:val="0"/>
      <w:marRight w:val="0"/>
      <w:marTop w:val="0"/>
      <w:marBottom w:val="0"/>
      <w:divBdr>
        <w:top w:val="none" w:sz="0" w:space="0" w:color="auto"/>
        <w:left w:val="none" w:sz="0" w:space="0" w:color="auto"/>
        <w:bottom w:val="none" w:sz="0" w:space="0" w:color="auto"/>
        <w:right w:val="none" w:sz="0" w:space="0" w:color="auto"/>
      </w:divBdr>
    </w:div>
    <w:div w:id="304428690">
      <w:bodyDiv w:val="1"/>
      <w:marLeft w:val="0"/>
      <w:marRight w:val="0"/>
      <w:marTop w:val="0"/>
      <w:marBottom w:val="0"/>
      <w:divBdr>
        <w:top w:val="none" w:sz="0" w:space="0" w:color="auto"/>
        <w:left w:val="none" w:sz="0" w:space="0" w:color="auto"/>
        <w:bottom w:val="none" w:sz="0" w:space="0" w:color="auto"/>
        <w:right w:val="none" w:sz="0" w:space="0" w:color="auto"/>
      </w:divBdr>
    </w:div>
    <w:div w:id="314992593">
      <w:bodyDiv w:val="1"/>
      <w:marLeft w:val="0"/>
      <w:marRight w:val="0"/>
      <w:marTop w:val="0"/>
      <w:marBottom w:val="0"/>
      <w:divBdr>
        <w:top w:val="none" w:sz="0" w:space="0" w:color="auto"/>
        <w:left w:val="none" w:sz="0" w:space="0" w:color="auto"/>
        <w:bottom w:val="none" w:sz="0" w:space="0" w:color="auto"/>
        <w:right w:val="none" w:sz="0" w:space="0" w:color="auto"/>
      </w:divBdr>
    </w:div>
    <w:div w:id="315839375">
      <w:bodyDiv w:val="1"/>
      <w:marLeft w:val="0"/>
      <w:marRight w:val="0"/>
      <w:marTop w:val="0"/>
      <w:marBottom w:val="0"/>
      <w:divBdr>
        <w:top w:val="none" w:sz="0" w:space="0" w:color="auto"/>
        <w:left w:val="none" w:sz="0" w:space="0" w:color="auto"/>
        <w:bottom w:val="none" w:sz="0" w:space="0" w:color="auto"/>
        <w:right w:val="none" w:sz="0" w:space="0" w:color="auto"/>
      </w:divBdr>
    </w:div>
    <w:div w:id="468403769">
      <w:bodyDiv w:val="1"/>
      <w:marLeft w:val="0"/>
      <w:marRight w:val="0"/>
      <w:marTop w:val="0"/>
      <w:marBottom w:val="0"/>
      <w:divBdr>
        <w:top w:val="none" w:sz="0" w:space="0" w:color="auto"/>
        <w:left w:val="none" w:sz="0" w:space="0" w:color="auto"/>
        <w:bottom w:val="none" w:sz="0" w:space="0" w:color="auto"/>
        <w:right w:val="none" w:sz="0" w:space="0" w:color="auto"/>
      </w:divBdr>
    </w:div>
    <w:div w:id="601032930">
      <w:bodyDiv w:val="1"/>
      <w:marLeft w:val="0"/>
      <w:marRight w:val="0"/>
      <w:marTop w:val="0"/>
      <w:marBottom w:val="0"/>
      <w:divBdr>
        <w:top w:val="none" w:sz="0" w:space="0" w:color="auto"/>
        <w:left w:val="none" w:sz="0" w:space="0" w:color="auto"/>
        <w:bottom w:val="none" w:sz="0" w:space="0" w:color="auto"/>
        <w:right w:val="none" w:sz="0" w:space="0" w:color="auto"/>
      </w:divBdr>
    </w:div>
    <w:div w:id="603077548">
      <w:bodyDiv w:val="1"/>
      <w:marLeft w:val="0"/>
      <w:marRight w:val="0"/>
      <w:marTop w:val="0"/>
      <w:marBottom w:val="0"/>
      <w:divBdr>
        <w:top w:val="none" w:sz="0" w:space="0" w:color="auto"/>
        <w:left w:val="none" w:sz="0" w:space="0" w:color="auto"/>
        <w:bottom w:val="none" w:sz="0" w:space="0" w:color="auto"/>
        <w:right w:val="none" w:sz="0" w:space="0" w:color="auto"/>
      </w:divBdr>
    </w:div>
    <w:div w:id="698513811">
      <w:bodyDiv w:val="1"/>
      <w:marLeft w:val="0"/>
      <w:marRight w:val="0"/>
      <w:marTop w:val="0"/>
      <w:marBottom w:val="0"/>
      <w:divBdr>
        <w:top w:val="none" w:sz="0" w:space="0" w:color="auto"/>
        <w:left w:val="none" w:sz="0" w:space="0" w:color="auto"/>
        <w:bottom w:val="none" w:sz="0" w:space="0" w:color="auto"/>
        <w:right w:val="none" w:sz="0" w:space="0" w:color="auto"/>
      </w:divBdr>
    </w:div>
    <w:div w:id="834498114">
      <w:bodyDiv w:val="1"/>
      <w:marLeft w:val="0"/>
      <w:marRight w:val="0"/>
      <w:marTop w:val="0"/>
      <w:marBottom w:val="0"/>
      <w:divBdr>
        <w:top w:val="none" w:sz="0" w:space="0" w:color="auto"/>
        <w:left w:val="none" w:sz="0" w:space="0" w:color="auto"/>
        <w:bottom w:val="none" w:sz="0" w:space="0" w:color="auto"/>
        <w:right w:val="none" w:sz="0" w:space="0" w:color="auto"/>
      </w:divBdr>
    </w:div>
    <w:div w:id="975182471">
      <w:bodyDiv w:val="1"/>
      <w:marLeft w:val="0"/>
      <w:marRight w:val="0"/>
      <w:marTop w:val="0"/>
      <w:marBottom w:val="0"/>
      <w:divBdr>
        <w:top w:val="none" w:sz="0" w:space="0" w:color="auto"/>
        <w:left w:val="none" w:sz="0" w:space="0" w:color="auto"/>
        <w:bottom w:val="none" w:sz="0" w:space="0" w:color="auto"/>
        <w:right w:val="none" w:sz="0" w:space="0" w:color="auto"/>
      </w:divBdr>
    </w:div>
    <w:div w:id="977413547">
      <w:bodyDiv w:val="1"/>
      <w:marLeft w:val="0"/>
      <w:marRight w:val="0"/>
      <w:marTop w:val="0"/>
      <w:marBottom w:val="0"/>
      <w:divBdr>
        <w:top w:val="none" w:sz="0" w:space="0" w:color="auto"/>
        <w:left w:val="none" w:sz="0" w:space="0" w:color="auto"/>
        <w:bottom w:val="none" w:sz="0" w:space="0" w:color="auto"/>
        <w:right w:val="none" w:sz="0" w:space="0" w:color="auto"/>
      </w:divBdr>
    </w:div>
    <w:div w:id="980958585">
      <w:bodyDiv w:val="1"/>
      <w:marLeft w:val="0"/>
      <w:marRight w:val="0"/>
      <w:marTop w:val="0"/>
      <w:marBottom w:val="0"/>
      <w:divBdr>
        <w:top w:val="none" w:sz="0" w:space="0" w:color="auto"/>
        <w:left w:val="none" w:sz="0" w:space="0" w:color="auto"/>
        <w:bottom w:val="none" w:sz="0" w:space="0" w:color="auto"/>
        <w:right w:val="none" w:sz="0" w:space="0" w:color="auto"/>
      </w:divBdr>
    </w:div>
    <w:div w:id="981614050">
      <w:bodyDiv w:val="1"/>
      <w:marLeft w:val="0"/>
      <w:marRight w:val="0"/>
      <w:marTop w:val="0"/>
      <w:marBottom w:val="0"/>
      <w:divBdr>
        <w:top w:val="none" w:sz="0" w:space="0" w:color="auto"/>
        <w:left w:val="none" w:sz="0" w:space="0" w:color="auto"/>
        <w:bottom w:val="none" w:sz="0" w:space="0" w:color="auto"/>
        <w:right w:val="none" w:sz="0" w:space="0" w:color="auto"/>
      </w:divBdr>
    </w:div>
    <w:div w:id="1049064796">
      <w:bodyDiv w:val="1"/>
      <w:marLeft w:val="0"/>
      <w:marRight w:val="0"/>
      <w:marTop w:val="0"/>
      <w:marBottom w:val="0"/>
      <w:divBdr>
        <w:top w:val="none" w:sz="0" w:space="0" w:color="auto"/>
        <w:left w:val="none" w:sz="0" w:space="0" w:color="auto"/>
        <w:bottom w:val="none" w:sz="0" w:space="0" w:color="auto"/>
        <w:right w:val="none" w:sz="0" w:space="0" w:color="auto"/>
      </w:divBdr>
    </w:div>
    <w:div w:id="1061174229">
      <w:bodyDiv w:val="1"/>
      <w:marLeft w:val="0"/>
      <w:marRight w:val="0"/>
      <w:marTop w:val="0"/>
      <w:marBottom w:val="0"/>
      <w:divBdr>
        <w:top w:val="none" w:sz="0" w:space="0" w:color="auto"/>
        <w:left w:val="none" w:sz="0" w:space="0" w:color="auto"/>
        <w:bottom w:val="none" w:sz="0" w:space="0" w:color="auto"/>
        <w:right w:val="none" w:sz="0" w:space="0" w:color="auto"/>
      </w:divBdr>
    </w:div>
    <w:div w:id="1227688413">
      <w:bodyDiv w:val="1"/>
      <w:marLeft w:val="0"/>
      <w:marRight w:val="0"/>
      <w:marTop w:val="0"/>
      <w:marBottom w:val="0"/>
      <w:divBdr>
        <w:top w:val="none" w:sz="0" w:space="0" w:color="auto"/>
        <w:left w:val="none" w:sz="0" w:space="0" w:color="auto"/>
        <w:bottom w:val="none" w:sz="0" w:space="0" w:color="auto"/>
        <w:right w:val="none" w:sz="0" w:space="0" w:color="auto"/>
      </w:divBdr>
    </w:div>
    <w:div w:id="1245070816">
      <w:bodyDiv w:val="1"/>
      <w:marLeft w:val="0"/>
      <w:marRight w:val="0"/>
      <w:marTop w:val="0"/>
      <w:marBottom w:val="0"/>
      <w:divBdr>
        <w:top w:val="none" w:sz="0" w:space="0" w:color="auto"/>
        <w:left w:val="none" w:sz="0" w:space="0" w:color="auto"/>
        <w:bottom w:val="none" w:sz="0" w:space="0" w:color="auto"/>
        <w:right w:val="none" w:sz="0" w:space="0" w:color="auto"/>
      </w:divBdr>
    </w:div>
    <w:div w:id="1276980864">
      <w:bodyDiv w:val="1"/>
      <w:marLeft w:val="0"/>
      <w:marRight w:val="0"/>
      <w:marTop w:val="0"/>
      <w:marBottom w:val="0"/>
      <w:divBdr>
        <w:top w:val="none" w:sz="0" w:space="0" w:color="auto"/>
        <w:left w:val="none" w:sz="0" w:space="0" w:color="auto"/>
        <w:bottom w:val="none" w:sz="0" w:space="0" w:color="auto"/>
        <w:right w:val="none" w:sz="0" w:space="0" w:color="auto"/>
      </w:divBdr>
    </w:div>
    <w:div w:id="1341196120">
      <w:bodyDiv w:val="1"/>
      <w:marLeft w:val="0"/>
      <w:marRight w:val="0"/>
      <w:marTop w:val="0"/>
      <w:marBottom w:val="0"/>
      <w:divBdr>
        <w:top w:val="none" w:sz="0" w:space="0" w:color="auto"/>
        <w:left w:val="none" w:sz="0" w:space="0" w:color="auto"/>
        <w:bottom w:val="none" w:sz="0" w:space="0" w:color="auto"/>
        <w:right w:val="none" w:sz="0" w:space="0" w:color="auto"/>
      </w:divBdr>
    </w:div>
    <w:div w:id="1375738398">
      <w:bodyDiv w:val="1"/>
      <w:marLeft w:val="0"/>
      <w:marRight w:val="0"/>
      <w:marTop w:val="0"/>
      <w:marBottom w:val="0"/>
      <w:divBdr>
        <w:top w:val="none" w:sz="0" w:space="0" w:color="auto"/>
        <w:left w:val="none" w:sz="0" w:space="0" w:color="auto"/>
        <w:bottom w:val="none" w:sz="0" w:space="0" w:color="auto"/>
        <w:right w:val="none" w:sz="0" w:space="0" w:color="auto"/>
      </w:divBdr>
    </w:div>
    <w:div w:id="1464688120">
      <w:bodyDiv w:val="1"/>
      <w:marLeft w:val="0"/>
      <w:marRight w:val="0"/>
      <w:marTop w:val="0"/>
      <w:marBottom w:val="0"/>
      <w:divBdr>
        <w:top w:val="none" w:sz="0" w:space="0" w:color="auto"/>
        <w:left w:val="none" w:sz="0" w:space="0" w:color="auto"/>
        <w:bottom w:val="none" w:sz="0" w:space="0" w:color="auto"/>
        <w:right w:val="none" w:sz="0" w:space="0" w:color="auto"/>
      </w:divBdr>
    </w:div>
    <w:div w:id="1544518489">
      <w:bodyDiv w:val="1"/>
      <w:marLeft w:val="0"/>
      <w:marRight w:val="0"/>
      <w:marTop w:val="0"/>
      <w:marBottom w:val="0"/>
      <w:divBdr>
        <w:top w:val="none" w:sz="0" w:space="0" w:color="auto"/>
        <w:left w:val="none" w:sz="0" w:space="0" w:color="auto"/>
        <w:bottom w:val="none" w:sz="0" w:space="0" w:color="auto"/>
        <w:right w:val="none" w:sz="0" w:space="0" w:color="auto"/>
      </w:divBdr>
    </w:div>
    <w:div w:id="1552616691">
      <w:bodyDiv w:val="1"/>
      <w:marLeft w:val="0"/>
      <w:marRight w:val="0"/>
      <w:marTop w:val="0"/>
      <w:marBottom w:val="0"/>
      <w:divBdr>
        <w:top w:val="none" w:sz="0" w:space="0" w:color="auto"/>
        <w:left w:val="none" w:sz="0" w:space="0" w:color="auto"/>
        <w:bottom w:val="none" w:sz="0" w:space="0" w:color="auto"/>
        <w:right w:val="none" w:sz="0" w:space="0" w:color="auto"/>
      </w:divBdr>
    </w:div>
    <w:div w:id="1558779879">
      <w:bodyDiv w:val="1"/>
      <w:marLeft w:val="0"/>
      <w:marRight w:val="0"/>
      <w:marTop w:val="0"/>
      <w:marBottom w:val="0"/>
      <w:divBdr>
        <w:top w:val="none" w:sz="0" w:space="0" w:color="auto"/>
        <w:left w:val="none" w:sz="0" w:space="0" w:color="auto"/>
        <w:bottom w:val="none" w:sz="0" w:space="0" w:color="auto"/>
        <w:right w:val="none" w:sz="0" w:space="0" w:color="auto"/>
      </w:divBdr>
    </w:div>
    <w:div w:id="1561943854">
      <w:bodyDiv w:val="1"/>
      <w:marLeft w:val="0"/>
      <w:marRight w:val="0"/>
      <w:marTop w:val="0"/>
      <w:marBottom w:val="0"/>
      <w:divBdr>
        <w:top w:val="none" w:sz="0" w:space="0" w:color="auto"/>
        <w:left w:val="none" w:sz="0" w:space="0" w:color="auto"/>
        <w:bottom w:val="none" w:sz="0" w:space="0" w:color="auto"/>
        <w:right w:val="none" w:sz="0" w:space="0" w:color="auto"/>
      </w:divBdr>
    </w:div>
    <w:div w:id="1565600710">
      <w:bodyDiv w:val="1"/>
      <w:marLeft w:val="0"/>
      <w:marRight w:val="0"/>
      <w:marTop w:val="0"/>
      <w:marBottom w:val="0"/>
      <w:divBdr>
        <w:top w:val="none" w:sz="0" w:space="0" w:color="auto"/>
        <w:left w:val="none" w:sz="0" w:space="0" w:color="auto"/>
        <w:bottom w:val="none" w:sz="0" w:space="0" w:color="auto"/>
        <w:right w:val="none" w:sz="0" w:space="0" w:color="auto"/>
      </w:divBdr>
    </w:div>
    <w:div w:id="1598975445">
      <w:bodyDiv w:val="1"/>
      <w:marLeft w:val="0"/>
      <w:marRight w:val="0"/>
      <w:marTop w:val="0"/>
      <w:marBottom w:val="0"/>
      <w:divBdr>
        <w:top w:val="none" w:sz="0" w:space="0" w:color="auto"/>
        <w:left w:val="none" w:sz="0" w:space="0" w:color="auto"/>
        <w:bottom w:val="none" w:sz="0" w:space="0" w:color="auto"/>
        <w:right w:val="none" w:sz="0" w:space="0" w:color="auto"/>
      </w:divBdr>
    </w:div>
    <w:div w:id="1703437047">
      <w:bodyDiv w:val="1"/>
      <w:marLeft w:val="0"/>
      <w:marRight w:val="0"/>
      <w:marTop w:val="0"/>
      <w:marBottom w:val="0"/>
      <w:divBdr>
        <w:top w:val="none" w:sz="0" w:space="0" w:color="auto"/>
        <w:left w:val="none" w:sz="0" w:space="0" w:color="auto"/>
        <w:bottom w:val="none" w:sz="0" w:space="0" w:color="auto"/>
        <w:right w:val="none" w:sz="0" w:space="0" w:color="auto"/>
      </w:divBdr>
    </w:div>
    <w:div w:id="1804613128">
      <w:bodyDiv w:val="1"/>
      <w:marLeft w:val="0"/>
      <w:marRight w:val="0"/>
      <w:marTop w:val="0"/>
      <w:marBottom w:val="0"/>
      <w:divBdr>
        <w:top w:val="none" w:sz="0" w:space="0" w:color="auto"/>
        <w:left w:val="none" w:sz="0" w:space="0" w:color="auto"/>
        <w:bottom w:val="none" w:sz="0" w:space="0" w:color="auto"/>
        <w:right w:val="none" w:sz="0" w:space="0" w:color="auto"/>
      </w:divBdr>
    </w:div>
    <w:div w:id="208328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2.swift.com/mystandards/" TargetMode="External"/><Relationship Id="rId18" Type="http://schemas.openxmlformats.org/officeDocument/2006/relationships/hyperlink" Target="https://www2.swift.com/mystandards/" TargetMode="External"/><Relationship Id="rId26" Type="http://schemas.openxmlformats.org/officeDocument/2006/relationships/hyperlink" Target="http://www.fpml.org/spec/coding-scheme/fpml-schemes.html" TargetMode="External"/><Relationship Id="rId39" Type="http://schemas.openxmlformats.org/officeDocument/2006/relationships/hyperlink" Target="https://github.com/ANNA-DSB/Product-Definitions/tree/master/PROD/docs" TargetMode="External"/><Relationship Id="rId21" Type="http://schemas.openxmlformats.org/officeDocument/2006/relationships/hyperlink" Target="https://www.iso.org/iso-8601-date-and-time-format.html" TargetMode="External"/><Relationship Id="rId34" Type="http://schemas.openxmlformats.org/officeDocument/2006/relationships/hyperlink" Target="http://www.fpml.org/spec/coding-scheme/fpml-schemes.html"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2.swift.com/mystandards/" TargetMode="External"/><Relationship Id="rId20" Type="http://schemas.openxmlformats.org/officeDocument/2006/relationships/hyperlink" Target="https://www2.swift.com/mystandards/" TargetMode="External"/><Relationship Id="rId29" Type="http://schemas.openxmlformats.org/officeDocument/2006/relationships/hyperlink" Target="http://www.fpml.org/spec/coding-scheme/fpml-schemes.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2.swift.com/mystandards/" TargetMode="External"/><Relationship Id="rId32" Type="http://schemas.openxmlformats.org/officeDocument/2006/relationships/hyperlink" Target="https://www2.swift.com/mystandards/" TargetMode="External"/><Relationship Id="rId37" Type="http://schemas.openxmlformats.org/officeDocument/2006/relationships/hyperlink" Target="http://www.fpml.org/spec/coding-scheme/fpml-schemes.html"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fpml.org/spec/coding-scheme/fpml-schemes.html" TargetMode="External"/><Relationship Id="rId23" Type="http://schemas.openxmlformats.org/officeDocument/2006/relationships/hyperlink" Target="https://www2.swift.com/mystandards/" TargetMode="External"/><Relationship Id="rId28" Type="http://schemas.openxmlformats.org/officeDocument/2006/relationships/hyperlink" Target="http://www.fpml.org/spec/coding-scheme/fpml-schemes.html" TargetMode="External"/><Relationship Id="rId36" Type="http://schemas.openxmlformats.org/officeDocument/2006/relationships/hyperlink" Target="http://www.fpml.org/spec/coding-scheme/fpml-schemes.html%23s5.95" TargetMode="External"/><Relationship Id="rId10" Type="http://schemas.openxmlformats.org/officeDocument/2006/relationships/endnotes" Target="endnotes.xml"/><Relationship Id="rId19" Type="http://schemas.openxmlformats.org/officeDocument/2006/relationships/hyperlink" Target="https://www2.swift.com/mystandards/" TargetMode="External"/><Relationship Id="rId31" Type="http://schemas.openxmlformats.org/officeDocument/2006/relationships/hyperlink" Target="https://www2.swift.com/mystandar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2.swift.com/mystandards/" TargetMode="External"/><Relationship Id="rId22" Type="http://schemas.openxmlformats.org/officeDocument/2006/relationships/hyperlink" Target="https://www2.swift.com/mystandards/" TargetMode="External"/><Relationship Id="rId27" Type="http://schemas.openxmlformats.org/officeDocument/2006/relationships/hyperlink" Target="https://www2.swift.com/mystandards/" TargetMode="External"/><Relationship Id="rId30" Type="http://schemas.openxmlformats.org/officeDocument/2006/relationships/hyperlink" Target="https://www2.swift.com/mystandards/" TargetMode="External"/><Relationship Id="rId35" Type="http://schemas.openxmlformats.org/officeDocument/2006/relationships/hyperlink" Target="https://www2.swift.com/mystandards/"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secretariat@ANNA-DSB.com" TargetMode="External"/><Relationship Id="rId17" Type="http://schemas.openxmlformats.org/officeDocument/2006/relationships/hyperlink" Target="https://www2.swift.com/mystandards/" TargetMode="External"/><Relationship Id="rId25" Type="http://schemas.openxmlformats.org/officeDocument/2006/relationships/hyperlink" Target="http://www.fpml.org/spec/coding-scheme/fpml-schemes.html" TargetMode="External"/><Relationship Id="rId33" Type="http://schemas.openxmlformats.org/officeDocument/2006/relationships/hyperlink" Target="http://www.fpml.org/spec/coding-scheme/fpml-schemes.html%23s5.95" TargetMode="External"/><Relationship Id="rId38" Type="http://schemas.openxmlformats.org/officeDocument/2006/relationships/hyperlink" Target="https://www.esma.europa.eu/sites/default/files/equity_derivatives_i.xls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ystandards.swi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0DD203F22D5E4D998BCDD61A96F6A5" ma:contentTypeVersion="9" ma:contentTypeDescription="Create a new document." ma:contentTypeScope="" ma:versionID="d4d898c050e52b98d766d23d5eea4c5d">
  <xsd:schema xmlns:xsd="http://www.w3.org/2001/XMLSchema" xmlns:xs="http://www.w3.org/2001/XMLSchema" xmlns:p="http://schemas.microsoft.com/office/2006/metadata/properties" xmlns:ns2="56e8fde9-f66a-4997-8251-f5f2550eef39" xmlns:ns3="1ab9889e-1560-4440-87cb-c03200e41b86" targetNamespace="http://schemas.microsoft.com/office/2006/metadata/properties" ma:root="true" ma:fieldsID="e08a318cdc6cf6c502c986f99dee0772" ns2:_="" ns3:_="">
    <xsd:import namespace="56e8fde9-f66a-4997-8251-f5f2550eef39"/>
    <xsd:import namespace="1ab9889e-1560-4440-87cb-c03200e41b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e8fde9-f66a-4997-8251-f5f2550eef3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b9889e-1560-4440-87cb-c03200e41b8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9C7DF-121B-43FF-BFBE-B395A610B6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e8fde9-f66a-4997-8251-f5f2550eef39"/>
    <ds:schemaRef ds:uri="1ab9889e-1560-4440-87cb-c03200e41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20D65-E328-4DAD-96A1-FE53D8CA1D8C}">
  <ds:schemaRefs>
    <ds:schemaRef ds:uri="http://schemas.microsoft.com/office/2006/documentManagement/types"/>
    <ds:schemaRef ds:uri="1ab9889e-1560-4440-87cb-c03200e41b86"/>
    <ds:schemaRef ds:uri="http://purl.org/dc/terms/"/>
    <ds:schemaRef ds:uri="http://purl.org/dc/dcmitype/"/>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56e8fde9-f66a-4997-8251-f5f2550eef39"/>
  </ds:schemaRefs>
</ds:datastoreItem>
</file>

<file path=customXml/itemProps3.xml><?xml version="1.0" encoding="utf-8"?>
<ds:datastoreItem xmlns:ds="http://schemas.openxmlformats.org/officeDocument/2006/customXml" ds:itemID="{EB50A64F-21F3-4620-868E-001D239FF8F5}">
  <ds:schemaRefs>
    <ds:schemaRef ds:uri="http://schemas.microsoft.com/sharepoint/v3/contenttype/forms"/>
  </ds:schemaRefs>
</ds:datastoreItem>
</file>

<file path=customXml/itemProps4.xml><?xml version="1.0" encoding="utf-8"?>
<ds:datastoreItem xmlns:ds="http://schemas.openxmlformats.org/officeDocument/2006/customXml" ds:itemID="{8D8AA7FC-DFED-48EF-8A04-45143C5D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9578</Words>
  <Characters>54596</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Kuhan Tharmananthar</dc:creator>
  <cp:keywords/>
  <dc:description/>
  <cp:lastModifiedBy>Simon Wiltshire</cp:lastModifiedBy>
  <cp:revision>2</cp:revision>
  <cp:lastPrinted>2018-08-24T09:41:00Z</cp:lastPrinted>
  <dcterms:created xsi:type="dcterms:W3CDTF">2018-10-15T09:59:00Z</dcterms:created>
  <dcterms:modified xsi:type="dcterms:W3CDTF">2018-10-15T09:59:00Z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0x010100350DD203F22D5E4D998BCDD61A96F6A5</vt:lpwstr>
  </property>
</Properties>
</file>