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8" w:lineRule="auto"/>
        <w:jc w:val="center"/>
      </w:pPr>
      <w:r>
        <w:rPr>
          <w:color w:val="7A8088"/>
          <w:sz w:val="18"/>
        </w:rPr>
      </w:r>
      <w:r>
        <w:rPr>
          <w:color w:val="7A8088"/>
          <w:sz w:val="18"/>
        </w:rPr>
        <w:t xml:space="preserve">CASEFLOW · </w:t>
      </w:r>
      <w:r>
        <w:rPr>
          <w:rFonts w:ascii="Microsoft YaHei" w:eastAsia="Microsoft YaHei" w:hAnsi="Microsoft YaHei" w:cs="Microsoft YaHei" w:hint="eastAsia"/>
          <w:color w:val="7A8088"/>
          <w:sz w:val="18"/>
          <w:lang w:eastAsia="zh-CN"/>
        </w:rPr>
        <w:t>技术设计方案</w:t>
      </w:r>
    </w:p>
    <w:p>
      <w:pPr>
        <w:pStyle w:val="Heading1"/>
        <w:spacing w:line="336" w:lineRule="auto"/>
        <w:jc w:val="center"/>
      </w:pPr>
      <w:r>
        <w:rPr>
          <w:rFonts w:ascii="Microsoft YaHei" w:hAnsi="Microsoft YaHei" w:eastAsia="Microsoft YaHei" w:cs="Microsoft YaHei" w:hint="eastAsia"/>
          <w:color w:val="1F4E79"/>
          <w:sz w:val="44"/>
          <w:lang w:eastAsia="zh-CN"/>
        </w:rPr>
        <w:t>案件指派系统</w:t>
        <w:br/>
      </w:r>
      <w:r>
        <w:rPr>
          <w:rFonts w:ascii="Microsoft YaHei" w:hAnsi="Microsoft YaHei" w:eastAsia="Microsoft YaHei" w:cs="Microsoft YaHei" w:hint="eastAsia"/>
          <w:color w:val="1F4E79"/>
          <w:sz w:val="44"/>
          <w:lang w:eastAsia="zh-CN"/>
        </w:rPr>
        <w:t>设计思路归纳与后续开发路线</w:t>
      </w:r>
    </w:p>
    <w:p>
      <w:pPr>
        <w:spacing w:line="432" w:lineRule="auto"/>
        <w:jc w:val="center"/>
      </w:pPr>
      <w:r>
        <w:rPr>
          <w:rFonts w:ascii="Microsoft YaHei" w:eastAsia="Microsoft YaHei" w:hAnsi="Microsoft YaHei" w:cs="Microsoft YaHei" w:hint="eastAsia"/>
          <w:color w:val="4A5058"/>
          <w:sz w:val="21"/>
          <w:lang w:eastAsia="zh-CN"/>
        </w:rPr>
        <w:t>面向高强度工作场景的极简案件分派工具</w:t>
        <w:br/>
      </w:r>
      <w:r>
        <w:rPr>
          <w:color w:val="4A5058"/>
          <w:sz w:val="21"/>
        </w:rPr>
        <w:t>Spring Boot + Vue 3 + MySQL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color w:val="1F2329"/>
                <w:sz w:val="18"/>
              </w:rPr>
              <w:t>编制日期：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2026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年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9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月</w:t>
            </w:r>
          </w:p>
        </w:tc>
      </w:tr>
      <w:tr>
        <w:tc>
          <w:tcPr>
            <w:tcW w:type="dxa" w:w="864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color w:val="1F2329"/>
                <w:sz w:val="18"/>
              </w:rPr>
              <w:t>版本：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V1.0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（初版实现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+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路线规划）</w:t>
            </w:r>
          </w:p>
        </w:tc>
      </w:tr>
      <w:tr>
        <w:tc>
          <w:tcPr>
            <w:tcW w:type="dxa" w:w="864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54" w:after="54"/>
            </w:pPr>
            <w:r>
              <w:rPr>
                <w:color w:val="1F2329"/>
                <w:sz w:val="18"/>
              </w:rPr>
              <w:t>技术栈：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Spring Boot 2.7 / Vue 3 / MySQL 8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408" w:lineRule="auto"/>
        <w:jc w:val="left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目录</w:t>
      </w:r>
    </w:p>
    <w:p>
      <w:hyperlink w:anchor="_Toc_s1">
        <w:r>
          <w:rPr>
            <w:rFonts w:hint="eastAsia"/>
            <w:color w:val="000000"/>
            <w:u w:val="none"/>
          </w:rPr>
          <w:t xml:space="preserve">一、需求理解</w:t>
        </w:r>
      </w:hyperlink>
    </w:p>
    <w:p>
      <w:hyperlink w:anchor="_Toc_s2">
        <w:r>
          <w:rPr>
            <w:rFonts w:hint="eastAsia"/>
            <w:color w:val="000000"/>
            <w:u w:val="none"/>
          </w:rPr>
          <w:t xml:space="preserve">二、设计原则</w:t>
        </w:r>
      </w:hyperlink>
    </w:p>
    <w:p>
      <w:hyperlink w:anchor="_Toc_s3">
        <w:r>
          <w:rPr>
            <w:rFonts w:hint="eastAsia"/>
            <w:color w:val="000000"/>
            <w:u w:val="none"/>
          </w:rPr>
          <w:t xml:space="preserve">三、总体架构与技术选型</w:t>
        </w:r>
      </w:hyperlink>
    </w:p>
    <w:p>
      <w:hyperlink w:anchor="_Toc_s4">
        <w:r>
          <w:rPr>
            <w:rFonts w:hint="eastAsia"/>
            <w:color w:val="000000"/>
            <w:u w:val="none"/>
          </w:rPr>
          <w:t xml:space="preserve">四、数据模型</w:t>
        </w:r>
      </w:hyperlink>
    </w:p>
    <w:p>
      <w:hyperlink w:anchor="_Toc_s5">
        <w:r>
          <w:rPr>
            <w:rFonts w:hint="eastAsia"/>
            <w:color w:val="000000"/>
            <w:u w:val="none"/>
          </w:rPr>
          <w:t xml:space="preserve">五、核心业务流程</w:t>
        </w:r>
      </w:hyperlink>
    </w:p>
    <w:p>
      <w:hyperlink w:anchor="_Toc_s6">
        <w:r>
          <w:rPr>
            <w:rFonts w:hint="eastAsia"/>
            <w:color w:val="000000"/>
            <w:u w:val="none"/>
          </w:rPr>
          <w:t xml:space="preserve">六、员工图谱 Excel 导入方案</w:t>
        </w:r>
      </w:hyperlink>
    </w:p>
    <w:p>
      <w:hyperlink w:anchor="_Toc_s7">
        <w:r>
          <w:rPr>
            <w:rFonts w:hint="eastAsia"/>
            <w:color w:val="000000"/>
            <w:u w:val="none"/>
          </w:rPr>
          <w:t xml:space="preserve">七、功能与页面清单</w:t>
        </w:r>
      </w:hyperlink>
    </w:p>
    <w:p>
      <w:hyperlink w:anchor="_Toc_s8">
        <w:r>
          <w:rPr>
            <w:rFonts w:hint="eastAsia"/>
            <w:color w:val="000000"/>
            <w:u w:val="none"/>
          </w:rPr>
          <w:t xml:space="preserve">八、接口清单</w:t>
        </w:r>
      </w:hyperlink>
    </w:p>
    <w:p>
      <w:hyperlink w:anchor="_Toc_s9">
        <w:r>
          <w:rPr>
            <w:rFonts w:hint="eastAsia"/>
            <w:color w:val="000000"/>
            <w:u w:val="none"/>
          </w:rPr>
          <w:t xml:space="preserve">九、第一版边界</w:t>
        </w:r>
      </w:hyperlink>
    </w:p>
    <w:p>
      <w:hyperlink w:anchor="_Toc_s10">
        <w:r>
          <w:rPr>
            <w:rFonts w:hint="eastAsia"/>
            <w:color w:val="000000"/>
            <w:u w:val="none"/>
          </w:rPr>
          <w:t xml:space="preserve">十、后续开发路线</w:t>
        </w:r>
      </w:hyperlink>
    </w:p>
    <w:p>
      <w:hyperlink w:anchor="_Toc_s11">
        <w:r>
          <w:rPr>
            <w:rFonts w:hint="eastAsia"/>
            <w:color w:val="000000"/>
            <w:u w:val="none"/>
          </w:rPr>
          <w:t xml:space="preserve">十一、部署与运维建议</w:t>
        </w:r>
      </w:hyperlink>
    </w:p>
    <w:p>
      <w:hyperlink w:anchor="_Toc_s12">
        <w:r>
          <w:rPr>
            <w:rFonts w:hint="eastAsia"/>
            <w:color w:val="000000"/>
            <w:u w:val="none"/>
          </w:rPr>
          <w:t xml:space="preserve">十二、风险与注意事项</w:t>
        </w:r>
      </w:hyperlink>
    </w:p>
    <w:p>
      <w:bookmarkStart w:id="12" w:name="_Toc_s1"/>
      <w:bookmarkStart w:id="0" w:name="s1"/>
      <w:pPr>
        <w:pStyle w:val="Heading1"/>
        <w:spacing w:line="336" w:lineRule="auto"/>
      </w:pPr>
      <w:bookmarkEnd w:id="0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一、需求理解</w:t>
      </w:r>
      <w:bookmarkEnd w:id="12"/>
    </w:p>
    <w:p>
      <w:pPr>
        <w:spacing w:line="408" w:lineRule="auto"/>
        <w:pBdr>
          <w:left w:val="single" w:sz="18" w:space="0" w:color="2F5FD0"/>
        </w:pBdr>
        <w:shd w:val="clear" w:color="auto" w:fill="F2F5F9"/>
      </w:pPr>
      <w:r>
        <w:rPr>
          <w:color w:val="4A5058"/>
          <w:sz w:val="21"/>
        </w:rPr>
        <w:t xml:space="preserve">  </w:t>
      </w:r>
      <w:r>
        <w:rPr>
          <w:rFonts w:ascii="Microsoft YaHei" w:eastAsia="Microsoft YaHei" w:hAnsi="Microsoft YaHei" w:cs="Microsoft YaHei" w:hint="eastAsia"/>
          <w:color w:val="4A5058"/>
          <w:sz w:val="21"/>
          <w:lang w:eastAsia="zh-CN"/>
        </w:rPr>
        <w:t>案件指派系统（</w:t>
      </w:r>
      <w:r>
        <w:rPr>
          <w:color w:val="4A5058"/>
          <w:sz w:val="21"/>
        </w:rPr>
        <w:t>CaseFlow</w:t>
      </w:r>
      <w:r>
        <w:rPr>
          <w:rFonts w:ascii="Microsoft YaHei" w:eastAsia="Microsoft YaHei" w:hAnsi="Microsoft YaHei" w:cs="Microsoft YaHei" w:hint="eastAsia"/>
          <w:color w:val="4A5058"/>
          <w:sz w:val="21"/>
          <w:lang w:eastAsia="zh-CN"/>
        </w:rPr>
        <w:t>）面向高强度工作者：</w:t>
      </w:r>
      <w:r>
        <w:rPr>
          <w:color w:val="4A5058"/>
          <w:sz w:val="21"/>
        </w:rPr>
        <w:t xml:space="preserve">boss </w:t>
      </w:r>
      <w:r>
        <w:rPr>
          <w:rFonts w:ascii="Microsoft YaHei" w:eastAsia="Microsoft YaHei" w:hAnsi="Microsoft YaHei" w:cs="Microsoft YaHei" w:hint="eastAsia"/>
          <w:color w:val="4A5058"/>
          <w:sz w:val="21"/>
          <w:lang w:eastAsia="zh-CN"/>
        </w:rPr>
        <w:t>拿到案件（</w:t>
      </w:r>
      <w:r>
        <w:rPr>
          <w:color w:val="4A5058"/>
          <w:sz w:val="21"/>
        </w:rPr>
        <w:t xml:space="preserve">PDF / Word / Excel </w:t>
      </w:r>
      <w:r>
        <w:rPr>
          <w:rFonts w:ascii="Microsoft YaHei" w:eastAsia="Microsoft YaHei" w:hAnsi="Microsoft YaHei" w:cs="Microsoft YaHei" w:hint="eastAsia"/>
          <w:color w:val="4A5058"/>
          <w:sz w:val="21"/>
          <w:lang w:eastAsia="zh-CN"/>
        </w:rPr>
        <w:t>附件，或直接手打案件名）后，指派给员工图谱中的具体人，盯住到期时间，直至办结归档。</w:t>
      </w:r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第一版聚焦四件事，其余一律让路：</w:t>
      </w:r>
    </w:p>
    <w:p>
      <w:pPr>
        <w:pStyle w:val="ListNumber"/>
        <w:numPr>
          <w:ilvl w:val="0"/>
          <w:numId w:val="10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收案件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：入口统一，无论来源是</w:t>
      </w:r>
      <w:r>
        <w:rPr>
          <w:sz w:val="21"/>
        </w:rPr>
        <w:t xml:space="preserve"> PDF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sz w:val="21"/>
        </w:rPr>
        <w:t>Word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sz w:val="21"/>
        </w:rPr>
        <w:t xml:space="preserve">Excel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附件，还是</w:t>
      </w:r>
      <w:r>
        <w:rPr>
          <w:sz w:val="21"/>
        </w:rPr>
        <w:t xml:space="preserve"> boss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直接手打一个案件名。</w:t>
      </w:r>
    </w:p>
    <w:p>
      <w:pPr>
        <w:pStyle w:val="ListNumber"/>
        <w:numPr>
          <w:ilvl w:val="0"/>
          <w:numId w:val="10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派下去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：从组织树里精确选人，区分主办与协办，支持改派并留下痕迹。</w:t>
      </w:r>
    </w:p>
    <w:p>
      <w:pPr>
        <w:pStyle w:val="ListNumber"/>
        <w:numPr>
          <w:ilvl w:val="0"/>
          <w:numId w:val="10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盯到期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：逾期、今日到期、三天内、七天内分桶提醒，逾期一眼可辨。</w:t>
      </w:r>
    </w:p>
    <w:p>
      <w:pPr>
        <w:pStyle w:val="ListNumber"/>
        <w:numPr>
          <w:ilvl w:val="0"/>
          <w:numId w:val="10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看得住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：工作台把「待指派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处理中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已逾期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今日到期」四类需要马上处理的数字直接摆在眼前。</w:t>
      </w:r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案件追溯按约定后置，但</w:t>
      </w:r>
      <w:r>
        <w:rPr>
          <w:rFonts w:ascii="Microsoft YaHei" w:eastAsia="Microsoft YaHei" w:hAnsi="Microsoft YaHei" w:cs="Microsoft YaHei" w:hint="eastAsia"/>
          <w:b/>
          <w:color w:val="1F2329"/>
          <w:sz w:val="21"/>
          <w:lang w:eastAsia="zh-CN"/>
        </w:rPr>
        <w:t>数据底座在第一版就埋好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：所有指派动作保留历史记录，所有关键操作写入操作日志。</w:t>
      </w:r>
    </w:p>
    <w:p>
      <w:bookmarkStart w:id="13" w:name="_Toc_s2"/>
      <w:bookmarkStart w:id="1" w:name="s2"/>
      <w:pPr>
        <w:pStyle w:val="Heading1"/>
        <w:spacing w:line="336" w:lineRule="auto"/>
      </w:pPr>
      <w:bookmarkEnd w:id="1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二、设计原则</w:t>
      </w:r>
      <w:bookmarkEnd w:id="1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原则</w:t>
            </w:r>
          </w:p>
        </w:tc>
        <w:tc>
          <w:tcPr>
            <w:tcW w:type="pct" w:w="39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具体做法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简约，无装饰</w:t>
            </w:r>
          </w:p>
        </w:tc>
        <w:tc>
          <w:tcPr>
            <w:tcW w:type="pct" w:w="3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白底、细边框、单一主色（克制蓝），不用渐变、阴影、插画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信息密度优先</w:t>
            </w:r>
          </w:p>
        </w:tc>
        <w:tc>
          <w:tcPr>
            <w:tcW w:type="pct" w:w="3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列表页一屏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20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条起，行高紧凑，案件名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主办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截止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状态同屏可读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状态一眼可辨</w:t>
            </w:r>
          </w:p>
        </w:tc>
        <w:tc>
          <w:tcPr>
            <w:tcW w:type="pct" w:w="3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逾期整行淡红底、临期淡黄底；优先级用文字加颜色而非图形；数字等宽对齐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路径最短</w:t>
            </w:r>
          </w:p>
        </w:tc>
        <w:tc>
          <w:tcPr>
            <w:tcW w:type="pct" w:w="3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导航只保留四个入口；新建案件与指派可在同一弹窗内一步完成；双击行即看详情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颜色克制</w:t>
            </w:r>
          </w:p>
        </w:tc>
        <w:tc>
          <w:tcPr>
            <w:tcW w:type="pct" w:w="3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仅逾期红、临期橙、正常灰三种语义色，其余一律中性色</w:t>
            </w:r>
          </w:p>
        </w:tc>
      </w:tr>
    </w:tbl>
    <w:p>
      <w:bookmarkStart w:id="14" w:name="_Toc_s3"/>
      <w:bookmarkStart w:id="2" w:name="s3"/>
      <w:pPr>
        <w:pStyle w:val="Heading1"/>
        <w:spacing w:line="336" w:lineRule="auto"/>
      </w:pPr>
      <w:bookmarkEnd w:id="2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三、总体架构与技术选型</w:t>
      </w:r>
      <w:bookmarkEnd w:id="14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938"/>
        <w:gridCol w:w="4320"/>
      </w:tblGrid>
      <w:tr>
        <w:tc>
          <w:tcPr>
            <w:tcW w:type="pct" w:w="8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层次</w:t>
            </w:r>
          </w:p>
        </w:tc>
        <w:tc>
          <w:tcPr>
            <w:tcW w:type="pct" w:w="17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选型</w:t>
            </w:r>
          </w:p>
        </w:tc>
        <w:tc>
          <w:tcPr>
            <w:tcW w:type="pct" w:w="25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前端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Vue 3 + Vite 5 + Element Plus 2.6 + Pinia + Vue Router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组件化程度高，表格与树控件开箱即用，主题变量可整体收敛为极简风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后端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Spring Boot 2.7 + MyBatis-Plus 3.5.5 + Validation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 xml:space="preserve">Java 8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可运行；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MyBatis-Plus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承担分页与条件构造，不写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XML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数据库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MySQL 8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（生产）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H2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文件库（本地演示）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建表脚本同时兼容两者，本地零安装即可跑通全流程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Excel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EasyExcel 3.3.4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流式读取员工图谱，避免大文件内存风险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附件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本地磁盘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+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数据库元数据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按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yyyyMM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分目录，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UUID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重命名，扩展名白名单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开发脚本</w:t>
            </w:r>
          </w:p>
        </w:tc>
        <w:tc>
          <w:tcPr>
            <w:tcW w:type="pct" w:w="1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Python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（本机现有环境）</w:t>
            </w:r>
          </w:p>
        </w:tc>
        <w:tc>
          <w:tcPr>
            <w:tcW w:type="pct" w:w="25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建库建表、生成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Excel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模板、灌演示数据、一键启动前后端</w:t>
            </w:r>
          </w:p>
        </w:tc>
      </w:tr>
    </w:tbl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分层结构为</w:t>
      </w:r>
      <w:r>
        <w:rPr>
          <w:color w:val="1F2329"/>
          <w:sz w:val="21"/>
        </w:rPr>
        <w:t xml:space="preserve"> Controller → Service → Mapper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，</w:t>
      </w:r>
      <w:r>
        <w:rPr>
          <w:color w:val="1F2329"/>
          <w:sz w:val="21"/>
        </w:rPr>
        <w:t xml:space="preserve">DTO / VO / Entity 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分离；统一响应体</w:t>
      </w:r>
      <w:r>
        <w:rPr>
          <w:color w:val="1F2329"/>
          <w:sz w:val="21"/>
        </w:rPr>
        <w:t xml:space="preserve"> {code, msg, data}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；统一异常处理；鉴权走拦截器加令牌。</w:t>
      </w:r>
    </w:p>
    <w:p>
      <w:bookmarkStart w:id="15" w:name="_Toc_s4"/>
      <w:bookmarkStart w:id="3" w:name="s4"/>
      <w:pPr>
        <w:pStyle w:val="Heading1"/>
        <w:spacing w:line="336" w:lineRule="auto"/>
      </w:pPr>
      <w:bookmarkEnd w:id="3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四、数据模型</w:t>
      </w:r>
      <w:bookmarkEnd w:id="15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246"/>
        <w:gridCol w:w="4666"/>
      </w:tblGrid>
      <w:tr>
        <w:tc>
          <w:tcPr>
            <w:tcW w:type="pct" w:w="10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表</w:t>
            </w:r>
          </w:p>
        </w:tc>
        <w:tc>
          <w:tcPr>
            <w:tcW w:type="pct" w:w="13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作用</w:t>
            </w:r>
          </w:p>
        </w:tc>
        <w:tc>
          <w:tcPr>
            <w:tcW w:type="pct" w:w="27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关键字段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sys_user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登录账号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username / password / display_name / role / employee_id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org_employee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员工图谱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name / employee_no / parent_id / id_path / dept / title / level_no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case_info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案件主表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case_no / name / source_type / priority / deadline / status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case_assignee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指派关系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case_id / employee_id / assign_role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（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OWNER / MEMBER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）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/ status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（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ACTIVE / REPLACED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case_file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附件元数据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case_id / file_name / file_type / storage_path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operation_log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操作日志</w:t>
            </w:r>
          </w:p>
        </w:tc>
        <w:tc>
          <w:tcPr>
            <w:tcW w:type="pct" w:w="2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module / action / target_type / target_id / content / operator</w:t>
            </w:r>
          </w:p>
        </w:tc>
      </w:tr>
    </w:tbl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三个关键设计决策</w:t>
      </w:r>
    </w:p>
    <w:p>
      <w:pPr>
        <w:pStyle w:val="Heading3"/>
        <w:spacing w:line="360" w:lineRule="auto"/>
      </w:pPr>
      <w:r>
        <w:rPr>
          <w:rFonts w:ascii="Microsoft YaHei" w:hAnsi="Microsoft YaHei" w:eastAsia="Microsoft YaHei" w:cs="Microsoft YaHei" w:hint="eastAsia"/>
          <w:color w:val="2F5FD0"/>
          <w:sz w:val="24"/>
          <w:lang w:eastAsia="zh-CN"/>
        </w:rPr>
        <w:t>1. id_path 冗余祖先链路</w:t>
      </w:r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形如</w:t>
      </w:r>
      <w:r>
        <w:rPr>
          <w:color w:val="1F2329"/>
          <w:sz w:val="21"/>
        </w:rPr>
        <w:t xml:space="preserve"> /1/3/7/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，把祖先链路冗余在节点上，查询「某人及其所有下级」从递归变为一次</w:t>
      </w:r>
      <w:r>
        <w:rPr>
          <w:color w:val="1F2329"/>
          <w:sz w:val="21"/>
        </w:rPr>
        <w:t xml:space="preserve"> LIKE 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查询，组织树规模上万也不慌。</w:t>
      </w:r>
    </w:p>
    <w:p>
      <w:pPr>
        <w:pStyle w:val="Heading3"/>
        <w:spacing w:line="360" w:lineRule="auto"/>
      </w:pPr>
      <w:r>
        <w:rPr>
          <w:rFonts w:ascii="Microsoft YaHei" w:hAnsi="Microsoft YaHei" w:eastAsia="Microsoft YaHei" w:cs="Microsoft YaHei" w:hint="eastAsia"/>
          <w:color w:val="2F5FD0"/>
          <w:sz w:val="24"/>
          <w:lang w:eastAsia="zh-CN"/>
        </w:rPr>
        <w:t>2. 改派不删旧记录</w:t>
      </w:r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旧指派关系置为</w:t>
      </w:r>
      <w:r>
        <w:rPr>
          <w:color w:val="1F2329"/>
          <w:sz w:val="21"/>
        </w:rPr>
        <w:t xml:space="preserve"> REPLACED 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并写</w:t>
      </w:r>
      <w:r>
        <w:rPr>
          <w:color w:val="1F2329"/>
          <w:sz w:val="21"/>
        </w:rPr>
        <w:t xml:space="preserve"> closed_at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，新关系插入。这是后续做追溯时间线的现成数据。</w:t>
      </w:r>
    </w:p>
    <w:p>
      <w:pPr>
        <w:pStyle w:val="Heading3"/>
        <w:spacing w:line="360" w:lineRule="auto"/>
      </w:pPr>
      <w:r>
        <w:rPr>
          <w:rFonts w:ascii="Microsoft YaHei" w:hAnsi="Microsoft YaHei" w:eastAsia="Microsoft YaHei" w:cs="Microsoft YaHei" w:hint="eastAsia"/>
          <w:color w:val="2F5FD0"/>
          <w:sz w:val="24"/>
          <w:lang w:eastAsia="zh-CN"/>
        </w:rPr>
        <w:t>3. 操作日志第一版就全量埋点</w:t>
      </w:r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登录、建案、指派、状态变更、导入、上传全部记录，避免追溯功能上线时历史数据一片空白。</w:t>
      </w:r>
    </w:p>
    <w:p>
      <w:bookmarkStart w:id="16" w:name="_Toc_s5"/>
      <w:bookmarkStart w:id="4" w:name="s5"/>
      <w:pPr>
        <w:pStyle w:val="Heading1"/>
        <w:spacing w:line="336" w:lineRule="auto"/>
      </w:pPr>
      <w:bookmarkEnd w:id="4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五、核心业务流程</w:t>
      </w:r>
      <w:bookmarkEnd w:id="16"/>
    </w:p>
    <w:p>
      <w:pPr>
        <w:pStyle w:val="ListNumber"/>
        <w:numPr>
          <w:ilvl w:val="0"/>
          <w:numId w:val="11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案件录入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：手打案件名，或上传</w:t>
      </w:r>
      <w:r>
        <w:rPr>
          <w:sz w:val="21"/>
        </w:rPr>
        <w:t xml:space="preserve"> PDF / Word / Excel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，系统按扩展名自动判定</w:t>
      </w:r>
      <w:r>
        <w:rPr>
          <w:sz w:val="21"/>
        </w:rPr>
        <w:t xml:space="preserve"> source_type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并挂载附件；可同时设置优先级、案件类型、截止期限（提供「</w:t>
      </w:r>
      <w:r>
        <w:rPr>
          <w:sz w:val="21"/>
        </w:rPr>
        <w:t xml:space="preserve">+1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</w:t>
      </w:r>
      <w:r>
        <w:rPr>
          <w:sz w:val="21"/>
        </w:rPr>
        <w:t xml:space="preserve"> / +3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</w:t>
      </w:r>
      <w:r>
        <w:rPr>
          <w:sz w:val="21"/>
        </w:rPr>
        <w:t xml:space="preserve"> / +7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天」快捷按钮）。</w:t>
      </w:r>
    </w:p>
    <w:p>
      <w:pPr>
        <w:pStyle w:val="ListNumber"/>
        <w:numPr>
          <w:ilvl w:val="0"/>
          <w:numId w:val="11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指派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：抽屉内提供关键词检索（姓名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工号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部门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职务，结果带完整归属链路与在手案件数）与组织树逐级点选两种方式；区分主办与协办；可填写指派要求。</w:t>
      </w:r>
    </w:p>
    <w:p>
      <w:pPr>
        <w:pStyle w:val="ListNumber"/>
        <w:numPr>
          <w:ilvl w:val="0"/>
          <w:numId w:val="11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状态流转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：待指派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已指派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处理中</w:t>
      </w:r>
      <w:r>
        <w:rPr>
          <w:sz w:val="21"/>
        </w:rPr>
        <w:t xml:space="preserve"> →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已办结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已撤销；首次指派自动把状态从「待指派」推进到「已指派」。</w:t>
      </w:r>
    </w:p>
    <w:p>
      <w:pPr>
        <w:pStyle w:val="ListNumber"/>
        <w:numPr>
          <w:ilvl w:val="0"/>
          <w:numId w:val="11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到期提醒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：以服务端当前时间为准，把案件分入「已逾期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今天到期</w:t>
      </w:r>
      <w:r>
        <w:rPr>
          <w:sz w:val="21"/>
        </w:rPr>
        <w:t xml:space="preserve"> / 3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天内</w:t>
      </w:r>
      <w:r>
        <w:rPr>
          <w:sz w:val="21"/>
        </w:rPr>
        <w:t xml:space="preserve"> / 7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天内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未设期限」五个桶，逾期行整行标红并按截止时间升序排列。</w:t>
      </w:r>
    </w:p>
    <w:p>
      <w:pPr>
        <w:pStyle w:val="ListNumber"/>
        <w:numPr>
          <w:ilvl w:val="0"/>
          <w:numId w:val="11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工作台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：八个关键指标（总数、待指派、处理中、已办结、已逾期、今日到期、</w:t>
      </w:r>
      <w:r>
        <w:rPr>
          <w:sz w:val="21"/>
        </w:rPr>
        <w:t xml:space="preserve">3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天内、</w:t>
      </w:r>
      <w:r>
        <w:rPr>
          <w:sz w:val="21"/>
        </w:rPr>
        <w:t xml:space="preserve">7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天内）加四块清单（逾期、待指派、</w:t>
      </w:r>
      <w:r>
        <w:rPr>
          <w:sz w:val="21"/>
        </w:rPr>
        <w:t xml:space="preserve">7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天内到期、最近操作），点数字直接跳到对应筛选结果。</w:t>
      </w:r>
    </w:p>
    <w:p>
      <w:bookmarkStart w:id="17" w:name="_Toc_s6"/>
      <w:bookmarkStart w:id="5" w:name="s6"/>
      <w:pPr>
        <w:pStyle w:val="Heading1"/>
        <w:spacing w:line="336" w:lineRule="auto"/>
      </w:pPr>
      <w:bookmarkEnd w:id="5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六、员工图谱 Excel 导入方案</w:t>
      </w:r>
      <w:bookmarkEnd w:id="17"/>
    </w:p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模板列固定为：</w:t>
      </w:r>
      <w:r>
        <w:rPr>
          <w:rFonts w:ascii="Microsoft YaHei" w:eastAsia="Microsoft YaHei" w:hAnsi="Microsoft YaHei" w:cs="Microsoft YaHei" w:hint="eastAsia"/>
          <w:b/>
          <w:color w:val="1F2329"/>
          <w:sz w:val="21"/>
          <w:lang w:eastAsia="zh-CN"/>
        </w:rPr>
        <w:t>姓名 / 工号 / 上级工号 / 部门 / 职务 / 手机 / 邮箱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。其中「上级工号」是形成「领导</w:t>
      </w:r>
      <w:r>
        <w:rPr>
          <w:color w:val="1F2329"/>
          <w:sz w:val="21"/>
        </w:rPr>
        <w:t>—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副领导</w:t>
      </w:r>
      <w:r>
        <w:rPr>
          <w:color w:val="1F2329"/>
          <w:sz w:val="21"/>
        </w:rPr>
        <w:t>—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组长</w:t>
      </w:r>
      <w:r>
        <w:rPr>
          <w:color w:val="1F2329"/>
          <w:sz w:val="21"/>
        </w:rPr>
        <w:t>—</w:t>
      </w:r>
      <w:r>
        <w:rPr>
          <w:rFonts w:ascii="Microsoft YaHei" w:eastAsia="Microsoft YaHei" w:hAnsi="Microsoft YaHei" w:cs="Microsoft YaHei" w:hint="eastAsia"/>
          <w:color w:val="1F2329"/>
          <w:sz w:val="21"/>
          <w:lang w:eastAsia="zh-CN"/>
        </w:rPr>
        <w:t>组员」层级的关键，顶层留空。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246"/>
        <w:gridCol w:w="5184"/>
      </w:tblGrid>
      <w:tr>
        <w:tc>
          <w:tcPr>
            <w:tcW w:type="pct" w:w="7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阶段</w:t>
            </w:r>
          </w:p>
        </w:tc>
        <w:tc>
          <w:tcPr>
            <w:tcW w:type="pct" w:w="13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动作</w:t>
            </w:r>
          </w:p>
        </w:tc>
        <w:tc>
          <w:tcPr>
            <w:tcW w:type="pct" w:w="30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要点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一、落库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按行写入</w:t>
            </w:r>
          </w:p>
        </w:tc>
        <w:tc>
          <w:tcPr>
            <w:tcW w:type="pct" w:w="3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工号已存在则更新（重复导入幂等），此时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parent_id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统一置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0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，只保留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parent_no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二、回填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按工号映射上级</w:t>
            </w:r>
          </w:p>
        </w:tc>
        <w:tc>
          <w:tcPr>
            <w:tcW w:type="pct" w:w="3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上级不存在或指向自己时置为顶层，并记录到错误清单返回前端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三、重算</w:t>
            </w:r>
          </w:p>
        </w:tc>
        <w:tc>
          <w:tcPr>
            <w:tcW w:type="pct" w:w="1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计算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level_no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与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id_path</w:t>
            </w:r>
          </w:p>
        </w:tc>
        <w:tc>
          <w:tcPr>
            <w:tcW w:type="pct" w:w="3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保证树结构查询效率与前端展示层级</w:t>
            </w:r>
          </w:p>
        </w:tc>
      </w:tr>
    </w:tbl>
    <w:p>
      <w:pPr>
        <w:spacing w:line="408" w:lineRule="auto"/>
      </w:pPr>
      <w:r>
        <w:rPr>
          <w:rFonts w:ascii="Microsoft YaHei" w:eastAsia="Microsoft YaHei" w:hAnsi="Microsoft YaHei" w:cs="Microsoft YaHei" w:hint="eastAsia"/>
          <w:color w:val="4A5058"/>
          <w:sz w:val="18"/>
          <w:lang w:eastAsia="zh-CN"/>
        </w:rPr>
        <w:t>页面端「下载导入模板」按钮可直接拿到含示例数据的模板；删除员工前会校验下级与在手案件，避免产生孤儿节点。</w:t>
      </w:r>
    </w:p>
    <w:p>
      <w:bookmarkStart w:id="18" w:name="_Toc_s7"/>
      <w:bookmarkStart w:id="6" w:name="s7"/>
      <w:pPr>
        <w:pStyle w:val="Heading1"/>
        <w:spacing w:line="336" w:lineRule="auto"/>
      </w:pPr>
      <w:bookmarkEnd w:id="6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七、功能与页面清单</w:t>
      </w:r>
      <w:bookmarkEnd w:id="18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页面</w:t>
            </w:r>
          </w:p>
        </w:tc>
        <w:tc>
          <w:tcPr>
            <w:tcW w:type="pct" w:w="41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内容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登录</w:t>
            </w:r>
          </w:p>
        </w:tc>
        <w:tc>
          <w:tcPr>
            <w:tcW w:type="pct" w:w="4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账号密码登录，演示账号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boss / admin123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工作台</w:t>
            </w:r>
          </w:p>
        </w:tc>
        <w:tc>
          <w:tcPr>
            <w:tcW w:type="pct" w:w="4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八项关键指标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+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逾期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待指派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7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天内到期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/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最近操作四块清单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案件管理</w:t>
            </w:r>
          </w:p>
        </w:tc>
        <w:tc>
          <w:tcPr>
            <w:tcW w:type="pct" w:w="4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关键词、状态、优先级、来源、到期桶五维筛选；列表；新建与编辑；指派；详情抽屉（含指派历史与附件）；删除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到期提醒</w:t>
            </w:r>
          </w:p>
        </w:tc>
        <w:tc>
          <w:tcPr>
            <w:tcW w:type="pct" w:w="4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五个分桶页签，按截止时间升序，可直接指派或办结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员工图谱</w:t>
            </w:r>
          </w:p>
        </w:tc>
        <w:tc>
          <w:tcPr>
            <w:tcW w:type="pct" w:w="41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组织树（可过滤）、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Excel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导入、模板下载、新增与编辑与删除、在手案件数</w:t>
            </w:r>
          </w:p>
        </w:tc>
      </w:tr>
    </w:tbl>
    <w:p>
      <w:bookmarkStart w:id="19" w:name="_Toc_s8"/>
      <w:bookmarkStart w:id="7" w:name="s8"/>
      <w:pPr>
        <w:pStyle w:val="Heading1"/>
        <w:spacing w:line="336" w:lineRule="auto"/>
      </w:pPr>
      <w:bookmarkEnd w:id="7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八、接口清单</w:t>
      </w:r>
      <w:bookmarkEnd w:id="19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456"/>
        <w:gridCol w:w="3974"/>
      </w:tblGrid>
      <w:tr>
        <w:tc>
          <w:tcPr>
            <w:tcW w:type="pct" w:w="7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方法</w:t>
            </w:r>
          </w:p>
        </w:tc>
        <w:tc>
          <w:tcPr>
            <w:tcW w:type="pct" w:w="20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路径</w:t>
            </w:r>
          </w:p>
        </w:tc>
        <w:tc>
          <w:tcPr>
            <w:tcW w:type="pct" w:w="23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说明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/api/auth/login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登录，返回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X-Token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/api/auth/info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、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/api/auth/dict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当前登录人、数据字典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/api/employees/tree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组织树（支持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 xml:space="preserve"> keyword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过滤）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/api/employees/search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扁平检索，返回归属链路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/api/employees/import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 xml:space="preserve">Excel 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导入员工图谱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/api/employees/template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下载导入模板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案件分页与多维筛选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 / PUT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、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/api/cases/{id}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新建与编辑（可同时指派）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/api/cases/{id}/assign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指派与改派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/api/cases/{id}/status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状态流转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/api/cases/reminders?bucket=OVERDUE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到期提醒清单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/api/cases/dashboard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工作台聚合数据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POST / GET</w:t>
            </w:r>
          </w:p>
        </w:tc>
        <w:tc>
          <w:tcPr>
            <w:tcW w:type="pct" w:w="20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/api/files/upload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、</w:t>
            </w:r>
            <w:r>
              <w:rPr>
                <w:color w:val="1F2329"/>
                <w:sz w:val="18"/>
              </w:rPr>
              <w:t xml:space="preserve"> </w:t>
            </w:r>
            <w:r>
              <w:rPr>
                <w:color w:val="1F2329"/>
                <w:sz w:val="18"/>
              </w:rPr>
              <w:t>/api/files/{id}/download</w:t>
            </w:r>
          </w:p>
        </w:tc>
        <w:tc>
          <w:tcPr>
            <w:tcW w:type="pct" w:w="23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附件上传与下载</w:t>
            </w:r>
          </w:p>
        </w:tc>
      </w:tr>
    </w:tbl>
    <w:p>
      <w:bookmarkStart w:id="20" w:name="_Toc_s9"/>
      <w:bookmarkStart w:id="8" w:name="s9"/>
      <w:pPr>
        <w:pStyle w:val="Heading1"/>
        <w:spacing w:line="336" w:lineRule="auto"/>
      </w:pPr>
      <w:bookmarkEnd w:id="8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九、第一版边界</w:t>
      </w:r>
      <w:bookmarkEnd w:id="20"/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登录为「账号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内存令牌」演示实现，密码明文存储，未做角色与数据权限；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附件存本地磁盘，未接对象存储，未做病毒扫描与类型白名单强校验；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无消息通知（站内信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邮件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企业微信均未接入）；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无统计报表与导出；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案件追溯功能按约定后置，但数据已就绪。</w:t>
      </w:r>
    </w:p>
    <w:p>
      <w:bookmarkStart w:id="21" w:name="_Toc_s10"/>
      <w:bookmarkStart w:id="9" w:name="s10"/>
      <w:pPr>
        <w:pStyle w:val="Heading1"/>
        <w:spacing w:line="336" w:lineRule="auto"/>
      </w:pPr>
      <w:bookmarkEnd w:id="9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十、后续开发路线</w:t>
      </w:r>
      <w:bookmarkEnd w:id="21"/>
    </w:p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Phase 1：安全与权限（1–2 周）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密码</w:t>
      </w:r>
      <w:r>
        <w:rPr>
          <w:sz w:val="21"/>
        </w:rPr>
        <w:t xml:space="preserve"> BCrypt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加盐存储，登录失败次数限制；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引入</w:t>
      </w:r>
      <w:r>
        <w:rPr>
          <w:sz w:val="21"/>
        </w:rPr>
        <w:t xml:space="preserve"> Spring Security + JWT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，令牌迁移到</w:t>
      </w:r>
      <w:r>
        <w:rPr>
          <w:sz w:val="21"/>
        </w:rPr>
        <w:t xml:space="preserve"> Redis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，支持续期与踢下线；</w:t>
      </w:r>
    </w:p>
    <w:p>
      <w:pPr>
        <w:pStyle w:val="ListBullet"/>
        <w:spacing w:line="408" w:lineRule="auto"/>
      </w:pPr>
      <w:r>
        <w:rPr>
          <w:sz w:val="21"/>
        </w:rPr>
        <w:t xml:space="preserve">RBAC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角色：</w:t>
      </w:r>
      <w:r>
        <w:rPr>
          <w:sz w:val="21"/>
        </w:rPr>
        <w:t>boss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（全量）、组长（本组）、组员（只看自己），数据权限按</w:t>
      </w:r>
      <w:r>
        <w:rPr>
          <w:sz w:val="21"/>
        </w:rPr>
        <w:t xml:space="preserve"> id_path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前缀隔离。</w:t>
      </w:r>
    </w:p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Phase 2：案件追溯（2–3 周）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时间线视图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：以案件为主轴，把创建、每次指派与改派、状态变更、附件上传、备注按时间正序铺开；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改派留痕展示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 xml:space="preserve">case_assignee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</w:t>
      </w:r>
      <w:r>
        <w:rPr>
          <w:sz w:val="21"/>
        </w:rPr>
        <w:t xml:space="preserve"> REPLACED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记录直接渲染为「谁在何时把案件交给了谁」；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附件版本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：同一案件的材料保留历史版本，支持对比与回滚说明；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审计查询页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：按操作人、时间、模块、对象检索</w:t>
      </w:r>
      <w:r>
        <w:rPr>
          <w:sz w:val="21"/>
        </w:rPr>
        <w:t xml:space="preserve"> operation_log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，支持导出</w:t>
      </w:r>
      <w:r>
        <w:rPr>
          <w:sz w:val="21"/>
        </w:rPr>
        <w:t xml:space="preserve"> Excel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关键字段变更前后值快照（</w:t>
      </w:r>
      <w:r>
        <w:rPr>
          <w:sz w:val="21"/>
        </w:rPr>
        <w:t xml:space="preserve">operation_log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增加</w:t>
      </w:r>
      <w:r>
        <w:rPr>
          <w:sz w:val="21"/>
        </w:rPr>
        <w:t xml:space="preserve"> before_json / after_json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）。</w:t>
      </w:r>
    </w:p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Phase 3：提醒与协同（2–3 周）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定时任务每日扫描临期与逾期案件，生成待办与升级提醒；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站内消息中心；条件具备时接邮件或企业微信推送；</w:t>
      </w:r>
    </w:p>
    <w:p>
      <w:pPr>
        <w:pStyle w:val="ListBullet"/>
        <w:spacing w:line="408" w:lineRule="auto"/>
      </w:pPr>
      <w:r>
        <w:rPr>
          <w:sz w:val="21"/>
        </w:rPr>
        <w:t xml:space="preserve">SLA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超时自动升级到上级（沿</w:t>
      </w:r>
      <w:r>
        <w:rPr>
          <w:sz w:val="21"/>
        </w:rPr>
        <w:t xml:space="preserve"> id_path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上溯一层）；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案件进展回写与简短备注流，减少线下沟通。</w:t>
      </w:r>
    </w:p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Phase 4：规模化与稳定性（3–4 周）</w:t>
      </w:r>
    </w:p>
    <w:p>
      <w:pPr>
        <w:pStyle w:val="ListBullet"/>
        <w:spacing w:line="408" w:lineRule="auto"/>
      </w:pPr>
      <w:r>
        <w:rPr>
          <w:sz w:val="21"/>
        </w:rPr>
        <w:t xml:space="preserve">MySQL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索引落地（见</w:t>
      </w:r>
      <w:r>
        <w:rPr>
          <w:sz w:val="21"/>
        </w:rPr>
        <w:t xml:space="preserve"> sql/index-mysql.sql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）、慢查询治理、大表分区；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附件迁移对象存储，上传走直传签名；</w:t>
      </w:r>
    </w:p>
    <w:p>
      <w:pPr>
        <w:pStyle w:val="ListBullet"/>
        <w:spacing w:line="408" w:lineRule="auto"/>
      </w:pPr>
      <w:r>
        <w:rPr>
          <w:sz w:val="21"/>
        </w:rPr>
        <w:t xml:space="preserve">Redis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缓存令牌、字典、组织树与工作台聚合结果；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统计报表与看板：部门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个人办案量、逾期率、平均办结时长；</w:t>
      </w:r>
    </w:p>
    <w:p>
      <w:pPr>
        <w:pStyle w:val="ListBullet"/>
        <w:spacing w:line="408" w:lineRule="auto"/>
      </w:pPr>
      <w:r>
        <w:rPr>
          <w:sz w:val="21"/>
        </w:rPr>
        <w:t xml:space="preserve">Docker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化部署、</w:t>
      </w:r>
      <w:r>
        <w:rPr>
          <w:sz w:val="21"/>
        </w:rPr>
        <w:t xml:space="preserve">CI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流水线、健康检查与监控告警。</w:t>
      </w:r>
    </w:p>
    <w:p>
      <w:pPr>
        <w:pStyle w:val="Heading2"/>
        <w:spacing w:line="336" w:lineRule="auto"/>
      </w:pPr>
      <w:r>
        <w:rPr>
          <w:rFonts w:ascii="Microsoft YaHei" w:hAnsi="Microsoft YaHei" w:eastAsia="Microsoft YaHei" w:cs="Microsoft YaHei" w:hint="eastAsia"/>
          <w:color w:val="1F4E79"/>
          <w:sz w:val="27"/>
          <w:lang w:eastAsia="zh-CN"/>
        </w:rPr>
        <w:t>Phase 5：移动端与开放能力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移动端</w:t>
      </w:r>
      <w:r>
        <w:rPr>
          <w:sz w:val="21"/>
        </w:rPr>
        <w:t xml:space="preserve"> H5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：只看待办、扫码看案件、拍照补材料；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对外开放接口与回调，便于与既有业务系统打通；</w:t>
      </w:r>
    </w:p>
    <w:p>
      <w:pPr>
        <w:pStyle w:val="ListBullet"/>
        <w:spacing w:line="408" w:lineRule="auto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电子签章与归档对接。</w:t>
      </w:r>
    </w:p>
    <w:p>
      <w:bookmarkStart w:id="22" w:name="_Toc_s11"/>
      <w:bookmarkStart w:id="10" w:name="s11"/>
      <w:pPr>
        <w:pStyle w:val="Heading1"/>
        <w:spacing w:line="336" w:lineRule="auto"/>
      </w:pPr>
      <w:bookmarkEnd w:id="10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十一、部署与运维建议</w:t>
      </w:r>
      <w:bookmarkEnd w:id="22"/>
    </w:p>
    <w:p>
      <w:pPr>
        <w:pStyle w:val="ListNumber"/>
        <w:numPr>
          <w:ilvl w:val="0"/>
          <w:numId w:val="12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数据库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>MySQL 5.7+ / 8.0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，执行</w:t>
      </w:r>
      <w:r>
        <w:rPr>
          <w:sz w:val="21"/>
        </w:rPr>
        <w:t xml:space="preserve"> sql/schema.sql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建表、</w:t>
      </w:r>
      <w:r>
        <w:rPr>
          <w:sz w:val="21"/>
        </w:rPr>
        <w:t xml:space="preserve">sql/index-mysql.sql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补索引；连接参数用环境变量</w:t>
      </w:r>
      <w:r>
        <w:rPr>
          <w:sz w:val="21"/>
        </w:rPr>
        <w:t xml:space="preserve"> MYSQL_HOST / MYSQL_PORT / MYSQL_DB / MYSQL_USER / MYSQL_PASSWORD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覆盖，不要把口令写进配置文件。</w:t>
      </w:r>
    </w:p>
    <w:p>
      <w:pPr>
        <w:pStyle w:val="ListNumber"/>
        <w:numPr>
          <w:ilvl w:val="0"/>
          <w:numId w:val="12"/>
        </w:numPr>
        <w:spacing w:line="408" w:lineRule="auto"/>
      </w:pPr>
      <w:r>
        <w:rPr>
          <w:b/>
          <w:sz w:val="21"/>
        </w:rPr>
        <w:t>JDK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 xml:space="preserve">Spring Boot 2.x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支持</w:t>
      </w:r>
      <w:r>
        <w:rPr>
          <w:sz w:val="21"/>
        </w:rPr>
        <w:t xml:space="preserve"> JDK 8 / 11 / 17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</w:t>
      </w:r>
      <w:r>
        <w:rPr>
          <w:sz w:val="21"/>
        </w:rPr>
        <w:t xml:space="preserve">JDK 25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不兼容；启动脚本会优先挑选</w:t>
      </w:r>
      <w:r>
        <w:rPr>
          <w:sz w:val="21"/>
        </w:rPr>
        <w:t xml:space="preserve"> 8 / 11 / 17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一键启动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sz w:val="21"/>
        </w:rPr>
        <w:t xml:space="preserve">python scripts/dev.py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自动拉起后端与前端；</w:t>
      </w:r>
      <w:r>
        <w:rPr>
          <w:sz w:val="21"/>
        </w:rPr>
        <w:t xml:space="preserve">--profile mysql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切换正式库；</w:t>
      </w:r>
      <w:r>
        <w:rPr>
          <w:sz w:val="21"/>
        </w:rPr>
        <w:t xml:space="preserve">--seed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灌入演示数据。</w:t>
      </w:r>
    </w:p>
    <w:p>
      <w:pPr>
        <w:pStyle w:val="ListNumber"/>
        <w:numPr>
          <w:ilvl w:val="0"/>
          <w:numId w:val="12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备份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：每日备份数据库与</w:t>
      </w:r>
      <w:r>
        <w:rPr>
          <w:sz w:val="21"/>
        </w:rPr>
        <w:t xml:space="preserve"> data/uploads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附件目录；</w:t>
      </w:r>
      <w:r>
        <w:rPr>
          <w:sz w:val="21"/>
        </w:rPr>
        <w:t xml:space="preserve">operation_log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建议按季度归档。</w:t>
      </w:r>
    </w:p>
    <w:p>
      <w:pPr>
        <w:pStyle w:val="ListNumber"/>
        <w:numPr>
          <w:ilvl w:val="0"/>
          <w:numId w:val="12"/>
        </w:numPr>
        <w:spacing w:line="408" w:lineRule="auto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日志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：后端按天切分，保留</w:t>
      </w:r>
      <w:r>
        <w:rPr>
          <w:sz w:val="21"/>
        </w:rPr>
        <w:t xml:space="preserve"> 30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天；关键操作以</w:t>
      </w:r>
      <w:r>
        <w:rPr>
          <w:sz w:val="21"/>
        </w:rPr>
        <w:t xml:space="preserve"> operation_log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为准，不依赖应用日志。</w:t>
      </w:r>
    </w:p>
    <w:p>
      <w:bookmarkStart w:id="23" w:name="_Toc_s12"/>
      <w:bookmarkStart w:id="11" w:name="s12"/>
      <w:pPr>
        <w:pStyle w:val="Heading1"/>
        <w:spacing w:line="336" w:lineRule="auto"/>
      </w:pPr>
      <w:bookmarkEnd w:id="11"/>
      <w:r>
        <w:rPr>
          <w:rFonts w:ascii="Microsoft YaHei" w:hAnsi="Microsoft YaHei" w:eastAsia="Microsoft YaHei" w:cs="Microsoft YaHei" w:hint="eastAsia"/>
          <w:color w:val="1F4E79"/>
          <w:sz w:val="34"/>
          <w:lang w:eastAsia="zh-CN"/>
        </w:rPr>
        <w:t>十二、风险与注意事项</w:t>
      </w:r>
      <w:bookmarkEnd w:id="23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419"/>
        <w:gridCol w:w="6221"/>
      </w:tblGrid>
      <w:tr>
        <w:tc>
          <w:tcPr>
            <w:tcW w:type="pct" w:w="14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风险</w:t>
            </w:r>
          </w:p>
        </w:tc>
        <w:tc>
          <w:tcPr>
            <w:tcW w:type="pct" w:w="3600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shd w:val="clear" w:color="auto" w:fill="F2F5F9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应对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附件携带恶意文件</w:t>
            </w:r>
          </w:p>
        </w:tc>
        <w:tc>
          <w:tcPr>
            <w:tcW w:type="pct" w:w="36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上传目录禁止脚本执行，限制大小与扩展名，生产环境增加病毒扫描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导入数据脏（重名、缺工号、成环）</w:t>
            </w:r>
          </w:p>
        </w:tc>
        <w:tc>
          <w:tcPr>
            <w:tcW w:type="pct" w:w="36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工号唯一约束、上游清洗、成环检测、异常行逐条回显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并发改派导致责任不清</w:t>
            </w:r>
          </w:p>
        </w:tc>
        <w:tc>
          <w:tcPr>
            <w:tcW w:type="pct" w:w="36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指派写在事务内，旧记录统一失效后再插入新记录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到期判定口径不一致</w:t>
            </w:r>
          </w:p>
        </w:tc>
        <w:tc>
          <w:tcPr>
            <w:tcW w:type="pct" w:w="36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统一以服务端时间为准，「剩余天数」按自然日计算，前端只做展示</w:t>
            </w:r>
          </w:p>
        </w:tc>
      </w:tr>
      <w:tr>
        <w:tc>
          <w:tcPr>
            <w:tcW w:type="pct" w:w="14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审计合规</w:t>
            </w:r>
          </w:p>
        </w:tc>
        <w:tc>
          <w:tcPr>
            <w:tcW w:type="pct" w:w="3600"/>
            <w:vAlign w:val="center"/>
            <w:tcBorders>
              <w:top w:val="single" w:sz="6" w:space="0" w:color="D8DCE2"/>
              <w:bottom w:val="single" w:sz="6" w:space="0" w:color="D8DCE2"/>
              <w:left w:val="single" w:sz="6" w:space="0" w:color="D8DCE2"/>
              <w:right w:val="single" w:sz="6" w:space="0" w:color="D8DCE2"/>
            </w:tcBorders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spacing w:line="240" w:lineRule="auto" w:before="54" w:after="54"/>
            </w:pPr>
            <w:r>
              <w:rPr>
                <w:color w:val="1F2329"/>
                <w:sz w:val="18"/>
              </w:rPr>
              <w:t>操作日志只增不改，追溯功能上线前不要清理历史数据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6" w:lineRule="auto"/>
      <w:outlineLvl w:val="0"/>
    </w:pPr>
    <w:rPr>
      <w:rFonts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6" w:lineRule="auto"/>
      <w:outlineLvl w:val="1"/>
    </w:pPr>
    <w:rPr>
      <w:rFonts w:ascii="Microsoft YaHei" w:hAnsi="Microsoft YaHei" w:eastAsia="Microsoft YaHe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6" w:lineRule="auto"/>
      <w:outlineLvl w:val="2"/>
    </w:pPr>
    <w:rPr>
      <w:rFonts w:ascii="Microsoft YaHei" w:hAnsi="Microsoft YaHei" w:eastAsia="Microsoft YaHei"/>
      <w:b/>
      <w:bCs/>
      <w:color w:val="2F5FD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