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560" w:after="400"/>
        <w:jc w:val="center"/>
      </w:pPr>
      <w:r>
        <w:rPr>
          <w:rFonts w:ascii="Microsoft YaHei" w:hAnsi="Microsoft YaHei" w:eastAsia="Microsoft YaHei"/>
          <w:color w:val="6E8E91"/>
          <w:sz w:val="36"/>
        </w:rPr>
        <w:t>游戏建筑设计资料集</w:t>
      </w:r>
    </w:p>
    <w:p>
      <w:pPr>
        <w:pStyle w:val="Title"/>
        <w:spacing w:after="300"/>
        <w:jc w:val="center"/>
      </w:pPr>
      <w:r>
        <w:t>前工业居住与家宅</w:t>
      </w:r>
    </w:p>
    <w:p>
      <w:pPr>
        <w:pStyle w:val="Subtitle"/>
        <w:spacing w:after="520"/>
        <w:jc w:val="center"/>
      </w:pPr>
      <w:r>
        <w:t>类型图鉴与游戏概念设计</w:t>
      </w:r>
    </w:p>
    <w:p>
      <w:pPr>
        <w:spacing w:after="140"/>
        <w:ind w:firstLine="0"/>
        <w:jc w:val="center"/>
      </w:pPr>
      <w:r>
        <w:rPr>
          <w:color w:val="315B60"/>
          <w:sz w:val="22"/>
        </w:rPr>
        <w:t>第一册  ·  共十六册</w:t>
      </w:r>
    </w:p>
    <w:p>
      <w:pPr>
        <w:spacing w:before="600"/>
        <w:ind w:firstLine="0"/>
        <w:jc w:val="center"/>
      </w:pPr>
      <w:r>
        <w:rPr>
          <w:color w:val="505A5A"/>
          <w:sz w:val="22"/>
        </w:rPr>
        <w:t>从居住类型出发，辨认空间如何组织生活</w:t>
      </w:r>
    </w:p>
    <w:p>
      <w:pPr>
        <w:pStyle w:val="Heading1"/>
        <w:pageBreakBefore/>
      </w:pPr>
      <w:r>
        <w:t>目录</w:t>
      </w:r>
    </w:p>
    <w:p>
      <w:pPr>
        <w:spacing w:after="200"/>
        <w:ind w:firstLine="0"/>
      </w:pPr>
      <w:r>
        <w:t>本册按建筑类型组织。点击条目可跳转到对应章节。</w:t>
      </w:r>
    </w:p>
    <w:p>
      <w:pPr>
        <w:spacing w:after="120"/>
        <w:ind w:firstLine="0" w:left="0"/>
      </w:pPr>
      <w:hyperlink w:anchor="section_001">
        <w:r>
          <w:rPr>
            <w:color w:val="237E86"/>
            <w:rFonts w:eastAsia="SimSun" w:ascii="SimSun" w:hAnsi="SimSun"/>
            <w:sz w:val="21"/>
          </w:rPr>
          <w:t>本册导读：先认识有哪些家宅</w:t>
        </w:r>
      </w:hyperlink>
    </w:p>
    <w:p>
      <w:pPr>
        <w:spacing w:after="120"/>
        <w:ind w:firstLine="0" w:left="0"/>
      </w:pPr>
      <w:hyperlink w:anchor="section_003">
        <w:r>
          <w:rPr>
            <w:color w:val="237E86"/>
            <w:rFonts w:eastAsia="SimSun" w:ascii="SimSun" w:hAnsi="SimSun"/>
            <w:sz w:val="21"/>
          </w:rPr>
          <w:t>类型图谱：先分辨空间组织</w:t>
        </w:r>
      </w:hyperlink>
    </w:p>
    <w:p>
      <w:pPr>
        <w:spacing w:after="120"/>
        <w:ind w:firstLine="0" w:left="0"/>
      </w:pPr>
      <w:hyperlink w:anchor="section_004">
        <w:r>
          <w:rPr>
            <w:color w:val="237E86"/>
            <w:rFonts w:eastAsia="SimSun" w:ascii="SimSun" w:hAnsi="SimSun"/>
            <w:sz w:val="21"/>
          </w:rPr>
          <w:t>第一编：由自然和地面条件组织的家宅</w:t>
        </w:r>
      </w:hyperlink>
    </w:p>
    <w:p>
      <w:pPr>
        <w:keepNext w:val="0"/>
        <w:spacing w:after="60"/>
        <w:ind w:firstLine="0" w:left="346"/>
      </w:pPr>
      <w:hyperlink w:anchor="section_005">
        <w:r>
          <w:rPr>
            <w:color w:val="237E86"/>
            <w:rFonts w:eastAsia="SimSun" w:ascii="SimSun" w:hAnsi="SimSun"/>
            <w:sz w:val="21"/>
          </w:rPr>
          <w:t>第 1 章 天然庇护与改造型居所：岩棚下的家宅</w:t>
        </w:r>
      </w:hyperlink>
    </w:p>
    <w:p>
      <w:pPr>
        <w:keepNext w:val="0"/>
        <w:spacing w:after="60"/>
        <w:ind w:firstLine="0" w:left="346"/>
      </w:pPr>
      <w:hyperlink w:anchor="section_010">
        <w:r>
          <w:rPr>
            <w:color w:val="237E86"/>
            <w:rFonts w:eastAsia="SimSun" w:ascii="SimSun" w:hAnsi="SimSun"/>
            <w:sz w:val="21"/>
          </w:rPr>
          <w:t>第 2 章 可移动、轻型住所：湖岸流动营地</w:t>
        </w:r>
      </w:hyperlink>
    </w:p>
    <w:p>
      <w:pPr>
        <w:keepNext w:val="0"/>
        <w:spacing w:after="60"/>
        <w:ind w:firstLine="0" w:left="346"/>
      </w:pPr>
      <w:hyperlink w:anchor="section_015">
        <w:r>
          <w:rPr>
            <w:color w:val="237E86"/>
            <w:rFonts w:eastAsia="SimSun" w:ascii="SimSun" w:hAnsi="SimSun"/>
            <w:sz w:val="21"/>
          </w:rPr>
          <w:t>第 3 章 坑式或半地下住所：地面高差与室内火源</w:t>
        </w:r>
      </w:hyperlink>
    </w:p>
    <w:p>
      <w:pPr>
        <w:keepNext w:val="0"/>
        <w:spacing w:after="60"/>
        <w:ind w:firstLine="0" w:left="346"/>
      </w:pPr>
      <w:hyperlink w:anchor="section_018">
        <w:r>
          <w:rPr>
            <w:color w:val="237E86"/>
            <w:rFonts w:eastAsia="SimSun" w:ascii="SimSun" w:hAnsi="SimSun"/>
            <w:sz w:val="21"/>
          </w:rPr>
          <w:t>第 4 章 架空或桩基住所：支撑决定通行</w:t>
        </w:r>
      </w:hyperlink>
    </w:p>
    <w:p>
      <w:pPr>
        <w:spacing w:after="120"/>
        <w:ind w:firstLine="0" w:left="0"/>
      </w:pPr>
      <w:hyperlink w:anchor="section_021">
        <w:r>
          <w:rPr>
            <w:color w:val="237E86"/>
            <w:rFonts w:eastAsia="SimSun" w:ascii="SimSun" w:hAnsi="SimSun"/>
            <w:sz w:val="21"/>
          </w:rPr>
          <w:t>第二编：以内部空间和住户组织为主的家宅</w:t>
        </w:r>
      </w:hyperlink>
    </w:p>
    <w:p>
      <w:pPr>
        <w:keepNext w:val="0"/>
        <w:spacing w:after="60"/>
        <w:ind w:firstLine="0" w:left="346"/>
      </w:pPr>
      <w:hyperlink w:anchor="section_022">
        <w:r>
          <w:rPr>
            <w:color w:val="237E86"/>
            <w:rFonts w:eastAsia="SimSun" w:ascii="SimSun" w:hAnsi="SimSun"/>
            <w:sz w:val="21"/>
          </w:rPr>
          <w:t>第 5 章 独立家屋：一个主体空间如何组织生活</w:t>
        </w:r>
      </w:hyperlink>
    </w:p>
    <w:p>
      <w:pPr>
        <w:keepNext w:val="0"/>
        <w:spacing w:after="60"/>
        <w:ind w:firstLine="0" w:left="346"/>
      </w:pPr>
      <w:hyperlink w:anchor="section_025">
        <w:r>
          <w:rPr>
            <w:color w:val="237E86"/>
            <w:rFonts w:eastAsia="SimSun" w:ascii="SimSun" w:hAnsi="SimSun"/>
            <w:sz w:val="21"/>
          </w:rPr>
          <w:t>第 6 章 长屋与共享居所：长向空间里的住户关系</w:t>
        </w:r>
      </w:hyperlink>
    </w:p>
    <w:p>
      <w:pPr>
        <w:keepNext w:val="0"/>
        <w:spacing w:after="60"/>
        <w:ind w:firstLine="0" w:left="346"/>
      </w:pPr>
      <w:hyperlink w:anchor="section_029">
        <w:r>
          <w:rPr>
            <w:color w:val="237E86"/>
            <w:rFonts w:eastAsia="SimSun" w:ascii="SimSun" w:hAnsi="SimSun"/>
            <w:sz w:val="21"/>
          </w:rPr>
          <w:t>第 7 章 院落式家屋：从街道进入家庭内部</w:t>
        </w:r>
      </w:hyperlink>
    </w:p>
    <w:p>
      <w:pPr>
        <w:keepNext w:val="0"/>
        <w:spacing w:after="60"/>
        <w:ind w:firstLine="0" w:left="346"/>
      </w:pPr>
      <w:hyperlink w:anchor="section_033">
        <w:r>
          <w:rPr>
            <w:color w:val="237E86"/>
            <w:rFonts w:eastAsia="SimSun" w:ascii="SimSun" w:hAnsi="SimSun"/>
            <w:sz w:val="21"/>
          </w:rPr>
          <w:t>第 8 章 连排或共墙家屋：相邻关系如何塑造街道</w:t>
        </w:r>
      </w:hyperlink>
    </w:p>
    <w:p>
      <w:pPr>
        <w:keepNext w:val="0"/>
        <w:spacing w:after="60"/>
        <w:ind w:firstLine="0" w:left="346"/>
      </w:pPr>
      <w:hyperlink w:anchor="section_036">
        <w:r>
          <w:rPr>
            <w:color w:val="237E86"/>
            <w:rFonts w:eastAsia="SimSun" w:ascii="SimSun" w:hAnsi="SimSun"/>
            <w:sz w:val="21"/>
          </w:rPr>
          <w:t>第 9 章 多层多户住宅：楼层、楼梯与共享通路</w:t>
        </w:r>
      </w:hyperlink>
    </w:p>
    <w:p>
      <w:pPr>
        <w:spacing w:after="120"/>
        <w:ind w:firstLine="0" w:left="0"/>
      </w:pPr>
      <w:hyperlink w:anchor="section_039">
        <w:r>
          <w:rPr>
            <w:color w:val="237E86"/>
            <w:rFonts w:eastAsia="SimSun" w:ascii="SimSun" w:hAnsi="SimSun"/>
            <w:sz w:val="21"/>
          </w:rPr>
          <w:t>横向比较：同样是居住，空间怎么不同？</w:t>
        </w:r>
      </w:hyperlink>
    </w:p>
    <w:p>
      <w:pPr>
        <w:spacing w:after="120"/>
        <w:ind w:firstLine="0" w:left="0"/>
      </w:pPr>
      <w:hyperlink w:anchor="section_040">
        <w:r>
          <w:rPr>
            <w:color w:val="237E86"/>
            <w:rFonts w:eastAsia="SimSun" w:ascii="SimSun" w:hAnsi="SimSun"/>
            <w:sz w:val="21"/>
          </w:rPr>
          <w:t>结尾练习：从 brief 选择类型并完成方案</w:t>
        </w:r>
      </w:hyperlink>
    </w:p>
    <w:p>
      <w:pPr>
        <w:spacing w:after="120"/>
        <w:ind w:firstLine="0" w:left="0"/>
      </w:pPr>
      <w:hyperlink w:anchor="section_045">
        <w:r>
          <w:rPr>
            <w:color w:val="237E86"/>
            <w:rFonts w:eastAsia="SimSun" w:ascii="SimSun" w:hAnsi="SimSun"/>
            <w:sz w:val="21"/>
          </w:rPr>
          <w:t>附录 A：类型与交叉标签索引</w:t>
        </w:r>
      </w:hyperlink>
    </w:p>
    <w:p>
      <w:pPr>
        <w:spacing w:after="120"/>
        <w:ind w:firstLine="0" w:left="0"/>
      </w:pPr>
      <w:hyperlink w:anchor="section_046">
        <w:r>
          <w:rPr>
            <w:color w:val="237E86"/>
            <w:rFonts w:eastAsia="SimSun" w:ascii="SimSun" w:hAnsi="SimSun"/>
            <w:sz w:val="21"/>
          </w:rPr>
          <w:t>附录 B：案例资料卡</w:t>
        </w:r>
      </w:hyperlink>
    </w:p>
    <w:p>
      <w:pPr>
        <w:spacing w:after="120"/>
        <w:ind w:firstLine="0" w:left="0"/>
      </w:pPr>
      <w:hyperlink w:anchor="section_047">
        <w:r>
          <w:rPr>
            <w:color w:val="237E86"/>
            <w:rFonts w:eastAsia="SimSun" w:ascii="SimSun" w:hAnsi="SimSun"/>
            <w:sz w:val="21"/>
          </w:rPr>
          <w:t>附录 C：读者概念设计工作卡</w:t>
        </w:r>
      </w:hyperlink>
    </w:p>
    <w:p>
      <w:pPr>
        <w:spacing w:after="120"/>
        <w:ind w:firstLine="0" w:left="0"/>
      </w:pPr>
      <w:hyperlink w:anchor="section_048">
        <w:r>
          <w:rPr>
            <w:color w:val="237E86"/>
            <w:rFonts w:eastAsia="SimSun" w:ascii="SimSun" w:hAnsi="SimSun"/>
            <w:sz w:val="21"/>
          </w:rPr>
          <w:t>附录 D：主要案例资料索引</w:t>
        </w:r>
      </w:hyperlink>
    </w:p>
    <w:p>
      <w:r>
        <w:br w:type="page"/>
      </w:r>
    </w:p>
    <w:p>
      <w:pPr>
        <w:pStyle w:val="Heading1"/>
      </w:pPr>
      <w:bookmarkStart w:id="section_001" w:name="section_001"/>
      <w:r>
        <w:t>本册导读：先认识有哪些家宅</w:t>
      </w:r>
      <w:bookmarkEnd w:id="section_001"/>
    </w:p>
    <w:p>
      <w:pPr>
        <w:widowControl/>
        <w:ind w:firstLine="302"/>
      </w:pPr>
      <w:r>
        <w:rPr>
          <w:rFonts w:ascii="SimSun" w:hAnsi="SimSun" w:eastAsia="SimSun"/>
        </w:rPr>
        <w:t>读者第一次接触前工业居住建筑时，最需要的不是先背一套抽象原则，而是先看到“有哪些居住建筑类型”“这些类型的空间大致怎样组织”。本册因此按类型安排章节：天然庇护、轻型移动住所、坑式住所、架空住所、独立家屋、长屋、院落家屋、连排家屋、多层多户住宅。</w:t>
      </w:r>
    </w:p>
    <w:p>
      <w:pPr>
        <w:widowControl/>
        <w:ind w:firstLine="302"/>
      </w:pPr>
      <w:r>
        <w:rPr>
          <w:rFonts w:ascii="SimSun" w:hAnsi="SimSun" w:eastAsia="SimSun"/>
        </w:rPr>
        <w:t>类型名称是观察入口，不是把复杂的历史生活装进互不相通的盒子。一个家宅可以同时是院落式、共墙、多层、多人共居，也可能兼有储存、生产或接待功能。阅读时先为案例选择一个最能解释空间组织的“主类型”，再添加“移动／季节性”“单户／扩展家庭／多户”“土木／石木／轻型覆材”“居住兼生产／储存／商业／防护”等标签。标签可以交叉；不要把它们误写成一条由简陋走向先进的历史阶梯。尤其要分清：长屋通常指一栋长向建筑内部如何安排住户；连排家屋指多栋住宅沿线相邻，是否共墙还要另行判断。</w:t>
      </w:r>
    </w:p>
    <w:p>
      <w:pPr>
        <w:widowControl/>
        <w:ind w:firstLine="302"/>
      </w:pPr>
      <w:r>
        <w:rPr>
          <w:rFonts w:ascii="SimSun" w:hAnsi="SimSun" w:eastAsia="SimSun"/>
        </w:rPr>
        <w:t>“前工业”也不是适用于全世界的一条统一年份线。每章先说明案例所在地区和年代；若一个建筑跨越多个时期，按具体建筑和证据来判断。相似的活动不代表空间必然相同：睡眠、储物、炊事可能广泛存在，但它们是否分屋、是否在屋内、谁能进入、如何和外部生计相连，都要回到案例和场景 brief。</w:t>
      </w:r>
    </w:p>
    <w:p>
      <w:pPr>
        <w:widowControl/>
        <w:ind w:firstLine="302"/>
      </w:pPr>
      <w:r>
        <w:rPr>
          <w:rFonts w:ascii="SimSun" w:hAnsi="SimSun" w:eastAsia="SimSun"/>
        </w:rPr>
        <w:t>本册每章使用同一组问题：</w:t>
      </w:r>
    </w:p>
    <w:p>
      <w:pPr>
        <w:keepLines/>
        <w:spacing w:line="298" w:lineRule="auto" w:after="40"/>
        <w:ind w:left="403" w:hanging="403"/>
      </w:pPr>
      <w:r>
        <w:rPr>
          <w:rFonts w:ascii="SimSun" w:hAnsi="SimSun" w:eastAsia="SimSun"/>
        </w:rPr>
        <w:t xml:space="preserve">1. </w:t>
      </w:r>
      <w:r>
        <w:rPr>
          <w:rFonts w:ascii="SimSun" w:hAnsi="SimSun" w:eastAsia="SimSun"/>
          <w:b/>
        </w:rPr>
        <w:t>类型识别卡：</w:t>
      </w:r>
      <w:r>
        <w:rPr>
          <w:rFonts w:ascii="SimSun" w:hAnsi="SimSun" w:eastAsia="SimSun"/>
        </w:rPr>
        <w:t>我看到的是什么空间形式？来源能证明什么？</w:t>
      </w:r>
    </w:p>
    <w:p>
      <w:pPr>
        <w:keepLines/>
        <w:spacing w:line="298" w:lineRule="auto" w:after="40"/>
        <w:ind w:left="403" w:hanging="403"/>
      </w:pPr>
      <w:r>
        <w:rPr>
          <w:rFonts w:ascii="SimSun" w:hAnsi="SimSun" w:eastAsia="SimSun"/>
        </w:rPr>
        <w:t xml:space="preserve">2. </w:t>
      </w:r>
      <w:r>
        <w:rPr>
          <w:rFonts w:ascii="SimSun" w:hAnsi="SimSun" w:eastAsia="SimSun"/>
          <w:b/>
        </w:rPr>
        <w:t>原创游戏 brief：</w:t>
      </w:r>
      <w:r>
        <w:rPr>
          <w:rFonts w:ascii="SimSun" w:hAnsi="SimSun" w:eastAsia="SimSun"/>
        </w:rPr>
        <w:t>谁住在这里，生活条件和设计目标是什么？</w:t>
      </w:r>
    </w:p>
    <w:p>
      <w:pPr>
        <w:keepLines/>
        <w:spacing w:line="298" w:lineRule="auto" w:after="40"/>
        <w:ind w:left="403" w:hanging="403"/>
      </w:pPr>
      <w:r>
        <w:rPr>
          <w:rFonts w:ascii="SimSun" w:hAnsi="SimSun" w:eastAsia="SimSun"/>
        </w:rPr>
        <w:t xml:space="preserve">3. </w:t>
      </w:r>
      <w:r>
        <w:rPr>
          <w:rFonts w:ascii="SimSun" w:hAnsi="SimSun" w:eastAsia="SimSun"/>
          <w:b/>
        </w:rPr>
        <w:t>生活活动：</w:t>
      </w:r>
      <w:r>
        <w:rPr>
          <w:rFonts w:ascii="SimSun" w:hAnsi="SimSun" w:eastAsia="SimSun"/>
        </w:rPr>
        <w:t>一天或一次居住周期中，人物实际要做什么？</w:t>
      </w:r>
    </w:p>
    <w:p>
      <w:pPr>
        <w:keepLines/>
        <w:spacing w:line="298" w:lineRule="auto" w:after="40"/>
        <w:ind w:left="403" w:hanging="403"/>
      </w:pPr>
      <w:r>
        <w:rPr>
          <w:rFonts w:ascii="SimSun" w:hAnsi="SimSun" w:eastAsia="SimSun"/>
        </w:rPr>
        <w:t xml:space="preserve">4. </w:t>
      </w:r>
      <w:r>
        <w:rPr>
          <w:rFonts w:ascii="SimSun" w:hAnsi="SimSun" w:eastAsia="SimSun"/>
          <w:b/>
        </w:rPr>
        <w:t>有序功能清单：</w:t>
      </w:r>
      <w:r>
        <w:rPr>
          <w:rFonts w:ascii="SimSun" w:hAnsi="SimSun" w:eastAsia="SimSun"/>
        </w:rPr>
        <w:t>由活动推出区域，说明谁使用、何时使用、与什么相邻或分开。</w:t>
      </w:r>
    </w:p>
    <w:p>
      <w:pPr>
        <w:keepLines/>
        <w:spacing w:line="298" w:lineRule="auto" w:after="40"/>
        <w:ind w:left="403" w:hanging="403"/>
      </w:pPr>
      <w:r>
        <w:rPr>
          <w:rFonts w:ascii="SimSun" w:hAnsi="SimSun" w:eastAsia="SimSun"/>
        </w:rPr>
        <w:t xml:space="preserve">5. </w:t>
      </w:r>
      <w:r>
        <w:rPr>
          <w:rFonts w:ascii="SimSun" w:hAnsi="SimSun" w:eastAsia="SimSun"/>
          <w:b/>
        </w:rPr>
        <w:t>空间结构与路径：</w:t>
      </w:r>
      <w:r>
        <w:rPr>
          <w:rFonts w:ascii="SimSun" w:hAnsi="SimSun" w:eastAsia="SimSun"/>
        </w:rPr>
        <w:t>入口、围护、分区、楼层、院落或支撑如何改变使用？</w:t>
      </w:r>
    </w:p>
    <w:p>
      <w:pPr>
        <w:keepLines/>
        <w:spacing w:line="298" w:lineRule="auto" w:after="40"/>
        <w:ind w:left="403" w:hanging="403"/>
      </w:pPr>
      <w:r>
        <w:rPr>
          <w:rFonts w:ascii="SimSun" w:hAnsi="SimSun" w:eastAsia="SimSun"/>
        </w:rPr>
        <w:t xml:space="preserve">6. </w:t>
      </w:r>
      <w:r>
        <w:rPr>
          <w:rFonts w:ascii="SimSun" w:hAnsi="SimSun" w:eastAsia="SimSun"/>
          <w:b/>
        </w:rPr>
        <w:t>使用闭环：</w:t>
      </w:r>
      <w:r>
        <w:rPr>
          <w:rFonts w:ascii="SimSun" w:hAnsi="SimSun" w:eastAsia="SimSun"/>
        </w:rPr>
        <w:t>空间怎样启用、使用、补给、清理、维修、改造或离开？</w:t>
      </w:r>
    </w:p>
    <w:p>
      <w:pPr>
        <w:keepLines/>
        <w:spacing w:line="298" w:lineRule="auto" w:after="40"/>
        <w:ind w:left="403" w:hanging="403"/>
      </w:pPr>
      <w:r>
        <w:rPr>
          <w:rFonts w:ascii="SimSun" w:hAnsi="SimSun" w:eastAsia="SimSun"/>
        </w:rPr>
        <w:t xml:space="preserve">7. </w:t>
      </w:r>
      <w:r>
        <w:rPr>
          <w:rFonts w:ascii="SimSun" w:hAnsi="SimSun" w:eastAsia="SimSun"/>
          <w:b/>
        </w:rPr>
        <w:t>共性、变体和游戏转化：</w:t>
      </w:r>
      <w:r>
        <w:rPr>
          <w:rFonts w:ascii="SimSun" w:hAnsi="SimSun" w:eastAsia="SimSun"/>
        </w:rPr>
        <w:t>哪些空间逻辑值得复用，哪些只能留在本案例？</w:t>
      </w:r>
    </w:p>
    <w:p>
      <w:pPr>
        <w:keepLines/>
        <w:spacing w:line="298" w:lineRule="auto" w:after="40"/>
        <w:ind w:left="403" w:hanging="403"/>
      </w:pPr>
      <w:r>
        <w:rPr>
          <w:rFonts w:ascii="SimSun" w:hAnsi="SimSun" w:eastAsia="SimSun"/>
        </w:rPr>
        <w:t xml:space="preserve">8. </w:t>
      </w:r>
      <w:r>
        <w:rPr>
          <w:rFonts w:ascii="SimSun" w:hAnsi="SimSun" w:eastAsia="SimSun"/>
          <w:b/>
        </w:rPr>
        <w:t>读者练习：</w:t>
      </w:r>
      <w:r>
        <w:rPr>
          <w:rFonts w:ascii="SimSun" w:hAnsi="SimSun" w:eastAsia="SimSun"/>
        </w:rPr>
        <w:t>交出一张可检查的概念设计，而不是只写感想。</w:t>
      </w:r>
    </w:p>
    <w:p>
      <w:pPr>
        <w:pStyle w:val="Heading2"/>
      </w:pPr>
      <w:bookmarkStart w:id="section_002" w:name="section_002"/>
      <w:r>
        <w:t>证据标记</w:t>
      </w:r>
      <w:bookmarkEnd w:id="section_002"/>
    </w:p>
    <w:p>
      <w:pPr>
        <w:pStyle w:val="ListBullet"/>
        <w:ind w:firstLine="0"/>
      </w:pPr>
      <w:r>
        <w:rPr>
          <w:rFonts w:ascii="SimSun" w:hAnsi="SimSun" w:eastAsia="SimSun"/>
          <w:b/>
        </w:rPr>
        <w:t>【事实】</w:t>
      </w:r>
      <w:r>
        <w:rPr>
          <w:rFonts w:ascii="SimSun" w:hAnsi="SimSun" w:eastAsia="SimSun"/>
        </w:rPr>
        <w:t>由所列来源直接支持，且只限于该来源涉及的地点、时期和对象。</w:t>
      </w:r>
    </w:p>
    <w:p>
      <w:pPr>
        <w:pStyle w:val="ListBullet"/>
        <w:ind w:firstLine="0"/>
      </w:pPr>
      <w:r>
        <w:rPr>
          <w:rFonts w:ascii="SimSun" w:hAnsi="SimSun" w:eastAsia="SimSun"/>
          <w:b/>
        </w:rPr>
        <w:t>【推断】</w:t>
      </w:r>
      <w:r>
        <w:rPr>
          <w:rFonts w:ascii="SimSun" w:hAnsi="SimSun" w:eastAsia="SimSun"/>
        </w:rPr>
        <w:t>由已知条件作出的有限解释，存在其他可能。</w:t>
      </w:r>
    </w:p>
    <w:p>
      <w:pPr>
        <w:pStyle w:val="ListBullet"/>
        <w:ind w:firstLine="0"/>
      </w:pPr>
      <w:r>
        <w:rPr>
          <w:rFonts w:ascii="SimSun" w:hAnsi="SimSun" w:eastAsia="SimSun"/>
          <w:b/>
        </w:rPr>
        <w:t>【设计选择】</w:t>
      </w:r>
      <w:r>
        <w:rPr>
          <w:rFonts w:ascii="SimSun" w:hAnsi="SimSun" w:eastAsia="SimSun"/>
        </w:rPr>
        <w:t>为本章游戏 brief 作出的原创决定，不宣称为历史做法。</w:t>
      </w:r>
    </w:p>
    <w:p>
      <w:pPr>
        <w:pStyle w:val="ListBullet"/>
        <w:ind w:firstLine="0"/>
      </w:pPr>
      <w:r>
        <w:rPr>
          <w:rFonts w:ascii="SimSun" w:hAnsi="SimSun" w:eastAsia="SimSun"/>
          <w:b/>
        </w:rPr>
        <w:t>【待核】</w:t>
      </w:r>
      <w:r>
        <w:rPr>
          <w:rFonts w:ascii="SimSun" w:hAnsi="SimSun" w:eastAsia="SimSun"/>
        </w:rPr>
        <w:t>目前缺乏足够资料；完成正式出版或具体项目落地前需补查。</w:t>
      </w:r>
    </w:p>
    <w:p>
      <w:pPr>
        <w:widowControl/>
        <w:ind w:firstLine="302"/>
      </w:pPr>
      <w:r>
        <w:rPr>
          <w:rFonts w:ascii="SimSun" w:hAnsi="SimSun" w:eastAsia="SimSun"/>
        </w:rPr>
        <w:t>概念图应先于长篇解释。下文每章先给出“图面说明”，供后续绘制原创游戏概念图使用。它不是历史复原图。正式配图时应区分历史照片、考古平面、学术复原和原创方案，并标明来源、年代与性质。</w:t>
      </w:r>
    </w:p>
    <w:p>
      <w:pPr>
        <w:pStyle w:val="Heading1"/>
      </w:pPr>
      <w:bookmarkStart w:id="section_003" w:name="section_003"/>
      <w:r>
        <w:t>类型图谱：先分辨空间组织</w:t>
      </w:r>
      <w:bookmarkEnd w:id="section_003"/>
    </w:p>
    <w:p>
      <w:pPr>
        <w:keepNext/>
        <w:spacing w:before="80" w:after="40"/>
        <w:jc w:val="center"/>
      </w:pPr>
      <w:r>
        <w:drawing>
          <wp:inline xmlns:a="http://schemas.openxmlformats.org/drawingml/2006/main" xmlns:pic="http://schemas.openxmlformats.org/drawingml/2006/picture">
            <wp:extent cx="5669280" cy="3779520"/>
            <wp:docPr id="1" name="Picture 1" descr="图 0｜前工业居住建筑九类型总览（原创游戏概念设计，用于识别空间组织；非历史复原）" title="图 0｜前工业居住建筑九类型总览（原创游戏概念设计，用于识别空间组织；非历史复原）"/>
            <wp:cNvGraphicFramePr>
              <a:graphicFrameLocks noChangeAspect="1"/>
            </wp:cNvGraphicFramePr>
            <a:graphic>
              <a:graphicData uri="http://schemas.openxmlformats.org/drawingml/2006/picture">
                <pic:pic>
                  <pic:nvPicPr>
                    <pic:cNvPr id="0" name="00-前工业居住类型总览.jpg"/>
                    <pic:cNvPicPr/>
                  </pic:nvPicPr>
                  <pic:blipFill>
                    <a:blip r:embed="rId11"/>
                    <a:stretch>
                      <a:fillRect/>
                    </a:stretch>
                  </pic:blipFill>
                  <pic:spPr>
                    <a:xfrm>
                      <a:off x="0" y="0"/>
                      <a:ext cx="5669280" cy="3779520"/>
                    </a:xfrm>
                    <a:prstGeom prst="rect"/>
                  </pic:spPr>
                </pic:pic>
              </a:graphicData>
            </a:graphic>
          </wp:inline>
        </w:drawing>
      </w:r>
    </w:p>
    <w:p>
      <w:pPr>
        <w:keepNext w:val="0"/>
        <w:spacing w:before="20" w:after="180"/>
        <w:jc w:val="center"/>
      </w:pPr>
      <w:r>
        <w:rPr>
          <w:rFonts w:ascii="SimSun" w:hAnsi="SimSun" w:eastAsia="SimSun"/>
          <w:b/>
          <w:color w:val="5F7778"/>
          <w:sz w:val="19"/>
        </w:rPr>
        <w:t>图 0｜前工业居住建筑九类型总览（原创游戏概念设计，用于识别空间组织；非历史复原）</w:t>
      </w:r>
    </w:p>
    <w:p>
      <w:r>
        <w:br w:type="page"/>
      </w:r>
    </w:p>
    <w:tbl>
      <w:tblPr>
        <w:tblW w:type="dxa" w:w="9245"/>
        <w:jc w:val="center"/>
        <w:tblLayout w:type="fixed"/>
        <w:tblLook w:firstColumn="1" w:firstRow="1" w:lastColumn="0" w:lastRow="0" w:noHBand="0" w:noVBand="1" w:val="04A0"/>
        <w:tblInd w:w="95" w:type="dxa"/>
        <w:tblBorders>
          <w:top w:val="single" w:sz="5" w:space="0" w:color="C8D6D4"/>
          <w:left w:val="single" w:sz="5" w:space="0" w:color="C8D6D4"/>
          <w:bottom w:val="single" w:sz="5" w:space="0" w:color="C8D6D4"/>
          <w:right w:val="single" w:sz="5" w:space="0" w:color="C8D6D4"/>
          <w:insideH w:val="single" w:sz="5" w:space="0" w:color="C8D6D4"/>
          <w:insideV w:val="single" w:sz="5" w:space="0" w:color="C8D6D4"/>
        </w:tblBorders>
      </w:tblPr>
      <w:tblGrid>
        <w:gridCol w:w="2232"/>
        <w:gridCol w:w="2333"/>
        <w:gridCol w:w="2333"/>
        <w:gridCol w:w="2347"/>
      </w:tblGrid>
      <w:tr>
        <w:trPr>
          <w:cantSplit/>
          <w:tblHeader w:val="true"/>
        </w:trPr>
        <w:tc>
          <w:tcPr>
            <w:tcW w:type="dxa" w:w="2232"/>
            <w:vAlign w:val="center"/>
            <w:tcMar>
              <w:top w:w="85" w:type="dxa"/>
              <w:start w:w="95" w:type="dxa"/>
              <w:bottom w:w="85" w:type="dxa"/>
              <w:end w:w="95" w:type="dxa"/>
            </w:tcMar>
            <w:shd w:fill="315B60"/>
          </w:tcPr>
          <w:p>
            <w:pPr>
              <w:keepNext/>
              <w:spacing w:after="0" w:before="0" w:line="278" w:lineRule="auto"/>
              <w:ind w:firstLine="0"/>
            </w:pPr>
            <w:r>
              <w:rPr>
                <w:rFonts w:ascii="SimSun" w:hAnsi="SimSun" w:eastAsia="SimSun"/>
                <w:b/>
                <w:color w:val="FFFFFF"/>
                <w:sz w:val="18"/>
              </w:rPr>
              <w:t>主类型</w:t>
            </w:r>
          </w:p>
        </w:tc>
        <w:tc>
          <w:tcPr>
            <w:tcW w:type="dxa" w:w="2333"/>
            <w:vAlign w:val="center"/>
            <w:tcMar>
              <w:top w:w="85" w:type="dxa"/>
              <w:start w:w="95" w:type="dxa"/>
              <w:bottom w:w="85" w:type="dxa"/>
              <w:end w:w="95" w:type="dxa"/>
            </w:tcMar>
            <w:shd w:fill="315B60"/>
          </w:tcPr>
          <w:p>
            <w:pPr>
              <w:keepNext/>
              <w:spacing w:after="0" w:before="0" w:line="278" w:lineRule="auto"/>
              <w:ind w:firstLine="0"/>
            </w:pPr>
            <w:r>
              <w:rPr>
                <w:rFonts w:ascii="SimSun" w:hAnsi="SimSun" w:eastAsia="SimSun"/>
                <w:b/>
                <w:color w:val="FFFFFF"/>
                <w:sz w:val="18"/>
              </w:rPr>
              <w:t>先看什么</w:t>
            </w:r>
          </w:p>
        </w:tc>
        <w:tc>
          <w:tcPr>
            <w:tcW w:type="dxa" w:w="2333"/>
            <w:vAlign w:val="center"/>
            <w:tcMar>
              <w:top w:w="85" w:type="dxa"/>
              <w:start w:w="95" w:type="dxa"/>
              <w:bottom w:w="85" w:type="dxa"/>
              <w:end w:w="95" w:type="dxa"/>
            </w:tcMar>
            <w:shd w:fill="315B60"/>
          </w:tcPr>
          <w:p>
            <w:pPr>
              <w:keepNext/>
              <w:spacing w:after="0" w:before="0" w:line="278" w:lineRule="auto"/>
              <w:ind w:firstLine="0"/>
            </w:pPr>
            <w:r>
              <w:rPr>
                <w:rFonts w:ascii="SimSun" w:hAnsi="SimSun" w:eastAsia="SimSun"/>
                <w:b/>
                <w:color w:val="FFFFFF"/>
                <w:sz w:val="18"/>
              </w:rPr>
              <w:t>易混淆处</w:t>
            </w:r>
          </w:p>
        </w:tc>
        <w:tc>
          <w:tcPr>
            <w:tcW w:type="dxa" w:w="2347"/>
            <w:vAlign w:val="center"/>
            <w:tcMar>
              <w:top w:w="85" w:type="dxa"/>
              <w:start w:w="95" w:type="dxa"/>
              <w:bottom w:w="85" w:type="dxa"/>
              <w:end w:w="95" w:type="dxa"/>
            </w:tcMar>
            <w:shd w:fill="315B60"/>
          </w:tcPr>
          <w:p>
            <w:pPr>
              <w:keepNext/>
              <w:spacing w:after="0" w:before="0" w:line="278" w:lineRule="auto"/>
              <w:ind w:firstLine="0"/>
            </w:pPr>
            <w:r>
              <w:rPr>
                <w:rFonts w:ascii="SimSun" w:hAnsi="SimSun" w:eastAsia="SimSun"/>
                <w:b/>
                <w:color w:val="FFFFFF"/>
                <w:sz w:val="18"/>
              </w:rPr>
              <w:t>本册案例入口</w:t>
            </w:r>
          </w:p>
        </w:tc>
      </w:tr>
      <w:tr>
        <w:trPr>
          <w:cantSplit/>
        </w:trPr>
        <w:tc>
          <w:tcPr>
            <w:tcW w:type="dxa" w:w="2232"/>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天然庇护与改造型居所</w:t>
            </w:r>
          </w:p>
        </w:tc>
        <w:tc>
          <w:tcPr>
            <w:tcW w:type="dxa" w:w="2333"/>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自然岩壁、洞穴或岩棚承担多少遮蔽；人工围护从哪里开始</w:t>
            </w:r>
          </w:p>
        </w:tc>
        <w:tc>
          <w:tcPr>
            <w:tcW w:type="dxa" w:w="2333"/>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崖壁凹处不一定是洞穴；天然条件并不等于无需建造</w:t>
            </w:r>
          </w:p>
        </w:tc>
        <w:tc>
          <w:tcPr>
            <w:tcW w:type="dxa" w:w="2347"/>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梅萨维德峡谷岩棚中的崖居</w:t>
            </w:r>
          </w:p>
        </w:tc>
      </w:tr>
      <w:tr>
        <w:trPr>
          <w:cantSplit/>
        </w:trPr>
        <w:tc>
          <w:tcPr>
            <w:tcW w:type="dxa" w:w="2232"/>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可移动、轻型住所</w:t>
            </w:r>
          </w:p>
        </w:tc>
        <w:tc>
          <w:tcPr>
            <w:tcW w:type="dxa" w:w="2333"/>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支撑、覆盖、固定、收纳和迁移是否构成一个轻型系统</w:t>
            </w:r>
          </w:p>
        </w:tc>
        <w:tc>
          <w:tcPr>
            <w:tcW w:type="dxa" w:w="2333"/>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湖岸营地不是固定模板；短住不等于没有空间组织</w:t>
            </w:r>
          </w:p>
        </w:tc>
        <w:tc>
          <w:tcPr>
            <w:tcW w:type="dxa" w:w="2347"/>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原创湖岸流动营地 brief</w:t>
            </w:r>
          </w:p>
        </w:tc>
      </w:tr>
      <w:tr>
        <w:trPr>
          <w:cantSplit/>
        </w:trPr>
        <w:tc>
          <w:tcPr>
            <w:tcW w:type="dxa" w:w="2232"/>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坑式或半地下住所</w:t>
            </w:r>
          </w:p>
        </w:tc>
        <w:tc>
          <w:tcPr>
            <w:tcW w:type="dxa" w:w="2333"/>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居住面相对地面的高差，以及入口、火塘、屋顶的关系</w:t>
            </w:r>
          </w:p>
        </w:tc>
        <w:tc>
          <w:tcPr>
            <w:tcW w:type="dxa" w:w="2333"/>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“半地下”不自动意味着全年更暖或更安全</w:t>
            </w:r>
          </w:p>
        </w:tc>
        <w:tc>
          <w:tcPr>
            <w:tcW w:type="dxa" w:w="2347"/>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梅萨维德早期坑式住宅</w:t>
            </w:r>
          </w:p>
        </w:tc>
      </w:tr>
      <w:tr>
        <w:trPr>
          <w:cantSplit/>
        </w:trPr>
        <w:tc>
          <w:tcPr>
            <w:tcW w:type="dxa" w:w="2232"/>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架空或桩基住所</w:t>
            </w:r>
          </w:p>
        </w:tc>
        <w:tc>
          <w:tcPr>
            <w:tcW w:type="dxa" w:w="2333"/>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支撑点与居住平台是否形成明显高差；如何上下、修理</w:t>
            </w:r>
          </w:p>
        </w:tc>
        <w:tc>
          <w:tcPr>
            <w:tcW w:type="dxa" w:w="2333"/>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考古学中的“桩基遗址”不都代表房屋高架在水上</w:t>
            </w:r>
          </w:p>
        </w:tc>
        <w:tc>
          <w:tcPr>
            <w:tcW w:type="dxa" w:w="2347"/>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阿尔卑斯周边遗址；拉瓦尼奥内建造方式</w:t>
            </w:r>
          </w:p>
        </w:tc>
      </w:tr>
      <w:tr>
        <w:trPr>
          <w:cantSplit/>
        </w:trPr>
        <w:tc>
          <w:tcPr>
            <w:tcW w:type="dxa" w:w="2232"/>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独立家屋</w:t>
            </w:r>
          </w:p>
        </w:tc>
        <w:tc>
          <w:tcPr>
            <w:tcW w:type="dxa" w:w="2333"/>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一个主要居住建筑如何组织家庭生活；火源或主空间是否居中</w:t>
            </w:r>
          </w:p>
        </w:tc>
        <w:tc>
          <w:tcPr>
            <w:tcW w:type="dxa" w:w="2333"/>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“独立家屋”是宽类型，内部可有多种分区</w:t>
            </w:r>
          </w:p>
        </w:tc>
        <w:tc>
          <w:tcPr>
            <w:tcW w:type="dxa" w:w="2347"/>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英格兰 Fox Hall 中世纪厅堂住宅</w:t>
            </w:r>
          </w:p>
        </w:tc>
      </w:tr>
      <w:tr>
        <w:trPr>
          <w:cantSplit/>
        </w:trPr>
        <w:tc>
          <w:tcPr>
            <w:tcW w:type="dxa" w:w="2232"/>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长屋与共享居所</w:t>
            </w:r>
          </w:p>
        </w:tc>
        <w:tc>
          <w:tcPr>
            <w:tcW w:type="dxa" w:w="2333"/>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长向空间如何容纳一个或多个家庭；内部如何分段</w:t>
            </w:r>
          </w:p>
        </w:tc>
        <w:tc>
          <w:tcPr>
            <w:tcW w:type="dxa" w:w="2333"/>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“长屋”不是单一民族、单一平面的名称</w:t>
            </w:r>
          </w:p>
        </w:tc>
        <w:tc>
          <w:tcPr>
            <w:tcW w:type="dxa" w:w="2347"/>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切萨皮克地区原住民长屋资料</w:t>
            </w:r>
          </w:p>
        </w:tc>
      </w:tr>
      <w:tr>
        <w:trPr>
          <w:cantSplit/>
        </w:trPr>
        <w:tc>
          <w:tcPr>
            <w:tcW w:type="dxa" w:w="2232"/>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院落式家屋</w:t>
            </w:r>
          </w:p>
        </w:tc>
        <w:tc>
          <w:tcPr>
            <w:tcW w:type="dxa" w:w="2333"/>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家庭空间是否围绕或沿着内院组织；从街道到内院如何过渡</w:t>
            </w:r>
          </w:p>
        </w:tc>
        <w:tc>
          <w:tcPr>
            <w:tcW w:type="dxa" w:w="2333"/>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院落家屋不是院落农场、公共广场或所有围合空间的同义词</w:t>
            </w:r>
          </w:p>
        </w:tc>
        <w:tc>
          <w:tcPr>
            <w:tcW w:type="dxa" w:w="2347"/>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印度艾哈迈达巴德传统家屋</w:t>
            </w:r>
          </w:p>
        </w:tc>
      </w:tr>
      <w:tr>
        <w:trPr>
          <w:cantSplit/>
        </w:trPr>
        <w:tc>
          <w:tcPr>
            <w:tcW w:type="dxa" w:w="2232"/>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连排或共墙家屋</w:t>
            </w:r>
          </w:p>
        </w:tc>
        <w:tc>
          <w:tcPr>
            <w:tcW w:type="dxa" w:w="2333"/>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多户如何沿街成行、共墙或面对公共空间；后侧空间如何连接</w:t>
            </w:r>
          </w:p>
        </w:tc>
        <w:tc>
          <w:tcPr>
            <w:tcW w:type="dxa" w:w="2333"/>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“成行”不一定共墙；共墙也不必是同一种街区组织</w:t>
            </w:r>
          </w:p>
        </w:tc>
        <w:tc>
          <w:tcPr>
            <w:tcW w:type="dxa" w:w="2347"/>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英格兰 East Matfen；艾哈迈达巴德 pol 街区作比较</w:t>
            </w:r>
          </w:p>
        </w:tc>
      </w:tr>
      <w:tr>
        <w:trPr>
          <w:cantSplit/>
        </w:trPr>
        <w:tc>
          <w:tcPr>
            <w:tcW w:type="dxa" w:w="2232"/>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多层多户住宅</w:t>
            </w:r>
          </w:p>
        </w:tc>
        <w:tc>
          <w:tcPr>
            <w:tcW w:type="dxa" w:w="2333"/>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垂直楼层、楼梯、共享通道和居住单元如何配合</w:t>
            </w:r>
          </w:p>
        </w:tc>
        <w:tc>
          <w:tcPr>
            <w:tcW w:type="dxa" w:w="2333"/>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古代 insula 不能直接等同现代公寓</w:t>
            </w:r>
          </w:p>
        </w:tc>
        <w:tc>
          <w:tcPr>
            <w:tcW w:type="dxa" w:w="2347"/>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罗马奥斯提亚一栋 insula</w:t>
            </w:r>
          </w:p>
        </w:tc>
      </w:tr>
    </w:tbl>
    <w:p>
      <w:pPr>
        <w:spacing w:after="40"/>
      </w:pPr>
    </w:p>
    <w:p>
      <w:pPr>
        <w:widowControl/>
        <w:ind w:firstLine="302"/>
      </w:pPr>
      <w:r>
        <w:rPr>
          <w:rFonts w:ascii="SimSun" w:hAnsi="SimSun" w:eastAsia="SimSun"/>
          <w:b/>
        </w:rPr>
        <w:t>交叉索引示例：</w:t>
      </w:r>
      <w:r>
        <w:rPr>
          <w:rFonts w:ascii="SimSun" w:hAnsi="SimSun" w:eastAsia="SimSun"/>
        </w:rPr>
        <w:t xml:space="preserve">福建土楼同时具有院落、多层、多人共居和防护等属性。它不是上述类型中的单一答案。UNESCO 登记对象横跨 15 至 20 世纪，正式收入本册前应挑出具体建筑、核准建造年代，不能把整个名单不加区分地统称为前工业案例。参见 </w:t>
      </w:r>
      <w:hyperlink r:id="rId12">
        <w:r>
          <w:rPr>
            <w:color w:val="237E86"/>
            <w:u w:val="single"/>
            <w:rFonts w:eastAsia="SimSun" w:ascii="SimSun" w:hAnsi="SimSun"/>
            <w:sz w:val="21"/>
          </w:rPr>
          <w:t>UNESCO 福建土楼条目</w:t>
        </w:r>
      </w:hyperlink>
      <w:r>
        <w:rPr>
          <w:rFonts w:ascii="SimSun" w:hAnsi="SimSun" w:eastAsia="SimSun"/>
        </w:rPr>
        <w:t>。</w:t>
      </w:r>
    </w:p>
    <w:p>
      <w:pPr>
        <w:pStyle w:val="Heading1"/>
        <w:pageBreakBefore/>
      </w:pPr>
      <w:bookmarkStart w:id="section_004" w:name="section_004"/>
      <w:r>
        <w:t>第一编：由自然和地面条件组织的家宅</w:t>
      </w:r>
      <w:bookmarkEnd w:id="section_004"/>
    </w:p>
    <w:p>
      <w:pPr>
        <w:pStyle w:val="Heading1"/>
        <w:keepNext/>
        <w:pageBreakBefore w:val="0"/>
      </w:pPr>
      <w:bookmarkStart w:id="section_005" w:name="section_005"/>
      <w:r>
        <w:t>第 1 章 天然庇护与改造型居所：岩棚下的家宅</w:t>
      </w:r>
      <w:bookmarkEnd w:id="section_005"/>
    </w:p>
    <w:p>
      <w:pPr>
        <w:pStyle w:val="Heading2"/>
      </w:pPr>
      <w:bookmarkStart w:id="section_006" w:name="section_006"/>
      <w:r>
        <w:t>类型识别卡与图面说明</w:t>
      </w:r>
      <w:bookmarkEnd w:id="section_006"/>
    </w:p>
    <w:p>
      <w:pPr>
        <w:keepNext/>
        <w:spacing w:before="80" w:after="40"/>
        <w:jc w:val="center"/>
      </w:pPr>
      <w:r>
        <w:drawing>
          <wp:inline xmlns:a="http://schemas.openxmlformats.org/drawingml/2006/main" xmlns:pic="http://schemas.openxmlformats.org/drawingml/2006/picture">
            <wp:extent cx="5806440" cy="3870960"/>
            <wp:docPr id="2" name="Picture 2" descr="图 1｜天然庇护与改造型居所：岩棚下的家宅（原创游戏概念设计，非历史复原）" title="图 1｜天然庇护与改造型居所：岩棚下的家宅（原创游戏概念设计，非历史复原）"/>
            <wp:cNvGraphicFramePr>
              <a:graphicFrameLocks noChangeAspect="1"/>
            </wp:cNvGraphicFramePr>
            <a:graphic>
              <a:graphicData uri="http://schemas.openxmlformats.org/drawingml/2006/picture">
                <pic:pic>
                  <pic:nvPicPr>
                    <pic:cNvPr id="0" name="01-天然庇护与改造型居所.jpg"/>
                    <pic:cNvPicPr/>
                  </pic:nvPicPr>
                  <pic:blipFill>
                    <a:blip r:embed="rId13"/>
                    <a:stretch>
                      <a:fillRect/>
                    </a:stretch>
                  </pic:blipFill>
                  <pic:spPr>
                    <a:xfrm>
                      <a:off x="0" y="0"/>
                      <a:ext cx="5806440" cy="3870960"/>
                    </a:xfrm>
                    <a:prstGeom prst="rect"/>
                  </pic:spPr>
                </pic:pic>
              </a:graphicData>
            </a:graphic>
          </wp:inline>
        </w:drawing>
      </w:r>
    </w:p>
    <w:p>
      <w:pPr>
        <w:keepNext/>
        <w:spacing w:before="20" w:after="180"/>
        <w:jc w:val="center"/>
      </w:pPr>
      <w:r>
        <w:rPr>
          <w:rFonts w:ascii="SimSun" w:hAnsi="SimSun" w:eastAsia="SimSun"/>
          <w:b/>
          <w:color w:val="5F7778"/>
          <w:sz w:val="19"/>
        </w:rPr>
        <w:t>图 1｜天然庇护与改造型居所：岩棚下的家宅（原创游戏概念设计，非历史复原）</w:t>
      </w:r>
    </w:p>
    <w:p>
      <w:pPr>
        <w:widowControl/>
        <w:ind w:firstLine="302"/>
      </w:pPr>
      <w:r>
        <w:rPr>
          <w:rFonts w:ascii="SimSun" w:hAnsi="SimSun" w:eastAsia="SimSun"/>
          <w:b/>
        </w:rPr>
        <w:t>【事实｜案例入口】</w:t>
      </w:r>
      <w:r>
        <w:rPr>
          <w:rFonts w:ascii="SimSun" w:hAnsi="SimSun" w:eastAsia="SimSun"/>
        </w:rPr>
        <w:t>梅萨维德的祖先普韦布洛人崖居。国家公园管理局说明，岩棚是崖壁上的浅凹处，不等同地下洞穴；当地多数崖侧聚落约建于公元 1180—1280 年。以 Cliff Palace 为例，建筑使用砂岩块和由黏土、灰烬与水构成的灰浆；其他遗址的材料和年代仍需逐例确认。部分岩棚附近有渗水泉；岩棚可遮挡风雪，但崖壁落石与水蚀也是持续存在的环境因素。</w:t>
      </w:r>
      <w:hyperlink r:id="rId14">
        <w:r>
          <w:rPr>
            <w:color w:val="237E86"/>
            <w:u w:val="single"/>
            <w:rFonts w:eastAsia="SimSun" w:ascii="SimSun" w:hAnsi="SimSun"/>
            <w:sz w:val="21"/>
          </w:rPr>
          <w:t>梅萨维德崖居资料</w:t>
        </w:r>
      </w:hyperlink>
      <w:r>
        <w:rPr>
          <w:rFonts w:ascii="SimSun" w:hAnsi="SimSun" w:eastAsia="SimSun"/>
        </w:rPr>
        <w:t>；</w:t>
      </w:r>
      <w:hyperlink r:id="rId15">
        <w:r>
          <w:rPr>
            <w:color w:val="237E86"/>
            <w:u w:val="single"/>
            <w:rFonts w:eastAsia="SimSun" w:ascii="SimSun" w:hAnsi="SimSun"/>
            <w:sz w:val="21"/>
          </w:rPr>
          <w:t>Cliff Palace 建筑材料说明</w:t>
        </w:r>
      </w:hyperlink>
      <w:r>
        <w:rPr>
          <w:rFonts w:ascii="SimSun" w:hAnsi="SimSun" w:eastAsia="SimSun"/>
        </w:rPr>
        <w:t>；</w:t>
      </w:r>
      <w:hyperlink r:id="rId16">
        <w:r>
          <w:rPr>
            <w:color w:val="237E86"/>
            <w:u w:val="single"/>
            <w:rFonts w:eastAsia="SimSun" w:ascii="SimSun" w:hAnsi="SimSun"/>
            <w:sz w:val="21"/>
          </w:rPr>
          <w:t>岩棚地质说明</w:t>
        </w:r>
      </w:hyperlink>
    </w:p>
    <w:p>
      <w:pPr>
        <w:widowControl/>
        <w:ind w:firstLine="302"/>
      </w:pPr>
      <w:r>
        <w:rPr>
          <w:rFonts w:ascii="SimSun" w:hAnsi="SimSun" w:eastAsia="SimSun"/>
          <w:b/>
        </w:rPr>
        <w:t>先看图：</w:t>
      </w:r>
      <w:r>
        <w:rPr>
          <w:rFonts w:ascii="SimSun" w:hAnsi="SimSun" w:eastAsia="SimSun"/>
        </w:rPr>
        <w:t>原创图应画出崖壁剖面、岩棚、人工墙体、入口路径、水源方向和活动区。天然岩面与人工墙体用不同纹理，不要把它画成“整座房屋塞进洞里”的无差别洞穴。</w:t>
      </w:r>
    </w:p>
    <w:p>
      <w:pPr>
        <w:pStyle w:val="Heading2"/>
      </w:pPr>
      <w:bookmarkStart w:id="section_007" w:name="section_007"/>
      <w:r>
        <w:t>原创游戏 brief</w:t>
      </w:r>
      <w:bookmarkEnd w:id="section_007"/>
    </w:p>
    <w:p>
      <w:pPr>
        <w:widowControl/>
        <w:ind w:firstLine="302"/>
      </w:pPr>
      <w:r>
        <w:rPr>
          <w:rFonts w:ascii="SimSun" w:hAnsi="SimSun" w:eastAsia="SimSun"/>
          <w:b/>
        </w:rPr>
        <w:t>【设计选择】</w:t>
      </w:r>
      <w:r>
        <w:rPr>
          <w:rFonts w:ascii="SimSun" w:hAnsi="SimSun" w:eastAsia="SimSun"/>
        </w:rPr>
        <w:t>场景是一处可长期使用的峡谷岩棚家宅。玩家规划居住、储物和日常维护；岩棚深度、入口高差、季节风向、落石风险和水源位置由关卡地图确定。本章不假设所有岩棚都同时具备泉水、宽阔平台或安全的单一路径。</w:t>
      </w:r>
    </w:p>
    <w:p>
      <w:pPr>
        <w:pStyle w:val="Heading2"/>
      </w:pPr>
      <w:bookmarkStart w:id="section_008" w:name="section_008"/>
      <w:r>
        <w:t>活动、功能与空间</w:t>
      </w:r>
      <w:bookmarkEnd w:id="section_008"/>
    </w:p>
    <w:p>
      <w:pPr>
        <w:widowControl/>
        <w:ind w:firstLine="302"/>
      </w:pPr>
      <w:r>
        <w:rPr>
          <w:rFonts w:ascii="SimSun" w:hAnsi="SimSun" w:eastAsia="SimSun"/>
        </w:rPr>
        <w:t>先列出抵达、卸物、休息、炊食、储物、制作或修理、清扫和维护，再逐项问哪些活动需要遮蔽、平整地面或接近室外。不要因为这是家宅就自动增添现代房间名称。</w:t>
      </w:r>
    </w:p>
    <w:tbl>
      <w:tblPr>
        <w:tblW w:type="dxa" w:w="9245"/>
        <w:jc w:val="center"/>
        <w:tblLayout w:type="fixed"/>
        <w:tblLook w:firstColumn="1" w:firstRow="1" w:lastColumn="0" w:lastRow="0" w:noHBand="0" w:noVBand="1" w:val="04A0"/>
        <w:tblInd w:w="95" w:type="dxa"/>
        <w:tblBorders>
          <w:top w:val="single" w:sz="5" w:space="0" w:color="C8D6D4"/>
          <w:left w:val="single" w:sz="5" w:space="0" w:color="C8D6D4"/>
          <w:bottom w:val="single" w:sz="5" w:space="0" w:color="C8D6D4"/>
          <w:right w:val="single" w:sz="5" w:space="0" w:color="C8D6D4"/>
          <w:insideH w:val="single" w:sz="5" w:space="0" w:color="C8D6D4"/>
          <w:insideV w:val="single" w:sz="5" w:space="0" w:color="C8D6D4"/>
        </w:tblBorders>
      </w:tblPr>
      <w:tblGrid>
        <w:gridCol w:w="1699"/>
        <w:gridCol w:w="3658"/>
        <w:gridCol w:w="3888"/>
      </w:tblGrid>
      <w:tr>
        <w:trPr>
          <w:cantSplit/>
          <w:tblHeader w:val="true"/>
        </w:trPr>
        <w:tc>
          <w:tcPr>
            <w:tcW w:type="dxa" w:w="1699"/>
            <w:vAlign w:val="center"/>
            <w:tcMar>
              <w:top w:w="85" w:type="dxa"/>
              <w:start w:w="95" w:type="dxa"/>
              <w:bottom w:w="85" w:type="dxa"/>
              <w:end w:w="95" w:type="dxa"/>
            </w:tcMar>
            <w:shd w:fill="315B60"/>
          </w:tcPr>
          <w:p>
            <w:pPr>
              <w:keepNext/>
              <w:spacing w:after="0" w:before="0" w:line="278" w:lineRule="auto"/>
              <w:ind w:firstLine="0"/>
            </w:pPr>
            <w:r>
              <w:rPr>
                <w:rFonts w:ascii="SimSun" w:hAnsi="SimSun" w:eastAsia="SimSun"/>
                <w:b/>
                <w:color w:val="FFFFFF"/>
                <w:sz w:val="18"/>
              </w:rPr>
              <w:t>顺序</w:t>
            </w:r>
          </w:p>
        </w:tc>
        <w:tc>
          <w:tcPr>
            <w:tcW w:type="dxa" w:w="3658"/>
            <w:vAlign w:val="center"/>
            <w:tcMar>
              <w:top w:w="85" w:type="dxa"/>
              <w:start w:w="95" w:type="dxa"/>
              <w:bottom w:w="85" w:type="dxa"/>
              <w:end w:w="95" w:type="dxa"/>
            </w:tcMar>
            <w:shd w:fill="315B60"/>
          </w:tcPr>
          <w:p>
            <w:pPr>
              <w:keepNext/>
              <w:spacing w:after="0" w:before="0" w:line="278" w:lineRule="auto"/>
              <w:ind w:firstLine="0"/>
            </w:pPr>
            <w:r>
              <w:rPr>
                <w:rFonts w:ascii="SimSun" w:hAnsi="SimSun" w:eastAsia="SimSun"/>
                <w:b/>
                <w:color w:val="FFFFFF"/>
                <w:sz w:val="18"/>
              </w:rPr>
              <w:t>区域／功能</w:t>
            </w:r>
          </w:p>
        </w:tc>
        <w:tc>
          <w:tcPr>
            <w:tcW w:type="dxa" w:w="3888"/>
            <w:vAlign w:val="center"/>
            <w:tcMar>
              <w:top w:w="85" w:type="dxa"/>
              <w:start w:w="95" w:type="dxa"/>
              <w:bottom w:w="85" w:type="dxa"/>
              <w:end w:w="95" w:type="dxa"/>
            </w:tcMar>
            <w:shd w:fill="315B60"/>
          </w:tcPr>
          <w:p>
            <w:pPr>
              <w:keepNext/>
              <w:spacing w:after="0" w:before="0" w:line="278" w:lineRule="auto"/>
              <w:ind w:firstLine="0"/>
            </w:pPr>
            <w:r>
              <w:rPr>
                <w:rFonts w:ascii="SimSun" w:hAnsi="SimSun" w:eastAsia="SimSun"/>
                <w:b/>
                <w:color w:val="FFFFFF"/>
                <w:sz w:val="18"/>
              </w:rPr>
              <w:t>使用者与时机；关系与限制</w:t>
            </w:r>
          </w:p>
        </w:tc>
      </w:tr>
      <w:tr>
        <w:trPr>
          <w:cantSplit/>
        </w:trPr>
        <w:tc>
          <w:tcPr>
            <w:tcW w:type="dxa" w:w="1699"/>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1</w:t>
            </w:r>
          </w:p>
        </w:tc>
        <w:tc>
          <w:tcPr>
            <w:tcW w:type="dxa" w:w="3658"/>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崖壁通路与入口平台</w:t>
            </w:r>
          </w:p>
        </w:tc>
        <w:tc>
          <w:tcPr>
            <w:tcW w:type="dxa" w:w="3888"/>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住户、访客和搬运者到达时使用；路线狭窄时，搬运和会客可能争用空间。</w:t>
            </w:r>
          </w:p>
        </w:tc>
      </w:tr>
      <w:tr>
        <w:trPr>
          <w:cantSplit/>
        </w:trPr>
        <w:tc>
          <w:tcPr>
            <w:tcW w:type="dxa" w:w="1699"/>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2</w:t>
            </w:r>
          </w:p>
        </w:tc>
        <w:tc>
          <w:tcPr>
            <w:tcW w:type="dxa" w:w="3658"/>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主要生活区</w:t>
            </w:r>
          </w:p>
        </w:tc>
        <w:tc>
          <w:tcPr>
            <w:tcW w:type="dxa" w:w="3888"/>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住户休息或进行需要遮蔽的活动时使用；采光、通风和烟气须按地图验证。</w:t>
            </w:r>
          </w:p>
        </w:tc>
      </w:tr>
      <w:tr>
        <w:trPr>
          <w:cantSplit/>
        </w:trPr>
        <w:tc>
          <w:tcPr>
            <w:tcW w:type="dxa" w:w="1699"/>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3</w:t>
            </w:r>
          </w:p>
        </w:tc>
        <w:tc>
          <w:tcPr>
            <w:tcW w:type="dxa" w:w="3658"/>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人工围护区</w:t>
            </w:r>
          </w:p>
        </w:tc>
        <w:tc>
          <w:tcPr>
            <w:tcW w:type="dxa" w:w="3888"/>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需要保护物品时使用；依防潮、防风或防动物需求决定是否砌墙、加门或做可维修围护。</w:t>
            </w:r>
          </w:p>
        </w:tc>
      </w:tr>
      <w:tr>
        <w:trPr>
          <w:cantSplit/>
        </w:trPr>
        <w:tc>
          <w:tcPr>
            <w:tcW w:type="dxa" w:w="1699"/>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4</w:t>
            </w:r>
          </w:p>
        </w:tc>
        <w:tc>
          <w:tcPr>
            <w:tcW w:type="dxa" w:w="3658"/>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外缘工作区</w:t>
            </w:r>
          </w:p>
        </w:tc>
        <w:tc>
          <w:tcPr>
            <w:tcW w:type="dxa" w:w="3888"/>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需要较多光线或直接接近室外的活动可在此进行，代价是更受天气影响。</w:t>
            </w:r>
          </w:p>
        </w:tc>
      </w:tr>
      <w:tr>
        <w:trPr>
          <w:cantSplit/>
        </w:trPr>
        <w:tc>
          <w:tcPr>
            <w:tcW w:type="dxa" w:w="1699"/>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5</w:t>
            </w:r>
          </w:p>
        </w:tc>
        <w:tc>
          <w:tcPr>
            <w:tcW w:type="dxa" w:w="3658"/>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排水与崖壁维护点</w:t>
            </w:r>
          </w:p>
        </w:tc>
        <w:tc>
          <w:tcPr>
            <w:tcW w:type="dxa" w:w="3888"/>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降雨后或例行检查时由维护者查看；雨水和落石风险不能只靠室内维修解决。</w:t>
            </w:r>
          </w:p>
        </w:tc>
      </w:tr>
    </w:tbl>
    <w:p>
      <w:pPr>
        <w:spacing w:after="40"/>
      </w:pPr>
    </w:p>
    <w:p>
      <w:pPr>
        <w:widowControl/>
        <w:ind w:firstLine="302"/>
      </w:pPr>
      <w:r>
        <w:rPr>
          <w:rFonts w:ascii="SimSun" w:hAnsi="SimSun" w:eastAsia="SimSun"/>
        </w:rPr>
        <w:t>因为岩壁提供部分遮蔽，游戏方案可能减少外墙或屋面；但岩棚边界不规整，不能直接套入矩形房间。入口位置同时决定搬运、访客接近和撤离。玩家路线从外部通路进入生活区或储物区；物资路线标出搬入、临时放置、取用和修理。</w:t>
      </w:r>
    </w:p>
    <w:p>
      <w:pPr>
        <w:widowControl/>
        <w:ind w:firstLine="302"/>
      </w:pPr>
      <w:r>
        <w:rPr>
          <w:rFonts w:ascii="SimSun" w:hAnsi="SimSun" w:eastAsia="SimSun"/>
        </w:rPr>
        <w:t>闭环检查住户如何抵达、雨水和碎屑是否影响居住、围护如何修补、离开时如何带走物资。</w:t>
      </w:r>
      <w:r>
        <w:rPr>
          <w:rFonts w:ascii="SimSun" w:hAnsi="SimSun" w:eastAsia="SimSun"/>
          <w:b/>
        </w:rPr>
        <w:t>【待核】</w:t>
      </w:r>
      <w:r>
        <w:rPr>
          <w:rFonts w:ascii="SimSun" w:hAnsi="SimSun" w:eastAsia="SimSun"/>
        </w:rPr>
        <w:t>具体遗址的住户构成、各室用途、入口控制和季节性使用须查对应遗址报告，不能由“崖居”一词推定。</w:t>
      </w:r>
    </w:p>
    <w:p>
      <w:pPr>
        <w:pStyle w:val="Heading2"/>
      </w:pPr>
      <w:bookmarkStart w:id="section_009" w:name="section_009"/>
      <w:r>
        <w:t>共性、变体与练习</w:t>
      </w:r>
      <w:bookmarkEnd w:id="section_009"/>
    </w:p>
    <w:p>
      <w:pPr>
        <w:widowControl/>
        <w:ind w:firstLine="302"/>
      </w:pPr>
      <w:r>
        <w:rPr>
          <w:rFonts w:ascii="SimSun" w:hAnsi="SimSun" w:eastAsia="SimSun"/>
        </w:rPr>
        <w:t>共同问题是自然边界与人工边界如何接合；变体来自岩棚大小、稳定性、出入难度和围护程度。练习：为有两个可能入口的岩棚家宅画主入口、危险边缘、物资放置点和撤离路线，并说明保留多少岩面、增建多少围护。</w:t>
      </w:r>
    </w:p>
    <w:p>
      <w:pPr>
        <w:pStyle w:val="Heading1"/>
        <w:keepNext/>
        <w:pageBreakBefore/>
      </w:pPr>
      <w:bookmarkStart w:id="section_010" w:name="section_010"/>
      <w:r>
        <w:t>第 2 章 可移动、轻型住所：湖岸流动营地</w:t>
      </w:r>
      <w:bookmarkEnd w:id="section_010"/>
    </w:p>
    <w:p>
      <w:pPr>
        <w:pStyle w:val="Heading2"/>
      </w:pPr>
      <w:bookmarkStart w:id="section_011" w:name="section_011"/>
      <w:r>
        <w:t>类型识别卡与图面说明</w:t>
      </w:r>
      <w:bookmarkEnd w:id="section_011"/>
    </w:p>
    <w:p>
      <w:pPr>
        <w:keepNext/>
        <w:spacing w:before="80" w:after="40"/>
        <w:jc w:val="center"/>
      </w:pPr>
      <w:r>
        <w:drawing>
          <wp:inline xmlns:a="http://schemas.openxmlformats.org/drawingml/2006/main" xmlns:pic="http://schemas.openxmlformats.org/drawingml/2006/picture">
            <wp:extent cx="5806440" cy="3870960"/>
            <wp:docPr id="3" name="Picture 3" descr="图 2｜可移动、轻型住所：湖岸流动营地（原创游戏概念设计，非历史复原）" title="图 2｜可移动、轻型住所：湖岸流动营地（原创游戏概念设计，非历史复原）"/>
            <wp:cNvGraphicFramePr>
              <a:graphicFrameLocks noChangeAspect="1"/>
            </wp:cNvGraphicFramePr>
            <a:graphic>
              <a:graphicData uri="http://schemas.openxmlformats.org/drawingml/2006/picture">
                <pic:pic>
                  <pic:nvPicPr>
                    <pic:cNvPr id="0" name="02-可移动轻型住所.jpg"/>
                    <pic:cNvPicPr/>
                  </pic:nvPicPr>
                  <pic:blipFill>
                    <a:blip r:embed="rId17"/>
                    <a:stretch>
                      <a:fillRect/>
                    </a:stretch>
                  </pic:blipFill>
                  <pic:spPr>
                    <a:xfrm>
                      <a:off x="0" y="0"/>
                      <a:ext cx="5806440" cy="3870960"/>
                    </a:xfrm>
                    <a:prstGeom prst="rect"/>
                  </pic:spPr>
                </pic:pic>
              </a:graphicData>
            </a:graphic>
          </wp:inline>
        </w:drawing>
      </w:r>
    </w:p>
    <w:p>
      <w:pPr>
        <w:keepNext/>
        <w:spacing w:before="20" w:after="180"/>
        <w:jc w:val="center"/>
      </w:pPr>
      <w:r>
        <w:rPr>
          <w:rFonts w:ascii="SimSun" w:hAnsi="SimSun" w:eastAsia="SimSun"/>
          <w:b/>
          <w:color w:val="5F7778"/>
          <w:sz w:val="19"/>
        </w:rPr>
        <w:t>图 2｜可移动、轻型住所：湖岸流动营地（原创游戏概念设计，非历史复原）</w:t>
      </w:r>
    </w:p>
    <w:p>
      <w:pPr>
        <w:widowControl/>
        <w:ind w:firstLine="302"/>
      </w:pPr>
      <w:r>
        <w:rPr>
          <w:rFonts w:ascii="SimSun" w:hAnsi="SimSun" w:eastAsia="SimSun"/>
          <w:b/>
        </w:rPr>
        <w:t>【事实｜历史参照】</w:t>
      </w:r>
      <w:r>
        <w:rPr>
          <w:rFonts w:ascii="SimSun" w:hAnsi="SimSun" w:eastAsia="SimSun"/>
        </w:rPr>
        <w:t>以色列加利利海西南岸的 Ohalo II 是一个约 23,000 年前的湖岸渔猎采集营地。遗址保存了六座灌木构架住所、多个露天火塘群、墓葬和其他活动遗迹；其中一座住所发现草本铺垫，研究者结合火塘、工作遗迹和铺垫辨认出居住、工作与休息位置。</w:t>
      </w:r>
      <w:hyperlink r:id="rId18">
        <w:r>
          <w:rPr>
            <w:color w:val="237E86"/>
            <w:u w:val="single"/>
            <w:rFonts w:eastAsia="SimSun" w:ascii="SimSun" w:hAnsi="SimSun"/>
            <w:sz w:val="21"/>
          </w:rPr>
          <w:t>Ohalo II 居住铺垫研究</w:t>
        </w:r>
      </w:hyperlink>
      <w:r>
        <w:rPr>
          <w:rFonts w:ascii="SimSun" w:hAnsi="SimSun" w:eastAsia="SimSun"/>
        </w:rPr>
        <w:t>；</w:t>
      </w:r>
      <w:hyperlink r:id="rId19">
        <w:r>
          <w:rPr>
            <w:color w:val="237E86"/>
            <w:u w:val="single"/>
            <w:rFonts w:eastAsia="SimSun" w:ascii="SimSun" w:hAnsi="SimSun"/>
            <w:sz w:val="21"/>
          </w:rPr>
          <w:t>Ohalo II 遗址与住所研究</w:t>
        </w:r>
      </w:hyperlink>
      <w:r>
        <w:rPr>
          <w:rFonts w:ascii="SimSun" w:hAnsi="SimSun" w:eastAsia="SimSun"/>
        </w:rPr>
        <w:t xml:space="preserve"> 这处遗址因长期处于水下而保存了罕见的有机材料，不能据此推定一般湖岸营地会留下同样完整的平面。营地的组织受社会关系和环境影响；民族志和考古研究均不支持把一种排列推广为全体狩猎采集者的标准图式。</w:t>
      </w:r>
      <w:hyperlink r:id="rId20">
        <w:r>
          <w:rPr>
            <w:color w:val="237E86"/>
            <w:u w:val="single"/>
            <w:rFonts w:eastAsia="SimSun" w:ascii="SimSun" w:hAnsi="SimSun"/>
            <w:sz w:val="21"/>
          </w:rPr>
          <w:t>剑桥大学：狩猎采集营地中的人群与空间</w:t>
        </w:r>
      </w:hyperlink>
    </w:p>
    <w:p>
      <w:pPr>
        <w:widowControl/>
        <w:ind w:firstLine="302"/>
      </w:pPr>
      <w:r>
        <w:rPr>
          <w:rFonts w:ascii="SimSun" w:hAnsi="SimSun" w:eastAsia="SimSun"/>
          <w:b/>
        </w:rPr>
        <w:t>本章边界：</w:t>
      </w:r>
      <w:r>
        <w:rPr>
          <w:rFonts w:ascii="SimSun" w:hAnsi="SimSun" w:eastAsia="SimSun"/>
        </w:rPr>
        <w:t>下文的游戏营地是原创设计，不复原 Ohalo II 或某个真实族群。Ohalo II 提供的是可核验的空间线索：住所与露天火塘可以并存；住所内部可以同时出现休息、工具／食物活动的痕迹；同一营地中不止一个住所或火塘。具体游戏布局仍由 brief 决定。</w:t>
      </w:r>
    </w:p>
    <w:p>
      <w:pPr>
        <w:widowControl/>
        <w:ind w:firstLine="302"/>
      </w:pPr>
      <w:r>
        <w:rPr>
          <w:rFonts w:ascii="SimSun" w:hAnsi="SimSun" w:eastAsia="SimSun"/>
          <w:b/>
        </w:rPr>
        <w:t>先看图：</w:t>
      </w:r>
      <w:r>
        <w:rPr>
          <w:rFonts w:ascii="SimSun" w:hAnsi="SimSun" w:eastAsia="SimSun"/>
        </w:rPr>
        <w:t>画出湖岸、登陆处、选定的可居住地、轻型住所、工作／火源区域、储放点和离开路线。标明这是原创概念方案；数量、间距和朝向由 brief 决定，不标成“古代标准营地”。</w:t>
      </w:r>
    </w:p>
    <w:p>
      <w:pPr>
        <w:pStyle w:val="Heading2"/>
      </w:pPr>
      <w:bookmarkStart w:id="section_012" w:name="section_012"/>
      <w:r>
        <w:t>原创游戏 brief 与活动清单</w:t>
      </w:r>
      <w:bookmarkEnd w:id="section_012"/>
    </w:p>
    <w:p>
      <w:pPr>
        <w:widowControl/>
        <w:ind w:firstLine="302"/>
      </w:pPr>
      <w:r>
        <w:rPr>
          <w:rFonts w:ascii="SimSun" w:hAnsi="SimSun" w:eastAsia="SimSun"/>
          <w:b/>
        </w:rPr>
        <w:t>【设计选择】</w:t>
      </w:r>
      <w:r>
        <w:rPr>
          <w:rFonts w:ascii="SimSun" w:hAnsi="SimSun" w:eastAsia="SimSun"/>
        </w:rPr>
        <w:t>一群流动狩猎采集者在湖岸或湿地边缘停留。玩家需规划休息、处理带回的食物、照看火源、维护工具、保护物资和收拾离开。人数、季节、天数、物种、住所材料和卫生做法尚未设定，因此不补造数字。技术限制为现实可得自然材料和手工工具，不加入魔法、齿轮或电池。这个 brief 借鉴“住所与露天活动区可以并置”的空间观察，不复制 Ohalo II 的 hut 数、平面、具体资源或年代。</w:t>
      </w:r>
    </w:p>
    <w:p>
      <w:pPr>
        <w:widowControl/>
        <w:ind w:firstLine="302"/>
      </w:pPr>
      <w:r>
        <w:rPr>
          <w:rFonts w:ascii="SimSun" w:hAnsi="SimSun" w:eastAsia="SimSun"/>
        </w:rPr>
        <w:t>活动顺序为“抵达—建立临时生活—日常使用—收拢迁移”。这只是本章 brief 的排序，不代表历史通则。Ohalo II 的考古材料提醒设计者不要把全部生活压进住所：研究者在住所地面和室外火塘区都辨认出工具加工痕迹，室内地面还显示踩踏和火影响等过程。由此可以提出“哪些活动适合在遮蔽处，哪些活动适合在住所外”的设计问题；具体答案仍需服从本章设定。</w:t>
      </w:r>
      <w:hyperlink r:id="rId21">
        <w:r>
          <w:rPr>
            <w:color w:val="237E86"/>
            <w:u w:val="single"/>
            <w:rFonts w:eastAsia="SimSun" w:ascii="SimSun" w:hAnsi="SimSun"/>
            <w:sz w:val="21"/>
          </w:rPr>
          <w:t>Ohalo II 活动区研究</w:t>
        </w:r>
      </w:hyperlink>
    </w:p>
    <w:tbl>
      <w:tblPr>
        <w:tblW w:type="dxa" w:w="9245"/>
        <w:jc w:val="center"/>
        <w:tblLayout w:type="fixed"/>
        <w:tblLook w:firstColumn="1" w:firstRow="1" w:lastColumn="0" w:lastRow="0" w:noHBand="0" w:noVBand="1" w:val="04A0"/>
        <w:tblInd w:w="95" w:type="dxa"/>
        <w:tblBorders>
          <w:top w:val="single" w:sz="5" w:space="0" w:color="C8D6D4"/>
          <w:left w:val="single" w:sz="5" w:space="0" w:color="C8D6D4"/>
          <w:bottom w:val="single" w:sz="5" w:space="0" w:color="C8D6D4"/>
          <w:right w:val="single" w:sz="5" w:space="0" w:color="C8D6D4"/>
          <w:insideH w:val="single" w:sz="5" w:space="0" w:color="C8D6D4"/>
          <w:insideV w:val="single" w:sz="5" w:space="0" w:color="C8D6D4"/>
        </w:tblBorders>
      </w:tblPr>
      <w:tblGrid>
        <w:gridCol w:w="1699"/>
        <w:gridCol w:w="3658"/>
        <w:gridCol w:w="3888"/>
      </w:tblGrid>
      <w:tr>
        <w:trPr>
          <w:cantSplit/>
          <w:tblHeader w:val="true"/>
        </w:trPr>
        <w:tc>
          <w:tcPr>
            <w:tcW w:type="dxa" w:w="1699"/>
            <w:vAlign w:val="center"/>
            <w:tcMar>
              <w:top w:w="85" w:type="dxa"/>
              <w:start w:w="95" w:type="dxa"/>
              <w:bottom w:w="85" w:type="dxa"/>
              <w:end w:w="95" w:type="dxa"/>
            </w:tcMar>
            <w:shd w:fill="315B60"/>
          </w:tcPr>
          <w:p>
            <w:pPr>
              <w:keepNext/>
              <w:spacing w:after="0" w:before="0" w:line="278" w:lineRule="auto"/>
              <w:ind w:firstLine="0"/>
            </w:pPr>
            <w:r>
              <w:rPr>
                <w:rFonts w:ascii="SimSun" w:hAnsi="SimSun" w:eastAsia="SimSun"/>
                <w:b/>
                <w:color w:val="FFFFFF"/>
                <w:sz w:val="18"/>
              </w:rPr>
              <w:t>顺序</w:t>
            </w:r>
          </w:p>
        </w:tc>
        <w:tc>
          <w:tcPr>
            <w:tcW w:type="dxa" w:w="3658"/>
            <w:vAlign w:val="center"/>
            <w:tcMar>
              <w:top w:w="85" w:type="dxa"/>
              <w:start w:w="95" w:type="dxa"/>
              <w:bottom w:w="85" w:type="dxa"/>
              <w:end w:w="95" w:type="dxa"/>
            </w:tcMar>
            <w:shd w:fill="315B60"/>
          </w:tcPr>
          <w:p>
            <w:pPr>
              <w:keepNext/>
              <w:spacing w:after="0" w:before="0" w:line="278" w:lineRule="auto"/>
              <w:ind w:firstLine="0"/>
            </w:pPr>
            <w:r>
              <w:rPr>
                <w:rFonts w:ascii="SimSun" w:hAnsi="SimSun" w:eastAsia="SimSun"/>
                <w:b/>
                <w:color w:val="FFFFFF"/>
                <w:sz w:val="18"/>
              </w:rPr>
              <w:t>区域／功能</w:t>
            </w:r>
          </w:p>
        </w:tc>
        <w:tc>
          <w:tcPr>
            <w:tcW w:type="dxa" w:w="3888"/>
            <w:vAlign w:val="center"/>
            <w:tcMar>
              <w:top w:w="85" w:type="dxa"/>
              <w:start w:w="95" w:type="dxa"/>
              <w:bottom w:w="85" w:type="dxa"/>
              <w:end w:w="95" w:type="dxa"/>
            </w:tcMar>
            <w:shd w:fill="315B60"/>
          </w:tcPr>
          <w:p>
            <w:pPr>
              <w:keepNext/>
              <w:spacing w:after="0" w:before="0" w:line="278" w:lineRule="auto"/>
              <w:ind w:firstLine="0"/>
            </w:pPr>
            <w:r>
              <w:rPr>
                <w:rFonts w:ascii="SimSun" w:hAnsi="SimSun" w:eastAsia="SimSun"/>
                <w:b/>
                <w:color w:val="FFFFFF"/>
                <w:sz w:val="18"/>
              </w:rPr>
              <w:t>使用者与时机；关系与限制</w:t>
            </w:r>
          </w:p>
        </w:tc>
      </w:tr>
      <w:tr>
        <w:trPr>
          <w:cantSplit/>
        </w:trPr>
        <w:tc>
          <w:tcPr>
            <w:tcW w:type="dxa" w:w="1699"/>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1</w:t>
            </w:r>
          </w:p>
        </w:tc>
        <w:tc>
          <w:tcPr>
            <w:tcW w:type="dxa" w:w="3658"/>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登岸与卸载点</w:t>
            </w:r>
          </w:p>
        </w:tc>
        <w:tc>
          <w:tcPr>
            <w:tcW w:type="dxa" w:w="3888"/>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到达者卸下携带物资；若与住所入口重合，可能拥堵。</w:t>
            </w:r>
          </w:p>
        </w:tc>
      </w:tr>
      <w:tr>
        <w:trPr>
          <w:cantSplit/>
        </w:trPr>
        <w:tc>
          <w:tcPr>
            <w:tcW w:type="dxa" w:w="1699"/>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2</w:t>
            </w:r>
          </w:p>
        </w:tc>
        <w:tc>
          <w:tcPr>
            <w:tcW w:type="dxa" w:w="3658"/>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临时分拣点</w:t>
            </w:r>
          </w:p>
        </w:tc>
        <w:tc>
          <w:tcPr>
            <w:tcW w:type="dxa" w:w="3888"/>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住户在建立营地和处理收获时使用；区分待处理、保留和带走的物资。架、篮或覆盖物由材料和动物风险设定决定。</w:t>
            </w:r>
          </w:p>
        </w:tc>
      </w:tr>
      <w:tr>
        <w:trPr>
          <w:cantSplit/>
        </w:trPr>
        <w:tc>
          <w:tcPr>
            <w:tcW w:type="dxa" w:w="1699"/>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3</w:t>
            </w:r>
          </w:p>
        </w:tc>
        <w:tc>
          <w:tcPr>
            <w:tcW w:type="dxa" w:w="3658"/>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轻型住所</w:t>
            </w:r>
          </w:p>
        </w:tc>
        <w:tc>
          <w:tcPr>
            <w:tcW w:type="dxa" w:w="3888"/>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住户休息时使用，必要时提供遮蔽；形态、数量和住户分配由 brief 决定。</w:t>
            </w:r>
          </w:p>
        </w:tc>
      </w:tr>
      <w:tr>
        <w:trPr>
          <w:cantSplit/>
        </w:trPr>
        <w:tc>
          <w:tcPr>
            <w:tcW w:type="dxa" w:w="1699"/>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4</w:t>
            </w:r>
          </w:p>
        </w:tc>
        <w:tc>
          <w:tcPr>
            <w:tcW w:type="dxa" w:w="3658"/>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火源与食物处理区</w:t>
            </w:r>
          </w:p>
        </w:tc>
        <w:tc>
          <w:tcPr>
            <w:tcW w:type="dxa" w:w="3888"/>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处理食物或取暖时使用，仅在场景确实用火时纳入；兼顾燃料、食物、休息、烟和通行。</w:t>
            </w:r>
          </w:p>
        </w:tc>
      </w:tr>
      <w:tr>
        <w:trPr>
          <w:cantSplit/>
        </w:trPr>
        <w:tc>
          <w:tcPr>
            <w:tcW w:type="dxa" w:w="1699"/>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5</w:t>
            </w:r>
          </w:p>
        </w:tc>
        <w:tc>
          <w:tcPr>
            <w:tcW w:type="dxa" w:w="3658"/>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工具维护区</w:t>
            </w:r>
          </w:p>
        </w:tc>
        <w:tc>
          <w:tcPr>
            <w:tcW w:type="dxa" w:w="3888"/>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工具磨损或任务转换时使用；若与食物加工重合，应检查碎屑、工具和洁污冲突。</w:t>
            </w:r>
          </w:p>
        </w:tc>
      </w:tr>
      <w:tr>
        <w:trPr>
          <w:cantSplit/>
        </w:trPr>
        <w:tc>
          <w:tcPr>
            <w:tcW w:type="dxa" w:w="1699"/>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6</w:t>
            </w:r>
          </w:p>
        </w:tc>
        <w:tc>
          <w:tcPr>
            <w:tcW w:type="dxa" w:w="3658"/>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收拢与离开路线</w:t>
            </w:r>
          </w:p>
        </w:tc>
        <w:tc>
          <w:tcPr>
            <w:tcW w:type="dxa" w:w="3888"/>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迁移前回收可携构件和工具；固定设施留下时说明理由。</w:t>
            </w:r>
          </w:p>
        </w:tc>
      </w:tr>
    </w:tbl>
    <w:p>
      <w:pPr>
        <w:spacing w:after="40"/>
      </w:pPr>
    </w:p>
    <w:p>
      <w:pPr>
        <w:pStyle w:val="Heading2"/>
      </w:pPr>
      <w:bookmarkStart w:id="section_013" w:name="section_013"/>
      <w:r>
        <w:t>空间、路线与闭环</w:t>
      </w:r>
      <w:bookmarkEnd w:id="section_013"/>
    </w:p>
    <w:p>
      <w:pPr>
        <w:widowControl/>
        <w:ind w:firstLine="302"/>
      </w:pPr>
      <w:r>
        <w:rPr>
          <w:rFonts w:ascii="SimSun" w:hAnsi="SimSun" w:eastAsia="SimSun"/>
          <w:b/>
        </w:rPr>
        <w:t>【设计选择】</w:t>
      </w:r>
      <w:r>
        <w:rPr>
          <w:rFonts w:ascii="SimSun" w:hAnsi="SimSun" w:eastAsia="SimSun"/>
        </w:rPr>
        <w:t>住所离岸边保留一定缓冲，并留出搬运路线，让玩家看见“登陆—分拣—居住／工作”的顺序。缓冲距离不是历史数字，也不是通用规则。工作与休息是否分开，取决于火、烟、噪声、照看和地面条件；面积不足时可考虑错时使用。</w:t>
      </w:r>
    </w:p>
    <w:p>
      <w:pPr>
        <w:widowControl/>
        <w:ind w:firstLine="302"/>
      </w:pPr>
      <w:r>
        <w:rPr>
          <w:rFonts w:ascii="SimSun" w:hAnsi="SimSun" w:eastAsia="SimSun"/>
        </w:rPr>
        <w:t>人物路线：登岸 → 卸载 → 取物／休息 → 返回水边或周边环境 → 收拢撤离。物资路线：带回 → 分拣 → 处理 → 暂存／携带 → 维修或再次使用。若设置露天火塘，人物和燃料路线会把住所、取水点与工作区连接起来；应在地图上检查雨天、夜间或搬运时是否仍可通行。饮水、卫生、废弃物和野生动物风险须由具体生态与文化 brief 决定；本章不预设厕所位置或固定距离。</w:t>
      </w:r>
    </w:p>
    <w:p>
      <w:pPr>
        <w:widowControl/>
        <w:ind w:firstLine="302"/>
      </w:pPr>
      <w:r>
        <w:rPr>
          <w:rFonts w:ascii="SimSun" w:hAnsi="SimSun" w:eastAsia="SimSun"/>
        </w:rPr>
        <w:t>闭环检查搭设与固定、火源照看和熄灭（若有火）、材料重复使用或留置、离开前清点物资。轻型构件可能帮助迁移，但具体做法需个案或民族志资料支持。本章只把迁移能力设为玩法目标，不把平面推广给所有狩猎采集者。</w:t>
      </w:r>
    </w:p>
    <w:p>
      <w:pPr>
        <w:pStyle w:val="Heading2"/>
      </w:pPr>
      <w:bookmarkStart w:id="section_014" w:name="section_014"/>
      <w:r>
        <w:t>共性、变体与练习</w:t>
      </w:r>
      <w:bookmarkEnd w:id="section_014"/>
    </w:p>
    <w:p>
      <w:pPr>
        <w:widowControl/>
        <w:ind w:firstLine="302"/>
      </w:pPr>
      <w:r>
        <w:rPr>
          <w:rFonts w:ascii="SimSun" w:hAnsi="SimSun" w:eastAsia="SimSun"/>
        </w:rPr>
        <w:t>共同点不是“一圈帐篷加中央篝火”，而是住居设施、搬运和迁移之间需要形成逻辑。变体取决于水域、地面、天气、资源、群体关系和停留目的。Ohalo II 之所以重要，在于异常良好的保存让研究者能观察到住所、火塘、工具加工和铺垫等细节；一般遗址往往无法提供同等证据。</w:t>
      </w:r>
      <w:r>
        <w:rPr>
          <w:rFonts w:ascii="SimSun" w:hAnsi="SimSun" w:eastAsia="SimSun"/>
          <w:b/>
        </w:rPr>
        <w:t>游戏转化：</w:t>
      </w:r>
      <w:r>
        <w:rPr>
          <w:rFonts w:ascii="SimSun" w:hAnsi="SimSun" w:eastAsia="SimSun"/>
        </w:rPr>
        <w:t>保留“遮蔽空间与室外活动互相配合”的可读性，调整具体位置和数量以服务地图与玩法，不把考古遗迹直接复制成营地模板。练习：画人物与物资两条路线；假设登陆点不可用，指出哪些区域和路线必须调整，并在图例中注明哪些安排受 Ohalo II 启发、哪些是原创选择。</w:t>
      </w:r>
    </w:p>
    <w:p>
      <w:pPr>
        <w:pStyle w:val="Heading1"/>
        <w:keepNext/>
        <w:pageBreakBefore/>
      </w:pPr>
      <w:bookmarkStart w:id="section_015" w:name="section_015"/>
      <w:r>
        <w:t>第 3 章 坑式或半地下住所：地面高差与室内火源</w:t>
      </w:r>
      <w:bookmarkEnd w:id="section_015"/>
    </w:p>
    <w:p>
      <w:pPr>
        <w:pStyle w:val="Heading2"/>
      </w:pPr>
      <w:bookmarkStart w:id="section_016" w:name="section_016"/>
      <w:r>
        <w:t>类型识别卡与图面说明</w:t>
      </w:r>
      <w:bookmarkEnd w:id="section_016"/>
    </w:p>
    <w:p>
      <w:pPr>
        <w:keepNext/>
        <w:spacing w:before="80" w:after="40"/>
        <w:jc w:val="center"/>
      </w:pPr>
      <w:r>
        <w:drawing>
          <wp:inline xmlns:a="http://schemas.openxmlformats.org/drawingml/2006/main" xmlns:pic="http://schemas.openxmlformats.org/drawingml/2006/picture">
            <wp:extent cx="5806440" cy="3870960"/>
            <wp:docPr id="4" name="Picture 4" descr="图 3｜坑式或半地下住所：地面高差与室内火源（原创游戏概念设计，非历史复原）" title="图 3｜坑式或半地下住所：地面高差与室内火源（原创游戏概念设计，非历史复原）"/>
            <wp:cNvGraphicFramePr>
              <a:graphicFrameLocks noChangeAspect="1"/>
            </wp:cNvGraphicFramePr>
            <a:graphic>
              <a:graphicData uri="http://schemas.openxmlformats.org/drawingml/2006/picture">
                <pic:pic>
                  <pic:nvPicPr>
                    <pic:cNvPr id="0" name="03-坑式或半地下住所.jpg"/>
                    <pic:cNvPicPr/>
                  </pic:nvPicPr>
                  <pic:blipFill>
                    <a:blip r:embed="rId22"/>
                    <a:stretch>
                      <a:fillRect/>
                    </a:stretch>
                  </pic:blipFill>
                  <pic:spPr>
                    <a:xfrm>
                      <a:off x="0" y="0"/>
                      <a:ext cx="5806440" cy="3870960"/>
                    </a:xfrm>
                    <a:prstGeom prst="rect"/>
                  </pic:spPr>
                </pic:pic>
              </a:graphicData>
            </a:graphic>
          </wp:inline>
        </w:drawing>
      </w:r>
    </w:p>
    <w:p>
      <w:pPr>
        <w:keepNext/>
        <w:spacing w:before="20" w:after="180"/>
        <w:jc w:val="center"/>
      </w:pPr>
      <w:r>
        <w:rPr>
          <w:rFonts w:ascii="SimSun" w:hAnsi="SimSun" w:eastAsia="SimSun"/>
          <w:b/>
          <w:color w:val="5F7778"/>
          <w:sz w:val="19"/>
        </w:rPr>
        <w:t>图 3｜坑式或半地下住所：地面高差与室内火源（原创游戏概念设计，非历史复原）</w:t>
      </w:r>
    </w:p>
    <w:p>
      <w:pPr>
        <w:widowControl/>
        <w:ind w:firstLine="302"/>
      </w:pPr>
      <w:r>
        <w:rPr>
          <w:rFonts w:ascii="SimSun" w:hAnsi="SimSun" w:eastAsia="SimSun"/>
          <w:b/>
        </w:rPr>
        <w:t>【事实｜案例入口】</w:t>
      </w:r>
      <w:r>
        <w:rPr>
          <w:rFonts w:ascii="SimSun" w:hAnsi="SimSun" w:eastAsia="SimSun"/>
        </w:rPr>
        <w:t>梅萨维德祖先普韦布洛人的早期坑式住宅。国家公园管理局记载台地早期住宅约从公元 550 年出现，部分居住面低于地面，上部覆盖使用木材和泥土。解说资料描述中央火塘、挡风构件、屋顶排烟口，以及与研磨玉米有关的空间遗迹。</w:t>
      </w:r>
      <w:hyperlink r:id="rId23">
        <w:r>
          <w:rPr>
            <w:color w:val="237E86"/>
            <w:u w:val="single"/>
            <w:rFonts w:eastAsia="SimSun" w:ascii="SimSun" w:hAnsi="SimSun"/>
            <w:sz w:val="21"/>
          </w:rPr>
          <w:t>台地遗址</w:t>
        </w:r>
      </w:hyperlink>
      <w:r>
        <w:rPr>
          <w:rFonts w:ascii="SimSun" w:hAnsi="SimSun" w:eastAsia="SimSun"/>
        </w:rPr>
        <w:t>；</w:t>
      </w:r>
      <w:hyperlink r:id="rId24">
        <w:r>
          <w:rPr>
            <w:color w:val="237E86"/>
            <w:u w:val="single"/>
            <w:rFonts w:eastAsia="SimSun" w:ascii="SimSun" w:hAnsi="SimSun"/>
            <w:sz w:val="21"/>
          </w:rPr>
          <w:t>坑式住宅说明</w:t>
        </w:r>
      </w:hyperlink>
      <w:r>
        <w:rPr>
          <w:rFonts w:ascii="SimSun" w:hAnsi="SimSun" w:eastAsia="SimSun"/>
        </w:rPr>
        <w:t>；</w:t>
      </w:r>
      <w:hyperlink r:id="rId25">
        <w:r>
          <w:rPr>
            <w:color w:val="237E86"/>
            <w:u w:val="single"/>
            <w:rFonts w:eastAsia="SimSun" w:ascii="SimSun" w:hAnsi="SimSun"/>
            <w:sz w:val="21"/>
          </w:rPr>
          <w:t>平面与火塘解说</w:t>
        </w:r>
      </w:hyperlink>
    </w:p>
    <w:p>
      <w:pPr>
        <w:widowControl/>
        <w:ind w:firstLine="302"/>
      </w:pPr>
      <w:r>
        <w:rPr>
          <w:rFonts w:ascii="SimSun" w:hAnsi="SimSun" w:eastAsia="SimSun"/>
          <w:b/>
        </w:rPr>
        <w:t>先看图：</w:t>
      </w:r>
      <w:r>
        <w:rPr>
          <w:rFonts w:ascii="SimSun" w:hAnsi="SimSun" w:eastAsia="SimSun"/>
        </w:rPr>
        <w:t>剖面显示地表、下沉居住面、屋顶、入口、火塘和烟气出口；平面显示生活区与研磨／储放活动的关系。未获该遗址资料支持的入口朝向和尺寸不标作史实。</w:t>
      </w:r>
    </w:p>
    <w:p>
      <w:pPr>
        <w:pStyle w:val="Heading2"/>
      </w:pPr>
      <w:bookmarkStart w:id="section_017" w:name="section_017"/>
      <w:r>
        <w:t>原创 brief、功能与路径</w:t>
      </w:r>
      <w:bookmarkEnd w:id="section_017"/>
    </w:p>
    <w:p>
      <w:pPr>
        <w:widowControl/>
        <w:ind w:firstLine="302"/>
      </w:pPr>
      <w:r>
        <w:rPr>
          <w:rFonts w:ascii="SimSun" w:hAnsi="SimSun" w:eastAsia="SimSun"/>
          <w:b/>
        </w:rPr>
        <w:t>【设计选择】</w:t>
      </w:r>
      <w:r>
        <w:rPr>
          <w:rFonts w:ascii="SimSun" w:hAnsi="SimSun" w:eastAsia="SimSun"/>
        </w:rPr>
        <w:t>游戏群落需要一座半下沉的家庭住宅，以表现地面高差如何改变进出、火源和室内外关系。土质、地下水、降雨、木材供应和居住周期另行确定；地面条件不适合下挖时应选择别的类型。</w:t>
      </w:r>
    </w:p>
    <w:p>
      <w:pPr>
        <w:widowControl/>
        <w:ind w:firstLine="302"/>
      </w:pPr>
      <w:r>
        <w:rPr>
          <w:rFonts w:ascii="SimSun" w:hAnsi="SimSun" w:eastAsia="SimSun"/>
        </w:rPr>
        <w:t>本章活动链是“从地表进入—在居住面起居—围绕火塘处理需要加热或照明的活动—取用储物—维护屋顶与排烟口”。梅萨维德解说资料还提到火塘挡风、屋顶排烟以及研磨玉米的位置关系；这是该案例的具体线索，不是所有半地下住所都需要的房间组合。</w:t>
      </w:r>
    </w:p>
    <w:tbl>
      <w:tblPr>
        <w:tblW w:type="dxa" w:w="9245"/>
        <w:jc w:val="center"/>
        <w:tblLayout w:type="fixed"/>
        <w:tblLook w:firstColumn="1" w:firstRow="1" w:lastColumn="0" w:lastRow="0" w:noHBand="0" w:noVBand="1" w:val="04A0"/>
        <w:tblInd w:w="95" w:type="dxa"/>
        <w:tblBorders>
          <w:top w:val="single" w:sz="5" w:space="0" w:color="C8D6D4"/>
          <w:left w:val="single" w:sz="5" w:space="0" w:color="C8D6D4"/>
          <w:bottom w:val="single" w:sz="5" w:space="0" w:color="C8D6D4"/>
          <w:right w:val="single" w:sz="5" w:space="0" w:color="C8D6D4"/>
          <w:insideH w:val="single" w:sz="5" w:space="0" w:color="C8D6D4"/>
          <w:insideV w:val="single" w:sz="5" w:space="0" w:color="C8D6D4"/>
        </w:tblBorders>
      </w:tblPr>
      <w:tblGrid>
        <w:gridCol w:w="1699"/>
        <w:gridCol w:w="3658"/>
        <w:gridCol w:w="3888"/>
      </w:tblGrid>
      <w:tr>
        <w:trPr>
          <w:cantSplit/>
          <w:tblHeader w:val="true"/>
        </w:trPr>
        <w:tc>
          <w:tcPr>
            <w:tcW w:type="dxa" w:w="1699"/>
            <w:vAlign w:val="center"/>
            <w:tcMar>
              <w:top w:w="85" w:type="dxa"/>
              <w:start w:w="95" w:type="dxa"/>
              <w:bottom w:w="85" w:type="dxa"/>
              <w:end w:w="95" w:type="dxa"/>
            </w:tcMar>
            <w:shd w:fill="315B60"/>
          </w:tcPr>
          <w:p>
            <w:pPr>
              <w:keepNext/>
              <w:spacing w:after="0" w:before="0" w:line="278" w:lineRule="auto"/>
              <w:ind w:firstLine="0"/>
            </w:pPr>
            <w:r>
              <w:rPr>
                <w:rFonts w:ascii="SimSun" w:hAnsi="SimSun" w:eastAsia="SimSun"/>
                <w:b/>
                <w:color w:val="FFFFFF"/>
                <w:sz w:val="18"/>
              </w:rPr>
              <w:t>顺序</w:t>
            </w:r>
          </w:p>
        </w:tc>
        <w:tc>
          <w:tcPr>
            <w:tcW w:type="dxa" w:w="3658"/>
            <w:vAlign w:val="center"/>
            <w:tcMar>
              <w:top w:w="85" w:type="dxa"/>
              <w:start w:w="95" w:type="dxa"/>
              <w:bottom w:w="85" w:type="dxa"/>
              <w:end w:w="95" w:type="dxa"/>
            </w:tcMar>
            <w:shd w:fill="315B60"/>
          </w:tcPr>
          <w:p>
            <w:pPr>
              <w:keepNext/>
              <w:spacing w:after="0" w:before="0" w:line="278" w:lineRule="auto"/>
              <w:ind w:firstLine="0"/>
            </w:pPr>
            <w:r>
              <w:rPr>
                <w:rFonts w:ascii="SimSun" w:hAnsi="SimSun" w:eastAsia="SimSun"/>
                <w:b/>
                <w:color w:val="FFFFFF"/>
                <w:sz w:val="18"/>
              </w:rPr>
              <w:t>区域／功能</w:t>
            </w:r>
          </w:p>
        </w:tc>
        <w:tc>
          <w:tcPr>
            <w:tcW w:type="dxa" w:w="3888"/>
            <w:vAlign w:val="center"/>
            <w:tcMar>
              <w:top w:w="85" w:type="dxa"/>
              <w:start w:w="95" w:type="dxa"/>
              <w:bottom w:w="85" w:type="dxa"/>
              <w:end w:w="95" w:type="dxa"/>
            </w:tcMar>
            <w:shd w:fill="315B60"/>
          </w:tcPr>
          <w:p>
            <w:pPr>
              <w:keepNext/>
              <w:spacing w:after="0" w:before="0" w:line="278" w:lineRule="auto"/>
              <w:ind w:firstLine="0"/>
            </w:pPr>
            <w:r>
              <w:rPr>
                <w:rFonts w:ascii="SimSun" w:hAnsi="SimSun" w:eastAsia="SimSun"/>
                <w:b/>
                <w:color w:val="FFFFFF"/>
                <w:sz w:val="18"/>
              </w:rPr>
              <w:t>使用者与时机；关系与限制</w:t>
            </w:r>
          </w:p>
        </w:tc>
      </w:tr>
      <w:tr>
        <w:trPr>
          <w:cantSplit/>
        </w:trPr>
        <w:tc>
          <w:tcPr>
            <w:tcW w:type="dxa" w:w="1699"/>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1</w:t>
            </w:r>
          </w:p>
        </w:tc>
        <w:tc>
          <w:tcPr>
            <w:tcW w:type="dxa" w:w="3658"/>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地表接近区与入口</w:t>
            </w:r>
          </w:p>
        </w:tc>
        <w:tc>
          <w:tcPr>
            <w:tcW w:type="dxa" w:w="3888"/>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住户进出和搬运物品时使用；入口坡道、台阶或梯子是场景选择，需显示上下成本。</w:t>
            </w:r>
          </w:p>
        </w:tc>
      </w:tr>
      <w:tr>
        <w:trPr>
          <w:cantSplit/>
        </w:trPr>
        <w:tc>
          <w:tcPr>
            <w:tcW w:type="dxa" w:w="1699"/>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2</w:t>
            </w:r>
          </w:p>
        </w:tc>
        <w:tc>
          <w:tcPr>
            <w:tcW w:type="dxa" w:w="3658"/>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主要生活面</w:t>
            </w:r>
          </w:p>
        </w:tc>
        <w:tc>
          <w:tcPr>
            <w:tcW w:type="dxa" w:w="3888"/>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家庭成员日常起居时使用；容纳活动依 brief 决定，不能只凭“坑式”推断固定布局。</w:t>
            </w:r>
          </w:p>
        </w:tc>
      </w:tr>
      <w:tr>
        <w:trPr>
          <w:cantSplit/>
        </w:trPr>
        <w:tc>
          <w:tcPr>
            <w:tcW w:type="dxa" w:w="1699"/>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3</w:t>
            </w:r>
          </w:p>
        </w:tc>
        <w:tc>
          <w:tcPr>
            <w:tcW w:type="dxa" w:w="3658"/>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火塘与烟气结构</w:t>
            </w:r>
          </w:p>
        </w:tc>
        <w:tc>
          <w:tcPr>
            <w:tcW w:type="dxa" w:w="3888"/>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需要火时由住户照看；火塘、挡风构件和排烟口必须一起设计。</w:t>
            </w:r>
          </w:p>
        </w:tc>
      </w:tr>
      <w:tr>
        <w:trPr>
          <w:cantSplit/>
        </w:trPr>
        <w:tc>
          <w:tcPr>
            <w:tcW w:type="dxa" w:w="1699"/>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4</w:t>
            </w:r>
          </w:p>
        </w:tc>
        <w:tc>
          <w:tcPr>
            <w:tcW w:type="dxa" w:w="3658"/>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食物／工具处理区</w:t>
            </w:r>
          </w:p>
        </w:tc>
        <w:tc>
          <w:tcPr>
            <w:tcW w:type="dxa" w:w="3888"/>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处理食物或工具时使用；与火塘的关系要看安全、照明、烟和清理。</w:t>
            </w:r>
          </w:p>
        </w:tc>
      </w:tr>
      <w:tr>
        <w:trPr>
          <w:cantSplit/>
        </w:trPr>
        <w:tc>
          <w:tcPr>
            <w:tcW w:type="dxa" w:w="1699"/>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5</w:t>
            </w:r>
          </w:p>
        </w:tc>
        <w:tc>
          <w:tcPr>
            <w:tcW w:type="dxa" w:w="3658"/>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屋顶与支撑</w:t>
            </w:r>
          </w:p>
        </w:tc>
        <w:tc>
          <w:tcPr>
            <w:tcW w:type="dxa" w:w="3888"/>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建造或维修时由维护者接近；同时考虑承重、排烟、排水和检修路径。</w:t>
            </w:r>
          </w:p>
        </w:tc>
      </w:tr>
    </w:tbl>
    <w:p>
      <w:pPr>
        <w:spacing w:after="40"/>
      </w:pPr>
    </w:p>
    <w:p>
      <w:pPr>
        <w:widowControl/>
        <w:ind w:firstLine="302"/>
      </w:pPr>
      <w:r>
        <w:rPr>
          <w:rFonts w:ascii="SimSun" w:hAnsi="SimSun" w:eastAsia="SimSun"/>
        </w:rPr>
        <w:t>下沉空间让屋顶成为主要围护面，也让地表成为日常路径的一部分。玩家搬运重物、照顾老人或儿童时，需检查上下是否便利。若屋顶开口兼作入口，通行、采光与排烟可能冲突。</w:t>
      </w:r>
      <w:r>
        <w:rPr>
          <w:rFonts w:ascii="SimSun" w:hAnsi="SimSun" w:eastAsia="SimSun"/>
          <w:b/>
        </w:rPr>
        <w:t>【推断】</w:t>
      </w:r>
      <w:r>
        <w:rPr>
          <w:rFonts w:ascii="SimSun" w:hAnsi="SimSun" w:eastAsia="SimSun"/>
        </w:rPr>
        <w:t>土体可能改变室内温度波动，但效果受地质、湿度、季节和构造影响，不能写成“坑屋必然冬暖夏凉”。</w:t>
      </w:r>
    </w:p>
    <w:p>
      <w:pPr>
        <w:widowControl/>
        <w:ind w:firstLine="302"/>
      </w:pPr>
      <w:r>
        <w:rPr>
          <w:rFonts w:ascii="SimSun" w:hAnsi="SimSun" w:eastAsia="SimSun"/>
        </w:rPr>
        <w:t>闭环检查雨水是否灌入、居住面是否积水、屋顶支撑如何检查、烟气出口如何维护、物资如何安全搬运。练习：画剖面并标出入口、火塘、支撑、排烟口和雨水路径，再圈出两处维修点。</w:t>
      </w:r>
    </w:p>
    <w:p>
      <w:pPr>
        <w:pStyle w:val="Heading1"/>
        <w:keepNext/>
        <w:pageBreakBefore/>
      </w:pPr>
      <w:bookmarkStart w:id="section_018" w:name="section_018"/>
      <w:r>
        <w:t>第 4 章 架空或桩基住所：支撑决定通行</w:t>
      </w:r>
      <w:bookmarkEnd w:id="section_018"/>
    </w:p>
    <w:p>
      <w:pPr>
        <w:pStyle w:val="Heading2"/>
      </w:pPr>
      <w:bookmarkStart w:id="section_019" w:name="section_019"/>
      <w:r>
        <w:t>类型识别卡与图面说明</w:t>
      </w:r>
      <w:bookmarkEnd w:id="section_019"/>
    </w:p>
    <w:p>
      <w:pPr>
        <w:keepNext/>
        <w:spacing w:before="80" w:after="40"/>
        <w:jc w:val="center"/>
      </w:pPr>
      <w:r>
        <w:drawing>
          <wp:inline xmlns:a="http://schemas.openxmlformats.org/drawingml/2006/main" xmlns:pic="http://schemas.openxmlformats.org/drawingml/2006/picture">
            <wp:extent cx="5806440" cy="3870960"/>
            <wp:docPr id="5" name="Picture 5" descr="图 4｜架空或桩基住所：支撑决定通行（原创游戏概念设计，非历史复原）" title="图 4｜架空或桩基住所：支撑决定通行（原创游戏概念设计，非历史复原）"/>
            <wp:cNvGraphicFramePr>
              <a:graphicFrameLocks noChangeAspect="1"/>
            </wp:cNvGraphicFramePr>
            <a:graphic>
              <a:graphicData uri="http://schemas.openxmlformats.org/drawingml/2006/picture">
                <pic:pic>
                  <pic:nvPicPr>
                    <pic:cNvPr id="0" name="04-架空或桩基住所.jpg"/>
                    <pic:cNvPicPr/>
                  </pic:nvPicPr>
                  <pic:blipFill>
                    <a:blip r:embed="rId26"/>
                    <a:stretch>
                      <a:fillRect/>
                    </a:stretch>
                  </pic:blipFill>
                  <pic:spPr>
                    <a:xfrm>
                      <a:off x="0" y="0"/>
                      <a:ext cx="5806440" cy="3870960"/>
                    </a:xfrm>
                    <a:prstGeom prst="rect"/>
                  </pic:spPr>
                </pic:pic>
              </a:graphicData>
            </a:graphic>
          </wp:inline>
        </w:drawing>
      </w:r>
    </w:p>
    <w:p>
      <w:pPr>
        <w:keepNext/>
        <w:spacing w:before="20" w:after="180"/>
        <w:jc w:val="center"/>
      </w:pPr>
      <w:r>
        <w:rPr>
          <w:rFonts w:ascii="SimSun" w:hAnsi="SimSun" w:eastAsia="SimSun"/>
          <w:b/>
          <w:color w:val="5F7778"/>
          <w:sz w:val="19"/>
        </w:rPr>
        <w:t>图 4｜架空或桩基住所：支撑决定通行（原创游戏概念设计，非历史复原）</w:t>
      </w:r>
    </w:p>
    <w:p>
      <w:pPr>
        <w:widowControl/>
        <w:ind w:firstLine="302"/>
      </w:pPr>
      <w:r>
        <w:rPr>
          <w:rFonts w:ascii="SimSun" w:hAnsi="SimSun" w:eastAsia="SimSun"/>
          <w:b/>
        </w:rPr>
        <w:t>【事实｜案例入口】</w:t>
      </w:r>
      <w:r>
        <w:rPr>
          <w:rFonts w:ascii="SimSun" w:hAnsi="SimSun" w:eastAsia="SimSun"/>
        </w:rPr>
        <w:t>阿尔卑斯及周边新石器至青铜时代的湖岸、河岸与湿地遗址，为研究早期农耕聚落提供了丰富材料。UNESCO 登记的 111 处遗址约跨公元前 5000 至 500 年。要注意，桩基遗址不都代表水上高台村：研究资料显示，各地建造方式并不一致，有架高平台、不同桩基方式，也有直接落地的建筑。</w:t>
      </w:r>
      <w:hyperlink r:id="rId27">
        <w:r>
          <w:rPr>
            <w:color w:val="237E86"/>
            <w:u w:val="single"/>
            <w:rFonts w:eastAsia="SimSun" w:ascii="SimSun" w:hAnsi="SimSun"/>
            <w:sz w:val="21"/>
          </w:rPr>
          <w:t>UNESCO 遗址条目</w:t>
        </w:r>
      </w:hyperlink>
      <w:r>
        <w:rPr>
          <w:rFonts w:ascii="SimSun" w:hAnsi="SimSun" w:eastAsia="SimSun"/>
        </w:rPr>
        <w:t>；</w:t>
      </w:r>
      <w:hyperlink r:id="rId28">
        <w:r>
          <w:rPr>
            <w:color w:val="237E86"/>
            <w:u w:val="single"/>
            <w:rFonts w:eastAsia="SimSun" w:ascii="SimSun" w:hAnsi="SimSun"/>
            <w:sz w:val="21"/>
          </w:rPr>
          <w:t>桩基住宅常见问题</w:t>
        </w:r>
      </w:hyperlink>
      <w:r>
        <w:rPr>
          <w:rFonts w:ascii="SimSun" w:hAnsi="SimSun" w:eastAsia="SimSun"/>
        </w:rPr>
        <w:t>；</w:t>
      </w:r>
      <w:hyperlink r:id="rId29">
        <w:r>
          <w:rPr>
            <w:color w:val="237E86"/>
            <w:u w:val="single"/>
            <w:rFonts w:eastAsia="SimSun" w:ascii="SimSun" w:hAnsi="SimSun"/>
            <w:sz w:val="21"/>
          </w:rPr>
          <w:t>拉瓦尼奥内遗址的建造方式</w:t>
        </w:r>
      </w:hyperlink>
    </w:p>
    <w:p>
      <w:pPr>
        <w:widowControl/>
        <w:ind w:firstLine="302"/>
      </w:pPr>
      <w:r>
        <w:rPr>
          <w:rFonts w:ascii="SimSun" w:hAnsi="SimSun" w:eastAsia="SimSun"/>
          <w:b/>
        </w:rPr>
        <w:t>先看图：</w:t>
      </w:r>
      <w:r>
        <w:rPr>
          <w:rFonts w:ascii="SimSun" w:hAnsi="SimSun" w:eastAsia="SimSun"/>
        </w:rPr>
        <w:t>若采用架空方案，画地面／水线、支撑、平台、上下通道和维修可达性；把考古遗迹类别与游戏里的架空造型分开标记。</w:t>
      </w:r>
    </w:p>
    <w:p>
      <w:pPr>
        <w:pStyle w:val="Heading2"/>
      </w:pPr>
      <w:bookmarkStart w:id="section_020" w:name="section_020"/>
      <w:r>
        <w:t>原创 brief、功能与路径</w:t>
      </w:r>
      <w:bookmarkEnd w:id="section_020"/>
    </w:p>
    <w:p>
      <w:pPr>
        <w:widowControl/>
        <w:ind w:firstLine="302"/>
      </w:pPr>
      <w:r>
        <w:rPr>
          <w:rFonts w:ascii="SimSun" w:hAnsi="SimSun" w:eastAsia="SimSun"/>
          <w:b/>
        </w:rPr>
        <w:t>【设计选择】</w:t>
      </w:r>
      <w:r>
        <w:rPr>
          <w:rFonts w:ascii="SimSun" w:hAnsi="SimSun" w:eastAsia="SimSun"/>
        </w:rPr>
        <w:t>本关地面季节性潮湿，游戏要求将居住面抬高。这个原因只属于本关，不代表所有湖岸桩基住宅。玩家需看懂平台由什么支撑、如何上下、哪些物资留在地面。活动链按“接近—卸载—搬上平台—居住—检查支撑—搬下／迁离”组织。</w:t>
      </w:r>
    </w:p>
    <w:tbl>
      <w:tblPr>
        <w:tblW w:type="dxa" w:w="9245"/>
        <w:jc w:val="center"/>
        <w:tblLayout w:type="fixed"/>
        <w:tblLook w:firstColumn="1" w:firstRow="1" w:lastColumn="0" w:lastRow="0" w:noHBand="0" w:noVBand="1" w:val="04A0"/>
        <w:tblInd w:w="95" w:type="dxa"/>
        <w:tblBorders>
          <w:top w:val="single" w:sz="5" w:space="0" w:color="C8D6D4"/>
          <w:left w:val="single" w:sz="5" w:space="0" w:color="C8D6D4"/>
          <w:bottom w:val="single" w:sz="5" w:space="0" w:color="C8D6D4"/>
          <w:right w:val="single" w:sz="5" w:space="0" w:color="C8D6D4"/>
          <w:insideH w:val="single" w:sz="5" w:space="0" w:color="C8D6D4"/>
          <w:insideV w:val="single" w:sz="5" w:space="0" w:color="C8D6D4"/>
        </w:tblBorders>
      </w:tblPr>
      <w:tblGrid>
        <w:gridCol w:w="1699"/>
        <w:gridCol w:w="3658"/>
        <w:gridCol w:w="3888"/>
      </w:tblGrid>
      <w:tr>
        <w:trPr>
          <w:cantSplit/>
          <w:tblHeader w:val="true"/>
        </w:trPr>
        <w:tc>
          <w:tcPr>
            <w:tcW w:type="dxa" w:w="1699"/>
            <w:vAlign w:val="center"/>
            <w:tcMar>
              <w:top w:w="85" w:type="dxa"/>
              <w:start w:w="95" w:type="dxa"/>
              <w:bottom w:w="85" w:type="dxa"/>
              <w:end w:w="95" w:type="dxa"/>
            </w:tcMar>
            <w:shd w:fill="315B60"/>
          </w:tcPr>
          <w:p>
            <w:pPr>
              <w:keepNext/>
              <w:spacing w:after="0" w:before="0" w:line="278" w:lineRule="auto"/>
              <w:ind w:firstLine="0"/>
            </w:pPr>
            <w:r>
              <w:rPr>
                <w:rFonts w:ascii="SimSun" w:hAnsi="SimSun" w:eastAsia="SimSun"/>
                <w:b/>
                <w:color w:val="FFFFFF"/>
                <w:sz w:val="18"/>
              </w:rPr>
              <w:t>顺序</w:t>
            </w:r>
          </w:p>
        </w:tc>
        <w:tc>
          <w:tcPr>
            <w:tcW w:type="dxa" w:w="3658"/>
            <w:vAlign w:val="center"/>
            <w:tcMar>
              <w:top w:w="85" w:type="dxa"/>
              <w:start w:w="95" w:type="dxa"/>
              <w:bottom w:w="85" w:type="dxa"/>
              <w:end w:w="95" w:type="dxa"/>
            </w:tcMar>
            <w:shd w:fill="315B60"/>
          </w:tcPr>
          <w:p>
            <w:pPr>
              <w:keepNext/>
              <w:spacing w:after="0" w:before="0" w:line="278" w:lineRule="auto"/>
              <w:ind w:firstLine="0"/>
            </w:pPr>
            <w:r>
              <w:rPr>
                <w:rFonts w:ascii="SimSun" w:hAnsi="SimSun" w:eastAsia="SimSun"/>
                <w:b/>
                <w:color w:val="FFFFFF"/>
                <w:sz w:val="18"/>
              </w:rPr>
              <w:t>区域／功能</w:t>
            </w:r>
          </w:p>
        </w:tc>
        <w:tc>
          <w:tcPr>
            <w:tcW w:type="dxa" w:w="3888"/>
            <w:vAlign w:val="center"/>
            <w:tcMar>
              <w:top w:w="85" w:type="dxa"/>
              <w:start w:w="95" w:type="dxa"/>
              <w:bottom w:w="85" w:type="dxa"/>
              <w:end w:w="95" w:type="dxa"/>
            </w:tcMar>
            <w:shd w:fill="315B60"/>
          </w:tcPr>
          <w:p>
            <w:pPr>
              <w:keepNext/>
              <w:spacing w:after="0" w:before="0" w:line="278" w:lineRule="auto"/>
              <w:ind w:firstLine="0"/>
            </w:pPr>
            <w:r>
              <w:rPr>
                <w:rFonts w:ascii="SimSun" w:hAnsi="SimSun" w:eastAsia="SimSun"/>
                <w:b/>
                <w:color w:val="FFFFFF"/>
                <w:sz w:val="18"/>
              </w:rPr>
              <w:t>使用者与时机；关系与限制</w:t>
            </w:r>
          </w:p>
        </w:tc>
      </w:tr>
      <w:tr>
        <w:trPr>
          <w:cantSplit/>
        </w:trPr>
        <w:tc>
          <w:tcPr>
            <w:tcW w:type="dxa" w:w="1699"/>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1</w:t>
            </w:r>
          </w:p>
        </w:tc>
        <w:tc>
          <w:tcPr>
            <w:tcW w:type="dxa" w:w="3658"/>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地面接近区</w:t>
            </w:r>
          </w:p>
        </w:tc>
        <w:tc>
          <w:tcPr>
            <w:tcW w:type="dxa" w:w="3888"/>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到达者卸下人员携带物资；地面不平时需要整理位置。</w:t>
            </w:r>
          </w:p>
        </w:tc>
      </w:tr>
      <w:tr>
        <w:trPr>
          <w:cantSplit/>
        </w:trPr>
        <w:tc>
          <w:tcPr>
            <w:tcW w:type="dxa" w:w="1699"/>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2</w:t>
            </w:r>
          </w:p>
        </w:tc>
        <w:tc>
          <w:tcPr>
            <w:tcW w:type="dxa" w:w="3658"/>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上下通道</w:t>
            </w:r>
          </w:p>
        </w:tc>
        <w:tc>
          <w:tcPr>
            <w:tcW w:type="dxa" w:w="3888"/>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居住者往返、搬运和维护时使用；坡道、梯子或楼梯改变安全和可达性。</w:t>
            </w:r>
          </w:p>
        </w:tc>
      </w:tr>
      <w:tr>
        <w:trPr>
          <w:cantSplit/>
        </w:trPr>
        <w:tc>
          <w:tcPr>
            <w:tcW w:type="dxa" w:w="1699"/>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3</w:t>
            </w:r>
          </w:p>
        </w:tc>
        <w:tc>
          <w:tcPr>
            <w:tcW w:type="dxa" w:w="3658"/>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架空生活平台</w:t>
            </w:r>
          </w:p>
        </w:tc>
        <w:tc>
          <w:tcPr>
            <w:tcW w:type="dxa" w:w="3888"/>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住户起居时使用；需根据活动考虑平台面积、承重和围护。</w:t>
            </w:r>
          </w:p>
        </w:tc>
      </w:tr>
      <w:tr>
        <w:trPr>
          <w:cantSplit/>
        </w:trPr>
        <w:tc>
          <w:tcPr>
            <w:tcW w:type="dxa" w:w="1699"/>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4</w:t>
            </w:r>
          </w:p>
        </w:tc>
        <w:tc>
          <w:tcPr>
            <w:tcW w:type="dxa" w:w="3658"/>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平台下方</w:t>
            </w:r>
          </w:p>
        </w:tc>
        <w:tc>
          <w:tcPr>
            <w:tcW w:type="dxa" w:w="3888"/>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仅在 brief 明确时用于储放、畜养或工作；地面湿度、动物和技术条件限制用途。</w:t>
            </w:r>
          </w:p>
        </w:tc>
      </w:tr>
      <w:tr>
        <w:trPr>
          <w:cantSplit/>
        </w:trPr>
        <w:tc>
          <w:tcPr>
            <w:tcW w:type="dxa" w:w="1699"/>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5</w:t>
            </w:r>
          </w:p>
        </w:tc>
        <w:tc>
          <w:tcPr>
            <w:tcW w:type="dxa" w:w="3658"/>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支撑维修点</w:t>
            </w:r>
          </w:p>
        </w:tc>
        <w:tc>
          <w:tcPr>
            <w:tcW w:type="dxa" w:w="3888"/>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维护者检查或更换桩、连接和平台构件；需要能把工具带到检查位置。</w:t>
            </w:r>
          </w:p>
        </w:tc>
      </w:tr>
    </w:tbl>
    <w:p>
      <w:pPr>
        <w:spacing w:after="40"/>
      </w:pPr>
    </w:p>
    <w:p>
      <w:pPr>
        <w:widowControl/>
        <w:ind w:firstLine="302"/>
      </w:pPr>
      <w:r>
        <w:rPr>
          <w:rFonts w:ascii="SimSun" w:hAnsi="SimSun" w:eastAsia="SimSun"/>
        </w:rPr>
        <w:t>因为居住面由支撑抬高，出入口成为关键；物资路线必须经过垂直或斜向通道。若平台下方也有活动，地面路线与上层路线形成两层空间，但下方不必然有固定用途。沉降、腐朽和水位变化可作为游戏风险，前提是材料与场景支持。</w:t>
      </w:r>
    </w:p>
    <w:p>
      <w:pPr>
        <w:widowControl/>
        <w:ind w:firstLine="302"/>
      </w:pPr>
      <w:r>
        <w:rPr>
          <w:rFonts w:ascii="SimSun" w:hAnsi="SimSun" w:eastAsia="SimSun"/>
        </w:rPr>
        <w:t>共性是支撑把地面条件变成高度与通行问题；变体来自支撑长度、平台高度、地面接触和屋身组合。“桩基”不自动代表“在水面上”或“为了防洪”。练习：画侧视图、水线／湿地范围、平台、通道和检修点，再画重物搬运路线。</w:t>
      </w:r>
    </w:p>
    <w:p>
      <w:pPr>
        <w:pStyle w:val="Heading1"/>
        <w:pageBreakBefore/>
      </w:pPr>
      <w:bookmarkStart w:id="section_021" w:name="section_021"/>
      <w:r>
        <w:t>第二编：以内部空间和住户组织为主的家宅</w:t>
      </w:r>
      <w:bookmarkEnd w:id="section_021"/>
    </w:p>
    <w:p>
      <w:pPr>
        <w:pStyle w:val="Heading1"/>
        <w:keepNext/>
        <w:pageBreakBefore w:val="0"/>
      </w:pPr>
      <w:bookmarkStart w:id="section_022" w:name="section_022"/>
      <w:r>
        <w:t>第 5 章 独立家屋：一个主体空间如何组织生活</w:t>
      </w:r>
      <w:bookmarkEnd w:id="section_022"/>
    </w:p>
    <w:p>
      <w:pPr>
        <w:pStyle w:val="Heading2"/>
      </w:pPr>
      <w:bookmarkStart w:id="section_023" w:name="section_023"/>
      <w:r>
        <w:t>类型识别卡与图面说明</w:t>
      </w:r>
      <w:bookmarkEnd w:id="section_023"/>
    </w:p>
    <w:p>
      <w:pPr>
        <w:keepNext/>
        <w:spacing w:before="80" w:after="40"/>
        <w:jc w:val="center"/>
      </w:pPr>
      <w:r>
        <w:drawing>
          <wp:inline xmlns:a="http://schemas.openxmlformats.org/drawingml/2006/main" xmlns:pic="http://schemas.openxmlformats.org/drawingml/2006/picture">
            <wp:extent cx="5806440" cy="3870960"/>
            <wp:docPr id="6" name="Picture 6" descr="图 5｜独立家屋：一个主体空间如何组织生活（原创游戏概念设计，非历史复原）" title="图 5｜独立家屋：一个主体空间如何组织生活（原创游戏概念设计，非历史复原）"/>
            <wp:cNvGraphicFramePr>
              <a:graphicFrameLocks noChangeAspect="1"/>
            </wp:cNvGraphicFramePr>
            <a:graphic>
              <a:graphicData uri="http://schemas.openxmlformats.org/drawingml/2006/picture">
                <pic:pic>
                  <pic:nvPicPr>
                    <pic:cNvPr id="0" name="05-独立家屋.jpg"/>
                    <pic:cNvPicPr/>
                  </pic:nvPicPr>
                  <pic:blipFill>
                    <a:blip r:embed="rId30"/>
                    <a:stretch>
                      <a:fillRect/>
                    </a:stretch>
                  </pic:blipFill>
                  <pic:spPr>
                    <a:xfrm>
                      <a:off x="0" y="0"/>
                      <a:ext cx="5806440" cy="3870960"/>
                    </a:xfrm>
                    <a:prstGeom prst="rect"/>
                  </pic:spPr>
                </pic:pic>
              </a:graphicData>
            </a:graphic>
          </wp:inline>
        </w:drawing>
      </w:r>
    </w:p>
    <w:p>
      <w:pPr>
        <w:keepNext/>
        <w:spacing w:before="20" w:after="180"/>
        <w:jc w:val="center"/>
      </w:pPr>
      <w:r>
        <w:rPr>
          <w:rFonts w:ascii="SimSun" w:hAnsi="SimSun" w:eastAsia="SimSun"/>
          <w:b/>
          <w:color w:val="5F7778"/>
          <w:sz w:val="19"/>
        </w:rPr>
        <w:t>图 5｜独立家屋：一个主体空间如何组织生活（原创游戏概念设计，非历史复原）</w:t>
      </w:r>
    </w:p>
    <w:p>
      <w:pPr>
        <w:widowControl/>
        <w:ind w:firstLine="302"/>
      </w:pPr>
      <w:r>
        <w:rPr>
          <w:rFonts w:ascii="SimSun" w:hAnsi="SimSun" w:eastAsia="SimSun"/>
          <w:b/>
        </w:rPr>
        <w:t>【事实｜案例入口】</w:t>
      </w:r>
      <w:r>
        <w:rPr>
          <w:rFonts w:ascii="SimSun" w:hAnsi="SimSun" w:eastAsia="SimSun"/>
        </w:rPr>
        <w:t>本章用英格兰 Heston 的 The Hermitage 说明厅堂家屋如何在一栋独立住宅内分配共同活动和辅助空间。Historic England 的建筑调查记录：这座晚期中世纪木构住宅为三开间，中央一间向屋顶敞开，端部开间有楼层；中央厅堂设开放火塘，烟从屋顶空间排出。调查还指出，住宅有“上端”和“下端”的社会与服务差异；部分隔间用途仍有推断成分。</w:t>
      </w:r>
      <w:hyperlink r:id="rId31">
        <w:r>
          <w:rPr>
            <w:color w:val="237E86"/>
            <w:u w:val="single"/>
            <w:rFonts w:eastAsia="SimSun" w:ascii="SimSun" w:hAnsi="SimSun"/>
            <w:sz w:val="21"/>
          </w:rPr>
          <w:t>Historic England：The Hermitage 建筑调查</w:t>
        </w:r>
      </w:hyperlink>
    </w:p>
    <w:p>
      <w:pPr>
        <w:widowControl/>
        <w:ind w:firstLine="302"/>
      </w:pPr>
      <w:r>
        <w:rPr>
          <w:rFonts w:ascii="SimSun" w:hAnsi="SimSun" w:eastAsia="SimSun"/>
          <w:b/>
        </w:rPr>
        <w:t>【事实｜变体对照】</w:t>
      </w:r>
      <w:r>
        <w:rPr>
          <w:rFonts w:ascii="SimSun" w:hAnsi="SimSun" w:eastAsia="SimSun"/>
        </w:rPr>
        <w:t>Essex 的 Fox Hall 农舍建于 14 世纪，原为开放厅堂，中央明火；约 1500 年加入带烟囱的壁炉。它说明火与烟气的处理会随房屋使用和构造改变，但不能据此推定所有家屋都同步改造。</w:t>
      </w:r>
      <w:hyperlink r:id="rId32">
        <w:r>
          <w:rPr>
            <w:color w:val="237E86"/>
            <w:u w:val="single"/>
            <w:rFonts w:eastAsia="SimSun" w:ascii="SimSun" w:hAnsi="SimSun"/>
            <w:sz w:val="21"/>
          </w:rPr>
          <w:t>Historic England：Fox Hall</w:t>
        </w:r>
      </w:hyperlink>
    </w:p>
    <w:p>
      <w:pPr>
        <w:widowControl/>
        <w:ind w:firstLine="302"/>
      </w:pPr>
      <w:r>
        <w:rPr>
          <w:rFonts w:ascii="SimSun" w:hAnsi="SimSun" w:eastAsia="SimSun"/>
          <w:b/>
        </w:rPr>
        <w:t>先看图：</w:t>
      </w:r>
      <w:r>
        <w:rPr>
          <w:rFonts w:ascii="SimSun" w:hAnsi="SimSun" w:eastAsia="SimSun"/>
        </w:rPr>
        <w:t>先画三开间剖面：中央厅堂向屋顶敞开、两端空间与火塘烟气路径；再画通道怎样连接入口、厅堂和两端。把调查确认的结构与调查者对房间用途的解释分开标注。史料没有确认的家具不标作复原。</w:t>
      </w:r>
    </w:p>
    <w:p>
      <w:pPr>
        <w:pStyle w:val="Heading2"/>
      </w:pPr>
      <w:bookmarkStart w:id="section_024" w:name="section_024"/>
      <w:r>
        <w:t>原创 brief、功能与路线</w:t>
      </w:r>
      <w:bookmarkEnd w:id="section_024"/>
    </w:p>
    <w:p>
      <w:pPr>
        <w:widowControl/>
        <w:ind w:firstLine="302"/>
      </w:pPr>
      <w:r>
        <w:rPr>
          <w:rFonts w:ascii="SimSun" w:hAnsi="SimSun" w:eastAsia="SimSun"/>
          <w:b/>
        </w:rPr>
        <w:t>【设计选择】</w:t>
      </w:r>
      <w:r>
        <w:rPr>
          <w:rFonts w:ascii="SimSun" w:hAnsi="SimSun" w:eastAsia="SimSun"/>
        </w:rPr>
        <w:t>游戏中的家庭住在一座独立厅堂家屋中。玩家要在共同厅堂、服务活动和较私密的家庭空间之间作安排。方案可以借用“三开间、中央厅堂、两端辅助空间”的可读关系，但不必复刻 The Hermitage 的朝向、地名或房间用途。除 brief 明确需要的功能外，不预设固定卧室、厨房和走廊。</w:t>
      </w:r>
    </w:p>
    <w:tbl>
      <w:tblPr>
        <w:tblW w:type="dxa" w:w="9245"/>
        <w:jc w:val="center"/>
        <w:tblLayout w:type="fixed"/>
        <w:tblLook w:firstColumn="1" w:firstRow="1" w:lastColumn="0" w:lastRow="0" w:noHBand="0" w:noVBand="1" w:val="04A0"/>
        <w:tblInd w:w="95" w:type="dxa"/>
        <w:tblBorders>
          <w:top w:val="single" w:sz="5" w:space="0" w:color="C8D6D4"/>
          <w:left w:val="single" w:sz="5" w:space="0" w:color="C8D6D4"/>
          <w:bottom w:val="single" w:sz="5" w:space="0" w:color="C8D6D4"/>
          <w:right w:val="single" w:sz="5" w:space="0" w:color="C8D6D4"/>
          <w:insideH w:val="single" w:sz="5" w:space="0" w:color="C8D6D4"/>
          <w:insideV w:val="single" w:sz="5" w:space="0" w:color="C8D6D4"/>
        </w:tblBorders>
      </w:tblPr>
      <w:tblGrid>
        <w:gridCol w:w="1699"/>
        <w:gridCol w:w="3658"/>
        <w:gridCol w:w="3888"/>
      </w:tblGrid>
      <w:tr>
        <w:trPr>
          <w:cantSplit/>
          <w:tblHeader w:val="true"/>
        </w:trPr>
        <w:tc>
          <w:tcPr>
            <w:tcW w:type="dxa" w:w="1699"/>
            <w:vAlign w:val="center"/>
            <w:tcMar>
              <w:top w:w="85" w:type="dxa"/>
              <w:start w:w="95" w:type="dxa"/>
              <w:bottom w:w="85" w:type="dxa"/>
              <w:end w:w="95" w:type="dxa"/>
            </w:tcMar>
            <w:shd w:fill="315B60"/>
          </w:tcPr>
          <w:p>
            <w:pPr>
              <w:keepNext/>
              <w:spacing w:after="0" w:before="0" w:line="278" w:lineRule="auto"/>
              <w:ind w:firstLine="0"/>
            </w:pPr>
            <w:r>
              <w:rPr>
                <w:rFonts w:ascii="SimSun" w:hAnsi="SimSun" w:eastAsia="SimSun"/>
                <w:b/>
                <w:color w:val="FFFFFF"/>
                <w:sz w:val="18"/>
              </w:rPr>
              <w:t>顺序</w:t>
            </w:r>
          </w:p>
        </w:tc>
        <w:tc>
          <w:tcPr>
            <w:tcW w:type="dxa" w:w="3658"/>
            <w:vAlign w:val="center"/>
            <w:tcMar>
              <w:top w:w="85" w:type="dxa"/>
              <w:start w:w="95" w:type="dxa"/>
              <w:bottom w:w="85" w:type="dxa"/>
              <w:end w:w="95" w:type="dxa"/>
            </w:tcMar>
            <w:shd w:fill="315B60"/>
          </w:tcPr>
          <w:p>
            <w:pPr>
              <w:keepNext/>
              <w:spacing w:after="0" w:before="0" w:line="278" w:lineRule="auto"/>
              <w:ind w:firstLine="0"/>
            </w:pPr>
            <w:r>
              <w:rPr>
                <w:rFonts w:ascii="SimSun" w:hAnsi="SimSun" w:eastAsia="SimSun"/>
                <w:b/>
                <w:color w:val="FFFFFF"/>
                <w:sz w:val="18"/>
              </w:rPr>
              <w:t>区域／功能</w:t>
            </w:r>
          </w:p>
        </w:tc>
        <w:tc>
          <w:tcPr>
            <w:tcW w:type="dxa" w:w="3888"/>
            <w:vAlign w:val="center"/>
            <w:tcMar>
              <w:top w:w="85" w:type="dxa"/>
              <w:start w:w="95" w:type="dxa"/>
              <w:bottom w:w="85" w:type="dxa"/>
              <w:end w:w="95" w:type="dxa"/>
            </w:tcMar>
            <w:shd w:fill="315B60"/>
          </w:tcPr>
          <w:p>
            <w:pPr>
              <w:keepNext/>
              <w:spacing w:after="0" w:before="0" w:line="278" w:lineRule="auto"/>
              <w:ind w:firstLine="0"/>
            </w:pPr>
            <w:r>
              <w:rPr>
                <w:rFonts w:ascii="SimSun" w:hAnsi="SimSun" w:eastAsia="SimSun"/>
                <w:b/>
                <w:color w:val="FFFFFF"/>
                <w:sz w:val="18"/>
              </w:rPr>
              <w:t>谁在何时使用；关系与限制</w:t>
            </w:r>
          </w:p>
        </w:tc>
      </w:tr>
      <w:tr>
        <w:trPr>
          <w:cantSplit/>
        </w:trPr>
        <w:tc>
          <w:tcPr>
            <w:tcW w:type="dxa" w:w="1699"/>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1</w:t>
            </w:r>
          </w:p>
        </w:tc>
        <w:tc>
          <w:tcPr>
            <w:tcW w:type="dxa" w:w="3658"/>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入口通道</w:t>
            </w:r>
          </w:p>
        </w:tc>
        <w:tc>
          <w:tcPr>
            <w:tcW w:type="dxa" w:w="3888"/>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住户和访客由此进入；若采用穿堂或相对的门，进出会穿越厅堂边缘。门的位置需考虑风、搬运和对内部的视线。</w:t>
            </w:r>
          </w:p>
        </w:tc>
      </w:tr>
      <w:tr>
        <w:trPr>
          <w:cantSplit/>
        </w:trPr>
        <w:tc>
          <w:tcPr>
            <w:tcW w:type="dxa" w:w="1699"/>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2</w:t>
            </w:r>
          </w:p>
        </w:tc>
        <w:tc>
          <w:tcPr>
            <w:tcW w:type="dxa" w:w="3658"/>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中央厅堂</w:t>
            </w:r>
          </w:p>
        </w:tc>
        <w:tc>
          <w:tcPr>
            <w:tcW w:type="dxa" w:w="3888"/>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家庭成员在此共同活动。厅堂开放至屋顶可形成连续的大空间，也让火塘烟气进入上部屋架；玩家需考虑烟、照明和共同活动同时发生时的影响。</w:t>
            </w:r>
          </w:p>
        </w:tc>
      </w:tr>
      <w:tr>
        <w:trPr>
          <w:cantSplit/>
        </w:trPr>
        <w:tc>
          <w:tcPr>
            <w:tcW w:type="dxa" w:w="1699"/>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3</w:t>
            </w:r>
          </w:p>
        </w:tc>
        <w:tc>
          <w:tcPr>
            <w:tcW w:type="dxa" w:w="3658"/>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火塘</w:t>
            </w:r>
          </w:p>
        </w:tc>
        <w:tc>
          <w:tcPr>
            <w:tcW w:type="dxa" w:w="3888"/>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需要火源的活动围绕其组织。火塘可能支持取暖和烹饪，但每项具体用途仍须由 brief 确定；火与可燃屋架之间要有可理解的安全关系。</w:t>
            </w:r>
          </w:p>
        </w:tc>
      </w:tr>
      <w:tr>
        <w:trPr>
          <w:cantSplit/>
        </w:trPr>
        <w:tc>
          <w:tcPr>
            <w:tcW w:type="dxa" w:w="1699"/>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4</w:t>
            </w:r>
          </w:p>
        </w:tc>
        <w:tc>
          <w:tcPr>
            <w:tcW w:type="dxa" w:w="3658"/>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服务端空间</w:t>
            </w:r>
          </w:p>
        </w:tc>
        <w:tc>
          <w:tcPr>
            <w:tcW w:type="dxa" w:w="3888"/>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若场景需要食物、饮料或日常物品的准备／存放，可把功能安排在靠近入口或厅堂的一端。The Hermitage 的具体分隔有调查推断，游戏方案应标明这是借用结构关系还是另作选择。</w:t>
            </w:r>
          </w:p>
        </w:tc>
      </w:tr>
      <w:tr>
        <w:trPr>
          <w:cantSplit/>
        </w:trPr>
        <w:tc>
          <w:tcPr>
            <w:tcW w:type="dxa" w:w="1699"/>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5</w:t>
            </w:r>
          </w:p>
        </w:tc>
        <w:tc>
          <w:tcPr>
            <w:tcW w:type="dxa" w:w="3658"/>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较私密的端部空间</w:t>
            </w:r>
          </w:p>
        </w:tc>
        <w:tc>
          <w:tcPr>
            <w:tcW w:type="dxa" w:w="3888"/>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如需减少穿行或提供较安静的区域，可把它放在远离入口和工作流的一端；“谁使用”及其身份关系须由游戏设定决定。</w:t>
            </w:r>
          </w:p>
        </w:tc>
      </w:tr>
    </w:tbl>
    <w:p>
      <w:pPr>
        <w:spacing w:after="40"/>
      </w:pPr>
    </w:p>
    <w:p>
      <w:pPr>
        <w:widowControl/>
        <w:ind w:firstLine="302"/>
      </w:pPr>
      <w:r>
        <w:rPr>
          <w:rFonts w:ascii="SimSun" w:hAnsi="SimSun" w:eastAsia="SimSun"/>
        </w:rPr>
        <w:t>独立家屋说的是一个主要建筑单元自成一体，不意味着只有一个房间。厅堂家屋的三开间关系让读者看见“共同活动中心—辅助空间—较私密端部”如何共处；这只是英格兰晚期中世纪住宅的一种空间解法。开放厅堂可以形成共同活动中心，代价是烟、声音和私密边界集中在同一空间。Fox Hall 后来的烟囱是单栋房屋自身的变化，不代表烟囱出现后所有家屋都采用同一平面。</w:t>
      </w:r>
    </w:p>
    <w:p>
      <w:pPr>
        <w:widowControl/>
        <w:ind w:firstLine="302"/>
      </w:pPr>
      <w:r>
        <w:rPr>
          <w:rFonts w:ascii="SimSun" w:hAnsi="SimSun" w:eastAsia="SimSun"/>
        </w:rPr>
        <w:t>从人物路线看，入口通道把访客和住户带入厅堂；从物资路线看，食物或燃料若要进入服务端和火塘，需要避免堵塞共同空间。The Hermitage 调查认为楼梯可能位于服务端一角，但楼梯本体已经不存；这类证据不确定性很适合转化为游戏中的方案选择：保留通往上层的窄楼梯，或把上层设为不可进入的背景空间，并在设定中说明原因。</w:t>
      </w:r>
    </w:p>
    <w:p>
      <w:pPr>
        <w:widowControl/>
        <w:ind w:firstLine="302"/>
      </w:pPr>
      <w:r>
        <w:rPr>
          <w:rFonts w:ascii="SimSun" w:hAnsi="SimSun" w:eastAsia="SimSun"/>
        </w:rPr>
        <w:t>闭环检查火塘如何清理、屋架与屋面如何维护、烟气出口是否畅通、入口和厅堂是否能同时支持来客与日常劳动。火源改成烟囱后，屋顶烟气路径和厅堂使用条件都会改变；要把这类改变当成建筑持续更新的一部分，而不是简单换一件装饰物。</w:t>
      </w:r>
      <w:r>
        <w:rPr>
          <w:rFonts w:ascii="SimSun" w:hAnsi="SimSun" w:eastAsia="SimSun"/>
          <w:b/>
        </w:rPr>
        <w:t>资料边界：</w:t>
      </w:r>
      <w:r>
        <w:rPr>
          <w:rFonts w:ascii="SimSun" w:hAnsi="SimSun" w:eastAsia="SimSun"/>
        </w:rPr>
        <w:t>The Hermitage 报告对部分服务空间和楼梯位置使用“可能”判断，不能当成确证平面。练习：给出四项家庭活动，其中两项同时发生；画三开间平面和剖面，标出厅堂、火源、烟气、服务端、较私密端以及一条物资路线，说明取舍。</w:t>
      </w:r>
    </w:p>
    <w:p>
      <w:pPr>
        <w:pStyle w:val="Heading1"/>
        <w:keepNext/>
        <w:pageBreakBefore/>
      </w:pPr>
      <w:bookmarkStart w:id="section_025" w:name="section_025"/>
      <w:r>
        <w:t>第 6 章 长屋与共享居所：长向空间里的住户关系</w:t>
      </w:r>
      <w:bookmarkEnd w:id="section_025"/>
    </w:p>
    <w:p>
      <w:pPr>
        <w:pStyle w:val="Heading2"/>
      </w:pPr>
      <w:bookmarkStart w:id="section_026" w:name="section_026"/>
      <w:r>
        <w:t>类型识别卡与图面说明</w:t>
      </w:r>
      <w:bookmarkEnd w:id="section_026"/>
    </w:p>
    <w:p>
      <w:pPr>
        <w:keepNext/>
        <w:spacing w:before="80" w:after="40"/>
        <w:jc w:val="center"/>
      </w:pPr>
      <w:r>
        <w:drawing>
          <wp:inline xmlns:a="http://schemas.openxmlformats.org/drawingml/2006/main" xmlns:pic="http://schemas.openxmlformats.org/drawingml/2006/picture">
            <wp:extent cx="5806440" cy="3870960"/>
            <wp:docPr id="7" name="Picture 7" descr="图 6｜长屋与共享居所：长向空间里的住户关系（原创游戏概念设计，非历史复原）" title="图 6｜长屋与共享居所：长向空间里的住户关系（原创游戏概念设计，非历史复原）"/>
            <wp:cNvGraphicFramePr>
              <a:graphicFrameLocks noChangeAspect="1"/>
            </wp:cNvGraphicFramePr>
            <a:graphic>
              <a:graphicData uri="http://schemas.openxmlformats.org/drawingml/2006/picture">
                <pic:pic>
                  <pic:nvPicPr>
                    <pic:cNvPr id="0" name="06-长屋与共享居所.jpg"/>
                    <pic:cNvPicPr/>
                  </pic:nvPicPr>
                  <pic:blipFill>
                    <a:blip r:embed="rId33"/>
                    <a:stretch>
                      <a:fillRect/>
                    </a:stretch>
                  </pic:blipFill>
                  <pic:spPr>
                    <a:xfrm>
                      <a:off x="0" y="0"/>
                      <a:ext cx="5806440" cy="3870960"/>
                    </a:xfrm>
                    <a:prstGeom prst="rect"/>
                  </pic:spPr>
                </pic:pic>
              </a:graphicData>
            </a:graphic>
          </wp:inline>
        </w:drawing>
      </w:r>
    </w:p>
    <w:p>
      <w:pPr>
        <w:keepNext/>
        <w:spacing w:before="20" w:after="180"/>
        <w:jc w:val="center"/>
      </w:pPr>
      <w:r>
        <w:rPr>
          <w:rFonts w:ascii="SimSun" w:hAnsi="SimSun" w:eastAsia="SimSun"/>
          <w:b/>
          <w:color w:val="5F7778"/>
          <w:sz w:val="19"/>
        </w:rPr>
        <w:t>图 6｜长屋与共享居所：长向空间里的住户关系（原创游戏概念设计，非历史复原）</w:t>
      </w:r>
    </w:p>
    <w:p>
      <w:pPr>
        <w:widowControl/>
        <w:ind w:firstLine="302"/>
      </w:pPr>
      <w:r>
        <w:rPr>
          <w:rFonts w:ascii="SimSun" w:hAnsi="SimSun" w:eastAsia="SimSun"/>
          <w:b/>
        </w:rPr>
        <w:t>【事实｜案例入口】</w:t>
      </w:r>
      <w:r>
        <w:rPr>
          <w:rFonts w:ascii="SimSun" w:hAnsi="SimSun" w:eastAsia="SimSun"/>
        </w:rPr>
        <w:t>美国切萨皮克地区的原住民社区资料记载 yihakan 长屋：木框架覆编织芦苇席，多户可能共居，部分长屋可达约 70 英尺。NPS 的另一页面说明该地区的季节性迁移和临时居所。两项资料属于特定地区和群体；“长屋”不能泛化到其他文化。</w:t>
      </w:r>
      <w:hyperlink r:id="rId34">
        <w:r>
          <w:rPr>
            <w:color w:val="237E86"/>
            <w:u w:val="single"/>
            <w:rFonts w:eastAsia="SimSun" w:ascii="SimSun" w:hAnsi="SimSun"/>
            <w:sz w:val="21"/>
          </w:rPr>
          <w:t>NPS：切萨皮克原住民生活与长屋</w:t>
        </w:r>
      </w:hyperlink>
      <w:r>
        <w:rPr>
          <w:rFonts w:ascii="SimSun" w:hAnsi="SimSun" w:eastAsia="SimSun"/>
        </w:rPr>
        <w:t>；</w:t>
      </w:r>
      <w:hyperlink r:id="rId35">
        <w:r>
          <w:rPr>
            <w:color w:val="237E86"/>
            <w:u w:val="single"/>
            <w:rFonts w:eastAsia="SimSun" w:ascii="SimSun" w:hAnsi="SimSun"/>
            <w:sz w:val="21"/>
          </w:rPr>
          <w:t>NPS：切萨皮克历史公园中的 yehakin 解释</w:t>
        </w:r>
      </w:hyperlink>
    </w:p>
    <w:p>
      <w:pPr>
        <w:widowControl/>
        <w:ind w:firstLine="302"/>
      </w:pPr>
      <w:r>
        <w:rPr>
          <w:rFonts w:ascii="SimSun" w:hAnsi="SimSun" w:eastAsia="SimSun"/>
          <w:b/>
        </w:rPr>
        <w:t>【事实｜对照案例】</w:t>
      </w:r>
      <w:r>
        <w:rPr>
          <w:rFonts w:ascii="SimSun" w:hAnsi="SimSun" w:eastAsia="SimSun"/>
        </w:rPr>
        <w:t>为了让内部空间关系更具体，可旁读 NPS 面向儿童的 Susquehannock 长屋介绍：该资料描述木框架覆树皮或芦苇席、可移动的内部隔片、沿墙铺位和居中火源。它讲的是 1600 年代萨斯奎哈纳河流域的 Susquehannock，不是上面提到的弗吉尼亚 Algonquian yihakan；本书把它作为另一地区的空间线索，不把两者拼成一个“通用长屋”。该页面是教育性介绍，若要复原特定社区，还需找考古与社区来源核验。</w:t>
      </w:r>
      <w:hyperlink r:id="rId36">
        <w:r>
          <w:rPr>
            <w:color w:val="237E86"/>
            <w:u w:val="single"/>
            <w:rFonts w:eastAsia="SimSun" w:ascii="SimSun" w:hAnsi="SimSun"/>
            <w:sz w:val="21"/>
          </w:rPr>
          <w:t>NPS：Susquehannock 长屋活动资料</w:t>
        </w:r>
      </w:hyperlink>
    </w:p>
    <w:p>
      <w:pPr>
        <w:widowControl/>
        <w:ind w:firstLine="302"/>
      </w:pPr>
      <w:r>
        <w:rPr>
          <w:rFonts w:ascii="SimSun" w:hAnsi="SimSun" w:eastAsia="SimSun"/>
          <w:b/>
        </w:rPr>
        <w:t>先看图：</w:t>
      </w:r>
      <w:r>
        <w:rPr>
          <w:rFonts w:ascii="SimSun" w:hAnsi="SimSun" w:eastAsia="SimSun"/>
        </w:rPr>
        <w:t>画长向空间的活动带、出入口和分隔方式。隔帘、铺位或共用火源若纳入，应注明其证据或设计来源，不画成所有长屋的必备构件。</w:t>
      </w:r>
    </w:p>
    <w:p>
      <w:pPr>
        <w:pStyle w:val="Heading2"/>
      </w:pPr>
      <w:bookmarkStart w:id="section_027" w:name="section_027"/>
      <w:r>
        <w:t>原创 brief、活动与功能</w:t>
      </w:r>
      <w:bookmarkEnd w:id="section_027"/>
    </w:p>
    <w:p>
      <w:pPr>
        <w:widowControl/>
        <w:ind w:firstLine="302"/>
      </w:pPr>
      <w:r>
        <w:rPr>
          <w:rFonts w:ascii="SimSun" w:hAnsi="SimSun" w:eastAsia="SimSun"/>
          <w:b/>
        </w:rPr>
        <w:t>【设计选择】</w:t>
      </w:r>
      <w:r>
        <w:rPr>
          <w:rFonts w:ascii="SimSun" w:hAnsi="SimSun" w:eastAsia="SimSun"/>
        </w:rPr>
        <w:t>游戏中的一座长屋由一个扩展家庭共同使用。需安排休息、交谈、储物和一项家庭生计活动，不指定家庭人数，也不假设沿两侧对称排列。这个选择便于练习家庭边界；如果设定改为多户同住，就必须重排共享活动、私人空间和物品归属，不能只把屋子拉长。</w:t>
      </w:r>
    </w:p>
    <w:tbl>
      <w:tblPr>
        <w:tblW w:type="dxa" w:w="9245"/>
        <w:jc w:val="center"/>
        <w:tblLayout w:type="fixed"/>
        <w:tblLook w:firstColumn="1" w:firstRow="1" w:lastColumn="0" w:lastRow="0" w:noHBand="0" w:noVBand="1" w:val="04A0"/>
        <w:tblInd w:w="95" w:type="dxa"/>
        <w:tblBorders>
          <w:top w:val="single" w:sz="5" w:space="0" w:color="C8D6D4"/>
          <w:left w:val="single" w:sz="5" w:space="0" w:color="C8D6D4"/>
          <w:bottom w:val="single" w:sz="5" w:space="0" w:color="C8D6D4"/>
          <w:right w:val="single" w:sz="5" w:space="0" w:color="C8D6D4"/>
          <w:insideH w:val="single" w:sz="5" w:space="0" w:color="C8D6D4"/>
          <w:insideV w:val="single" w:sz="5" w:space="0" w:color="C8D6D4"/>
        </w:tblBorders>
      </w:tblPr>
      <w:tblGrid>
        <w:gridCol w:w="1699"/>
        <w:gridCol w:w="3658"/>
        <w:gridCol w:w="3888"/>
      </w:tblGrid>
      <w:tr>
        <w:trPr>
          <w:cantSplit/>
          <w:tblHeader w:val="true"/>
        </w:trPr>
        <w:tc>
          <w:tcPr>
            <w:tcW w:type="dxa" w:w="1699"/>
            <w:vAlign w:val="center"/>
            <w:tcMar>
              <w:top w:w="85" w:type="dxa"/>
              <w:start w:w="95" w:type="dxa"/>
              <w:bottom w:w="85" w:type="dxa"/>
              <w:end w:w="95" w:type="dxa"/>
            </w:tcMar>
            <w:shd w:fill="315B60"/>
          </w:tcPr>
          <w:p>
            <w:pPr>
              <w:keepNext/>
              <w:spacing w:after="0" w:before="0" w:line="278" w:lineRule="auto"/>
              <w:ind w:firstLine="0"/>
            </w:pPr>
            <w:r>
              <w:rPr>
                <w:rFonts w:ascii="SimSun" w:hAnsi="SimSun" w:eastAsia="SimSun"/>
                <w:b/>
                <w:color w:val="FFFFFF"/>
                <w:sz w:val="18"/>
              </w:rPr>
              <w:t>顺序</w:t>
            </w:r>
          </w:p>
        </w:tc>
        <w:tc>
          <w:tcPr>
            <w:tcW w:type="dxa" w:w="3658"/>
            <w:vAlign w:val="center"/>
            <w:tcMar>
              <w:top w:w="85" w:type="dxa"/>
              <w:start w:w="95" w:type="dxa"/>
              <w:bottom w:w="85" w:type="dxa"/>
              <w:end w:w="95" w:type="dxa"/>
            </w:tcMar>
            <w:shd w:fill="315B60"/>
          </w:tcPr>
          <w:p>
            <w:pPr>
              <w:keepNext/>
              <w:spacing w:after="0" w:before="0" w:line="278" w:lineRule="auto"/>
              <w:ind w:firstLine="0"/>
            </w:pPr>
            <w:r>
              <w:rPr>
                <w:rFonts w:ascii="SimSun" w:hAnsi="SimSun" w:eastAsia="SimSun"/>
                <w:b/>
                <w:color w:val="FFFFFF"/>
                <w:sz w:val="18"/>
              </w:rPr>
              <w:t>区域／功能</w:t>
            </w:r>
          </w:p>
        </w:tc>
        <w:tc>
          <w:tcPr>
            <w:tcW w:type="dxa" w:w="3888"/>
            <w:vAlign w:val="center"/>
            <w:tcMar>
              <w:top w:w="85" w:type="dxa"/>
              <w:start w:w="95" w:type="dxa"/>
              <w:bottom w:w="85" w:type="dxa"/>
              <w:end w:w="95" w:type="dxa"/>
            </w:tcMar>
            <w:shd w:fill="315B60"/>
          </w:tcPr>
          <w:p>
            <w:pPr>
              <w:keepNext/>
              <w:spacing w:after="0" w:before="0" w:line="278" w:lineRule="auto"/>
              <w:ind w:firstLine="0"/>
            </w:pPr>
            <w:r>
              <w:rPr>
                <w:rFonts w:ascii="SimSun" w:hAnsi="SimSun" w:eastAsia="SimSun"/>
                <w:b/>
                <w:color w:val="FFFFFF"/>
                <w:sz w:val="18"/>
              </w:rPr>
              <w:t>谁在何时使用；关系与限制</w:t>
            </w:r>
          </w:p>
        </w:tc>
      </w:tr>
      <w:tr>
        <w:trPr>
          <w:cantSplit/>
        </w:trPr>
        <w:tc>
          <w:tcPr>
            <w:tcW w:type="dxa" w:w="1699"/>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1</w:t>
            </w:r>
          </w:p>
        </w:tc>
        <w:tc>
          <w:tcPr>
            <w:tcW w:type="dxa" w:w="3658"/>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入口与物资进入带</w:t>
            </w:r>
          </w:p>
        </w:tc>
        <w:tc>
          <w:tcPr>
            <w:tcW w:type="dxa" w:w="3888"/>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【设计选择】住户往返时使用；入口位置决定搬运是否穿越其他活动区。资料未确认入口数量或方位，不把图面选择说成史实。</w:t>
            </w:r>
          </w:p>
        </w:tc>
      </w:tr>
      <w:tr>
        <w:trPr>
          <w:cantSplit/>
        </w:trPr>
        <w:tc>
          <w:tcPr>
            <w:tcW w:type="dxa" w:w="1699"/>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2</w:t>
            </w:r>
          </w:p>
        </w:tc>
        <w:tc>
          <w:tcPr>
            <w:tcW w:type="dxa" w:w="3658"/>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休息与睡眠边</w:t>
            </w:r>
          </w:p>
        </w:tc>
        <w:tc>
          <w:tcPr>
            <w:tcW w:type="dxa" w:w="3888"/>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Susquehannock 教育资料记录沿墙铺位；若本 brief 借用这个线索，需注明是参考另一地区的案例，不宣称是 yihakan 长屋布局。</w:t>
            </w:r>
          </w:p>
        </w:tc>
      </w:tr>
      <w:tr>
        <w:trPr>
          <w:cantSplit/>
        </w:trPr>
        <w:tc>
          <w:tcPr>
            <w:tcW w:type="dxa" w:w="1699"/>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3</w:t>
            </w:r>
          </w:p>
        </w:tc>
        <w:tc>
          <w:tcPr>
            <w:tcW w:type="dxa" w:w="3658"/>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共同活动区</w:t>
            </w:r>
          </w:p>
        </w:tc>
        <w:tc>
          <w:tcPr>
            <w:tcW w:type="dxa" w:w="3888"/>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家庭成员需要共同操作或交谈时使用。放在中部或入口附近由 brief 决定；聚集与通行可能冲突。</w:t>
            </w:r>
          </w:p>
        </w:tc>
      </w:tr>
      <w:tr>
        <w:trPr>
          <w:cantSplit/>
        </w:trPr>
        <w:tc>
          <w:tcPr>
            <w:tcW w:type="dxa" w:w="1699"/>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4</w:t>
            </w:r>
          </w:p>
        </w:tc>
        <w:tc>
          <w:tcPr>
            <w:tcW w:type="dxa" w:w="3658"/>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家庭／个人边界</w:t>
            </w:r>
          </w:p>
        </w:tc>
        <w:tc>
          <w:tcPr>
            <w:tcW w:type="dxa" w:w="3888"/>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Susquehannock 资料提到可用席片分隔；在本方案中采用固定隔断、可移动遮蔽或时间规则，都属于选择。</w:t>
            </w:r>
          </w:p>
        </w:tc>
      </w:tr>
      <w:tr>
        <w:trPr>
          <w:cantSplit/>
        </w:trPr>
        <w:tc>
          <w:tcPr>
            <w:tcW w:type="dxa" w:w="1699"/>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5</w:t>
            </w:r>
          </w:p>
        </w:tc>
        <w:tc>
          <w:tcPr>
            <w:tcW w:type="dxa" w:w="3658"/>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火源、工作与储物</w:t>
            </w:r>
          </w:p>
        </w:tc>
        <w:tc>
          <w:tcPr>
            <w:tcW w:type="dxa" w:w="3888"/>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若设置火，需检查烟气和照看；物品要说明归属、储放位置及取用路径，不能堵住纵向通行。</w:t>
            </w:r>
          </w:p>
        </w:tc>
      </w:tr>
    </w:tbl>
    <w:p>
      <w:pPr>
        <w:spacing w:after="40"/>
      </w:pPr>
    </w:p>
    <w:p>
      <w:pPr>
        <w:widowControl/>
        <w:ind w:firstLine="302"/>
      </w:pPr>
      <w:r>
        <w:rPr>
          <w:rFonts w:ascii="SimSun" w:hAnsi="SimSun" w:eastAsia="SimSun"/>
        </w:rPr>
        <w:t>长向空间容易让“经过”和“停留”重叠。一端入口可能使深处住户穿越他人的活动范围；第二个出口会增加建造和管理成本。分区可以固定、可移动或依时段调整；不能把住户空间必定平均分配写成史实。沿墙安排铺位可以腾出中部通行空间，但也会让靠墙区域成为更明确的家庭领域；使用可移动席片能随活动改变边界，却要有收纳和维护位置。这两种处理方式是设计者可测试的方案，不能在没有对应来源时写成所有长屋的共同规律。</w:t>
      </w:r>
    </w:p>
    <w:p>
      <w:pPr>
        <w:widowControl/>
        <w:ind w:firstLine="302"/>
      </w:pPr>
      <w:r>
        <w:rPr>
          <w:rFonts w:ascii="SimSun" w:hAnsi="SimSun" w:eastAsia="SimSun"/>
        </w:rPr>
        <w:t>路线图分别画人物到达和物资搬运，并检查共用活动时是否仍能通行。闭环检查覆盖物修补、内部边界调整，以及迁移或废弃时哪些构件可带走。若正式选用具体考古长屋，还需补齐遗址平面、年代和内部设施资料。</w:t>
      </w:r>
    </w:p>
    <w:p>
      <w:pPr>
        <w:pStyle w:val="Heading2"/>
      </w:pPr>
      <w:bookmarkStart w:id="section_028" w:name="section_028"/>
      <w:r>
        <w:t>共性、变体与练习</w:t>
      </w:r>
      <w:bookmarkEnd w:id="section_028"/>
    </w:p>
    <w:p>
      <w:pPr>
        <w:widowControl/>
        <w:ind w:firstLine="302"/>
      </w:pPr>
      <w:r>
        <w:rPr>
          <w:rFonts w:ascii="SimSun" w:hAnsi="SimSun" w:eastAsia="SimSun"/>
        </w:rPr>
        <w:t>长屋的识别重点是纵向空间与住户组织，不是单纯“人多”。有的资料描述多个家庭共居，有的传统描述以扩展家庭为单位；使用者数目、关系和内部规则必须与地区案例一同阅读。练习：安排一项安静活动、一项协作活动和一条搬运路线；若三者不能共存，说明使用时段或边界如何改变，并列出哪些布局来自本章所引的 Susquehannock 对照资料，哪些是原创方案。</w:t>
      </w:r>
    </w:p>
    <w:p>
      <w:pPr>
        <w:pStyle w:val="Heading1"/>
        <w:keepNext/>
        <w:pageBreakBefore/>
      </w:pPr>
      <w:bookmarkStart w:id="section_029" w:name="section_029"/>
      <w:r>
        <w:t>第 7 章 院落式家屋：从街道进入家庭内部</w:t>
      </w:r>
      <w:bookmarkEnd w:id="section_029"/>
    </w:p>
    <w:p>
      <w:pPr>
        <w:pStyle w:val="Heading2"/>
      </w:pPr>
      <w:bookmarkStart w:id="section_030" w:name="section_030"/>
      <w:r>
        <w:t>类型识别卡与图面说明</w:t>
      </w:r>
      <w:bookmarkEnd w:id="section_030"/>
    </w:p>
    <w:p>
      <w:pPr>
        <w:keepNext/>
        <w:spacing w:before="80" w:after="40"/>
        <w:jc w:val="center"/>
      </w:pPr>
      <w:r>
        <w:drawing>
          <wp:inline xmlns:a="http://schemas.openxmlformats.org/drawingml/2006/main" xmlns:pic="http://schemas.openxmlformats.org/drawingml/2006/picture">
            <wp:extent cx="5806440" cy="3870960"/>
            <wp:docPr id="8" name="Picture 8" descr="图 7｜院落式家屋：从街道到家庭内部（原创游戏概念设计，非历史复原）" title="图 7｜院落式家屋：从街道到家庭内部（原创游戏概念设计，非历史复原）"/>
            <wp:cNvGraphicFramePr>
              <a:graphicFrameLocks noChangeAspect="1"/>
            </wp:cNvGraphicFramePr>
            <a:graphic>
              <a:graphicData uri="http://schemas.openxmlformats.org/drawingml/2006/picture">
                <pic:pic>
                  <pic:nvPicPr>
                    <pic:cNvPr id="0" name="07-院落式家屋.jpg"/>
                    <pic:cNvPicPr/>
                  </pic:nvPicPr>
                  <pic:blipFill>
                    <a:blip r:embed="rId37"/>
                    <a:stretch>
                      <a:fillRect/>
                    </a:stretch>
                  </pic:blipFill>
                  <pic:spPr>
                    <a:xfrm>
                      <a:off x="0" y="0"/>
                      <a:ext cx="5806440" cy="3870960"/>
                    </a:xfrm>
                    <a:prstGeom prst="rect"/>
                  </pic:spPr>
                </pic:pic>
              </a:graphicData>
            </a:graphic>
          </wp:inline>
        </w:drawing>
      </w:r>
    </w:p>
    <w:p>
      <w:pPr>
        <w:keepNext/>
        <w:spacing w:before="20" w:after="180"/>
        <w:jc w:val="center"/>
      </w:pPr>
      <w:r>
        <w:rPr>
          <w:rFonts w:ascii="SimSun" w:hAnsi="SimSun" w:eastAsia="SimSun"/>
          <w:b/>
          <w:color w:val="5F7778"/>
          <w:sz w:val="19"/>
        </w:rPr>
        <w:t>图 7｜院落式家屋：从街道到家庭内部（原创游戏概念设计，非历史复原）</w:t>
      </w:r>
    </w:p>
    <w:p>
      <w:pPr>
        <w:widowControl/>
        <w:ind w:firstLine="302"/>
      </w:pPr>
      <w:r>
        <w:rPr>
          <w:rFonts w:ascii="SimSun" w:hAnsi="SimSun" w:eastAsia="SimSun"/>
          <w:b/>
        </w:rPr>
        <w:t>【事实｜案例入口】</w:t>
      </w:r>
      <w:r>
        <w:rPr>
          <w:rFonts w:ascii="SimSun" w:hAnsi="SimSun" w:eastAsia="SimSun"/>
        </w:rPr>
        <w:t>艾哈迈达巴德历史城市从 1411 年起长期发展。UNESCO 城市遗产图谱记录，传统家屋以中央院落组织平面，室内功能围绕或沿院落布置；pol 街区住宅紧密排列、共享侧墙，街区还包括门、公共空间和水井等设施。</w:t>
      </w:r>
      <w:hyperlink r:id="rId38">
        <w:r>
          <w:rPr>
            <w:color w:val="237E86"/>
            <w:u w:val="single"/>
            <w:rFonts w:eastAsia="SimSun" w:ascii="SimSun" w:hAnsi="SimSun"/>
            <w:sz w:val="21"/>
          </w:rPr>
          <w:t>UNESCO 艾哈迈达巴德城市遗产图谱</w:t>
        </w:r>
      </w:hyperlink>
    </w:p>
    <w:p>
      <w:pPr>
        <w:widowControl/>
        <w:ind w:firstLine="302"/>
      </w:pPr>
      <w:r>
        <w:rPr>
          <w:rFonts w:ascii="SimSun" w:hAnsi="SimSun" w:eastAsia="SimSun"/>
          <w:b/>
        </w:rPr>
        <w:t>先看图：</w:t>
      </w:r>
      <w:r>
        <w:rPr>
          <w:rFonts w:ascii="SimSun" w:hAnsi="SimSun" w:eastAsia="SimSun"/>
        </w:rPr>
        <w:t>画出“街道—入口门槛—院落—家屋内部”层次，并区分单户院落与街区共享空间。院落用途由家庭活动、气候、隐私和街区条件决定，不预先写死。</w:t>
      </w:r>
    </w:p>
    <w:p>
      <w:pPr>
        <w:pStyle w:val="Heading2"/>
      </w:pPr>
      <w:bookmarkStart w:id="section_031" w:name="section_031"/>
      <w:r>
        <w:t>原创 brief、功能与路径</w:t>
      </w:r>
      <w:bookmarkEnd w:id="section_031"/>
    </w:p>
    <w:p>
      <w:pPr>
        <w:widowControl/>
        <w:ind w:firstLine="302"/>
      </w:pPr>
      <w:r>
        <w:rPr>
          <w:rFonts w:ascii="SimSun" w:hAnsi="SimSun" w:eastAsia="SimSun"/>
          <w:b/>
        </w:rPr>
        <w:t>【设计选择】</w:t>
      </w:r>
      <w:r>
        <w:rPr>
          <w:rFonts w:ascii="SimSun" w:hAnsi="SimSun" w:eastAsia="SimSun"/>
        </w:rPr>
        <w:t>密集街区中的一家住户希望把家庭内部生活与公共街道分出层次，同时保留室内外联系。玩家决定院落承担通行、工作、采光、社交中的哪些功能；不要把所有功能塞进一个小院。</w:t>
      </w:r>
    </w:p>
    <w:p>
      <w:pPr>
        <w:widowControl/>
        <w:ind w:firstLine="302"/>
      </w:pPr>
      <w:r>
        <w:rPr>
          <w:rFonts w:ascii="SimSun" w:hAnsi="SimSun" w:eastAsia="SimSun"/>
        </w:rPr>
        <w:t>活动链按“从街巷到家门—经过门槛—在院落中分流—进入具体家内活动区—返回街巷或使用街区公共设施”组织。UNESCO 的艾哈迈达巴德资料既说明单户家屋围绕院落组织，也说明 pol 街区包含共享侧墙、入口、公共空间与水井；设计时要把家内和街区两张图分开。</w:t>
      </w:r>
    </w:p>
    <w:tbl>
      <w:tblPr>
        <w:tblW w:type="dxa" w:w="9245"/>
        <w:jc w:val="center"/>
        <w:tblLayout w:type="fixed"/>
        <w:tblLook w:firstColumn="1" w:firstRow="1" w:lastColumn="0" w:lastRow="0" w:noHBand="0" w:noVBand="1" w:val="04A0"/>
        <w:tblInd w:w="95" w:type="dxa"/>
        <w:tblBorders>
          <w:top w:val="single" w:sz="5" w:space="0" w:color="C8D6D4"/>
          <w:left w:val="single" w:sz="5" w:space="0" w:color="C8D6D4"/>
          <w:bottom w:val="single" w:sz="5" w:space="0" w:color="C8D6D4"/>
          <w:right w:val="single" w:sz="5" w:space="0" w:color="C8D6D4"/>
          <w:insideH w:val="single" w:sz="5" w:space="0" w:color="C8D6D4"/>
          <w:insideV w:val="single" w:sz="5" w:space="0" w:color="C8D6D4"/>
        </w:tblBorders>
      </w:tblPr>
      <w:tblGrid>
        <w:gridCol w:w="1699"/>
        <w:gridCol w:w="3658"/>
        <w:gridCol w:w="3888"/>
      </w:tblGrid>
      <w:tr>
        <w:trPr>
          <w:cantSplit/>
          <w:tblHeader w:val="true"/>
        </w:trPr>
        <w:tc>
          <w:tcPr>
            <w:tcW w:type="dxa" w:w="1699"/>
            <w:vAlign w:val="center"/>
            <w:tcMar>
              <w:top w:w="85" w:type="dxa"/>
              <w:start w:w="95" w:type="dxa"/>
              <w:bottom w:w="85" w:type="dxa"/>
              <w:end w:w="95" w:type="dxa"/>
            </w:tcMar>
            <w:shd w:fill="315B60"/>
          </w:tcPr>
          <w:p>
            <w:pPr>
              <w:keepNext/>
              <w:spacing w:after="0" w:before="0" w:line="278" w:lineRule="auto"/>
              <w:ind w:firstLine="0"/>
            </w:pPr>
            <w:r>
              <w:rPr>
                <w:rFonts w:ascii="SimSun" w:hAnsi="SimSun" w:eastAsia="SimSun"/>
                <w:b/>
                <w:color w:val="FFFFFF"/>
                <w:sz w:val="18"/>
              </w:rPr>
              <w:t>顺序</w:t>
            </w:r>
          </w:p>
        </w:tc>
        <w:tc>
          <w:tcPr>
            <w:tcW w:type="dxa" w:w="3658"/>
            <w:vAlign w:val="center"/>
            <w:tcMar>
              <w:top w:w="85" w:type="dxa"/>
              <w:start w:w="95" w:type="dxa"/>
              <w:bottom w:w="85" w:type="dxa"/>
              <w:end w:w="95" w:type="dxa"/>
            </w:tcMar>
            <w:shd w:fill="315B60"/>
          </w:tcPr>
          <w:p>
            <w:pPr>
              <w:keepNext/>
              <w:spacing w:after="0" w:before="0" w:line="278" w:lineRule="auto"/>
              <w:ind w:firstLine="0"/>
            </w:pPr>
            <w:r>
              <w:rPr>
                <w:rFonts w:ascii="SimSun" w:hAnsi="SimSun" w:eastAsia="SimSun"/>
                <w:b/>
                <w:color w:val="FFFFFF"/>
                <w:sz w:val="18"/>
              </w:rPr>
              <w:t>区域／功能</w:t>
            </w:r>
          </w:p>
        </w:tc>
        <w:tc>
          <w:tcPr>
            <w:tcW w:type="dxa" w:w="3888"/>
            <w:vAlign w:val="center"/>
            <w:tcMar>
              <w:top w:w="85" w:type="dxa"/>
              <w:start w:w="95" w:type="dxa"/>
              <w:bottom w:w="85" w:type="dxa"/>
              <w:end w:w="95" w:type="dxa"/>
            </w:tcMar>
            <w:shd w:fill="315B60"/>
          </w:tcPr>
          <w:p>
            <w:pPr>
              <w:keepNext/>
              <w:spacing w:after="0" w:before="0" w:line="278" w:lineRule="auto"/>
              <w:ind w:firstLine="0"/>
            </w:pPr>
            <w:r>
              <w:rPr>
                <w:rFonts w:ascii="SimSun" w:hAnsi="SimSun" w:eastAsia="SimSun"/>
                <w:b/>
                <w:color w:val="FFFFFF"/>
                <w:sz w:val="18"/>
              </w:rPr>
              <w:t>使用者与时机；关系与限制</w:t>
            </w:r>
          </w:p>
        </w:tc>
      </w:tr>
      <w:tr>
        <w:trPr>
          <w:cantSplit/>
        </w:trPr>
        <w:tc>
          <w:tcPr>
            <w:tcW w:type="dxa" w:w="1699"/>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1</w:t>
            </w:r>
          </w:p>
        </w:tc>
        <w:tc>
          <w:tcPr>
            <w:tcW w:type="dxa" w:w="3658"/>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街巷与家门</w:t>
            </w:r>
          </w:p>
        </w:tc>
        <w:tc>
          <w:tcPr>
            <w:tcW w:type="dxa" w:w="3888"/>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家庭成员、访客和搬运者进出时使用；门的位置决定邻里相遇和内部视线。</w:t>
            </w:r>
          </w:p>
        </w:tc>
      </w:tr>
      <w:tr>
        <w:trPr>
          <w:cantSplit/>
        </w:trPr>
        <w:tc>
          <w:tcPr>
            <w:tcW w:type="dxa" w:w="1699"/>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2</w:t>
            </w:r>
          </w:p>
        </w:tc>
        <w:tc>
          <w:tcPr>
            <w:tcW w:type="dxa" w:w="3658"/>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过渡门槛</w:t>
            </w:r>
          </w:p>
        </w:tc>
        <w:tc>
          <w:tcPr>
            <w:tcW w:type="dxa" w:w="3888"/>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进出、迎客、放物或短暂停留时使用；门廊是设计选择，宽度受通行量和地块限制。</w:t>
            </w:r>
          </w:p>
        </w:tc>
      </w:tr>
      <w:tr>
        <w:trPr>
          <w:cantSplit/>
        </w:trPr>
        <w:tc>
          <w:tcPr>
            <w:tcW w:type="dxa" w:w="1699"/>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3</w:t>
            </w:r>
          </w:p>
        </w:tc>
        <w:tc>
          <w:tcPr>
            <w:tcW w:type="dxa" w:w="3658"/>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内院</w:t>
            </w:r>
          </w:p>
        </w:tc>
        <w:tc>
          <w:tcPr>
            <w:tcW w:type="dxa" w:w="3888"/>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家庭成员在 brief 指定的活动期间使用；兼作通行时须留出连续路线，不能被工作物品占满。</w:t>
            </w:r>
          </w:p>
        </w:tc>
      </w:tr>
      <w:tr>
        <w:trPr>
          <w:cantSplit/>
        </w:trPr>
        <w:tc>
          <w:tcPr>
            <w:tcW w:type="dxa" w:w="1699"/>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4</w:t>
            </w:r>
          </w:p>
        </w:tc>
        <w:tc>
          <w:tcPr>
            <w:tcW w:type="dxa" w:w="3658"/>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沿院房间</w:t>
            </w:r>
          </w:p>
        </w:tc>
        <w:tc>
          <w:tcPr>
            <w:tcW w:type="dxa" w:w="3888"/>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按隐私、光线和使用频率分配活动；未核实的具体房间用途标为待定。</w:t>
            </w:r>
          </w:p>
        </w:tc>
      </w:tr>
      <w:tr>
        <w:trPr>
          <w:cantSplit/>
        </w:trPr>
        <w:tc>
          <w:tcPr>
            <w:tcW w:type="dxa" w:w="1699"/>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5</w:t>
            </w:r>
          </w:p>
        </w:tc>
        <w:tc>
          <w:tcPr>
            <w:tcW w:type="dxa" w:w="3658"/>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街区共享设施</w:t>
            </w:r>
          </w:p>
        </w:tc>
        <w:tc>
          <w:tcPr>
            <w:tcW w:type="dxa" w:w="3888"/>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居民按需使用水井、公共空间或市场；属于街区尺度，需沿公共路线到达，不是单户房间。</w:t>
            </w:r>
          </w:p>
        </w:tc>
      </w:tr>
    </w:tbl>
    <w:p>
      <w:pPr>
        <w:spacing w:after="40"/>
      </w:pPr>
    </w:p>
    <w:p>
      <w:pPr>
        <w:widowControl/>
        <w:ind w:firstLine="302"/>
      </w:pPr>
      <w:r>
        <w:rPr>
          <w:rFonts w:ascii="SimSun" w:hAnsi="SimSun" w:eastAsia="SimSun"/>
        </w:rPr>
        <w:t>院落连接家内多个区域，便于室内外切换；代价是暴露活动、占用通道或受天气影响。入口、内院和房间可以形成空间层次，但不是所有地区唯一的隐私规则。人物路线从街道入门槛、经院落到房间；物资路线要标明是否穿越家庭活动。闭环包括排水、清扫、房间维修和共享资源维护边界。</w:t>
      </w:r>
    </w:p>
    <w:p>
      <w:pPr>
        <w:pStyle w:val="Heading2"/>
      </w:pPr>
      <w:bookmarkStart w:id="section_032" w:name="section_032"/>
      <w:r>
        <w:t>共性、变体与练习</w:t>
      </w:r>
      <w:bookmarkEnd w:id="section_032"/>
    </w:p>
    <w:p>
      <w:pPr>
        <w:widowControl/>
        <w:ind w:firstLine="302"/>
      </w:pPr>
      <w:r>
        <w:rPr>
          <w:rFonts w:ascii="SimSun" w:hAnsi="SimSun" w:eastAsia="SimSun"/>
        </w:rPr>
        <w:t>院落是组织家内空间的开放中心，但不一定处处居中。练习：列出三项需要院落的活动和一项不适合放在院落的活动，画出门槛、院落、房间和访客／家人两条路线。</w:t>
      </w:r>
    </w:p>
    <w:p>
      <w:pPr>
        <w:pStyle w:val="Heading1"/>
        <w:keepNext/>
        <w:pageBreakBefore/>
      </w:pPr>
      <w:bookmarkStart w:id="section_033" w:name="section_033"/>
      <w:r>
        <w:t>第 8 章 连排或共墙家屋：相邻关系如何塑造街道</w:t>
      </w:r>
      <w:bookmarkEnd w:id="section_033"/>
    </w:p>
    <w:p>
      <w:pPr>
        <w:pStyle w:val="Heading2"/>
      </w:pPr>
      <w:bookmarkStart w:id="section_034" w:name="section_034"/>
      <w:r>
        <w:t>类型识别卡与图面说明</w:t>
      </w:r>
      <w:bookmarkEnd w:id="section_034"/>
    </w:p>
    <w:p>
      <w:pPr>
        <w:keepNext/>
        <w:spacing w:before="80" w:after="40"/>
        <w:jc w:val="center"/>
      </w:pPr>
      <w:r>
        <w:drawing>
          <wp:inline xmlns:a="http://schemas.openxmlformats.org/drawingml/2006/main" xmlns:pic="http://schemas.openxmlformats.org/drawingml/2006/picture">
            <wp:extent cx="5806440" cy="3870960"/>
            <wp:docPr id="9" name="Picture 9" descr="图 8｜连排或共墙家屋：沿街关系与共享边界（原创游戏概念设计，非历史复原）" title="图 8｜连排或共墙家屋：沿街关系与共享边界（原创游戏概念设计，非历史复原）"/>
            <wp:cNvGraphicFramePr>
              <a:graphicFrameLocks noChangeAspect="1"/>
            </wp:cNvGraphicFramePr>
            <a:graphic>
              <a:graphicData uri="http://schemas.openxmlformats.org/drawingml/2006/picture">
                <pic:pic>
                  <pic:nvPicPr>
                    <pic:cNvPr id="0" name="08-连排与共墙家屋.jpg"/>
                    <pic:cNvPicPr/>
                  </pic:nvPicPr>
                  <pic:blipFill>
                    <a:blip r:embed="rId39"/>
                    <a:stretch>
                      <a:fillRect/>
                    </a:stretch>
                  </pic:blipFill>
                  <pic:spPr>
                    <a:xfrm>
                      <a:off x="0" y="0"/>
                      <a:ext cx="5806440" cy="3870960"/>
                    </a:xfrm>
                    <a:prstGeom prst="rect"/>
                  </pic:spPr>
                </pic:pic>
              </a:graphicData>
            </a:graphic>
          </wp:inline>
        </w:drawing>
      </w:r>
    </w:p>
    <w:p>
      <w:pPr>
        <w:keepNext/>
        <w:spacing w:before="20" w:after="180"/>
        <w:jc w:val="center"/>
      </w:pPr>
      <w:r>
        <w:rPr>
          <w:rFonts w:ascii="SimSun" w:hAnsi="SimSun" w:eastAsia="SimSun"/>
          <w:b/>
          <w:color w:val="5F7778"/>
          <w:sz w:val="19"/>
        </w:rPr>
        <w:t>图 8｜连排或共墙家屋：沿街关系与共享边界（原创游戏概念设计，非历史复原）</w:t>
      </w:r>
    </w:p>
    <w:p>
      <w:pPr>
        <w:widowControl/>
        <w:ind w:firstLine="302"/>
      </w:pPr>
      <w:r>
        <w:rPr>
          <w:rFonts w:ascii="SimSun" w:hAnsi="SimSun" w:eastAsia="SimSun"/>
          <w:b/>
        </w:rPr>
        <w:t>【事实｜案例入口】</w:t>
      </w:r>
      <w:r>
        <w:rPr>
          <w:rFonts w:ascii="SimSun" w:hAnsi="SimSun" w:eastAsia="SimSun"/>
        </w:rPr>
        <w:t>Historic England 记录，英格兰 East Matfen 中世纪村落的住宅沿两排布置，面向宽阔的村庄绿地，后侧连接各自的附属地块。英格兰其他地点还发现彼此毗邻、类似线性排屋的住宅。相邻成行和结构共墙是相关但不同的关系。</w:t>
      </w:r>
      <w:hyperlink r:id="rId40">
        <w:r>
          <w:rPr>
            <w:color w:val="237E86"/>
            <w:u w:val="single"/>
            <w:rFonts w:eastAsia="SimSun" w:ascii="SimSun" w:hAnsi="SimSun"/>
            <w:sz w:val="21"/>
          </w:rPr>
          <w:t>East Matfen 村落记录</w:t>
        </w:r>
      </w:hyperlink>
      <w:r>
        <w:rPr>
          <w:rFonts w:ascii="SimSun" w:hAnsi="SimSun" w:eastAsia="SimSun"/>
        </w:rPr>
        <w:t>；</w:t>
      </w:r>
      <w:hyperlink r:id="rId41">
        <w:r>
          <w:rPr>
            <w:color w:val="237E86"/>
            <w:u w:val="single"/>
            <w:rFonts w:eastAsia="SimSun" w:ascii="SimSun" w:hAnsi="SimSun"/>
            <w:sz w:val="21"/>
          </w:rPr>
          <w:t>Historic England 中世纪聚落研究</w:t>
        </w:r>
      </w:hyperlink>
    </w:p>
    <w:p>
      <w:pPr>
        <w:widowControl/>
        <w:ind w:firstLine="302"/>
      </w:pPr>
      <w:r>
        <w:rPr>
          <w:rFonts w:ascii="SimSun" w:hAnsi="SimSun" w:eastAsia="SimSun"/>
          <w:b/>
        </w:rPr>
        <w:t>先看图：</w:t>
      </w:r>
      <w:r>
        <w:rPr>
          <w:rFonts w:ascii="SimSun" w:hAnsi="SimSun" w:eastAsia="SimSun"/>
        </w:rPr>
        <w:t>画连续街面、各户入口、家内边界、相邻墙、后侧空间和公共通路。若房屋成行但不共墙，就明确画出间距。</w:t>
      </w:r>
    </w:p>
    <w:p>
      <w:pPr>
        <w:pStyle w:val="Heading2"/>
      </w:pPr>
      <w:bookmarkStart w:id="section_035" w:name="section_035"/>
      <w:r>
        <w:t>原创 brief、活动与功能</w:t>
      </w:r>
      <w:bookmarkEnd w:id="section_035"/>
    </w:p>
    <w:p>
      <w:pPr>
        <w:widowControl/>
        <w:ind w:firstLine="302"/>
      </w:pPr>
      <w:r>
        <w:rPr>
          <w:rFonts w:ascii="SimSun" w:hAnsi="SimSun" w:eastAsia="SimSun"/>
          <w:b/>
        </w:rPr>
        <w:t>【设计选择】</w:t>
      </w:r>
      <w:r>
        <w:rPr>
          <w:rFonts w:ascii="SimSun" w:hAnsi="SimSun" w:eastAsia="SimSun"/>
        </w:rPr>
        <w:t>玩家为一段村镇街道增加家屋。道路一侧有共同开放空间，住宅后方可接各自的小地块；本关要求入口清楚、搬运路线不互相封堵。是否共墙、商住混合或使用统一材料由项目设定。</w:t>
      </w:r>
    </w:p>
    <w:p>
      <w:pPr>
        <w:widowControl/>
        <w:ind w:firstLine="302"/>
      </w:pPr>
      <w:r>
        <w:rPr>
          <w:rFonts w:ascii="SimSun" w:hAnsi="SimSun" w:eastAsia="SimSun"/>
        </w:rPr>
        <w:t>活动链按“居民从公共空间回家—在家内生活—需要时从后侧地块取物或工作—维护自家边界与相邻关系”组织。East Matfen 的记录证明该村有两排住宅面向村庄绿地、后接各户附属地块；它不证明这些住宅全部共墙，也不直接说明各户室内分区。</w:t>
      </w:r>
    </w:p>
    <w:tbl>
      <w:tblPr>
        <w:tblW w:type="dxa" w:w="9245"/>
        <w:jc w:val="center"/>
        <w:tblLayout w:type="fixed"/>
        <w:tblLook w:firstColumn="1" w:firstRow="1" w:lastColumn="0" w:lastRow="0" w:noHBand="0" w:noVBand="1" w:val="04A0"/>
        <w:tblInd w:w="95" w:type="dxa"/>
        <w:tblBorders>
          <w:top w:val="single" w:sz="5" w:space="0" w:color="C8D6D4"/>
          <w:left w:val="single" w:sz="5" w:space="0" w:color="C8D6D4"/>
          <w:bottom w:val="single" w:sz="5" w:space="0" w:color="C8D6D4"/>
          <w:right w:val="single" w:sz="5" w:space="0" w:color="C8D6D4"/>
          <w:insideH w:val="single" w:sz="5" w:space="0" w:color="C8D6D4"/>
          <w:insideV w:val="single" w:sz="5" w:space="0" w:color="C8D6D4"/>
        </w:tblBorders>
      </w:tblPr>
      <w:tblGrid>
        <w:gridCol w:w="1699"/>
        <w:gridCol w:w="3658"/>
        <w:gridCol w:w="3888"/>
      </w:tblGrid>
      <w:tr>
        <w:trPr>
          <w:cantSplit/>
          <w:tblHeader w:val="true"/>
        </w:trPr>
        <w:tc>
          <w:tcPr>
            <w:tcW w:type="dxa" w:w="1699"/>
            <w:vAlign w:val="center"/>
            <w:tcMar>
              <w:top w:w="85" w:type="dxa"/>
              <w:start w:w="95" w:type="dxa"/>
              <w:bottom w:w="85" w:type="dxa"/>
              <w:end w:w="95" w:type="dxa"/>
            </w:tcMar>
            <w:shd w:fill="315B60"/>
          </w:tcPr>
          <w:p>
            <w:pPr>
              <w:keepNext/>
              <w:spacing w:after="0" w:before="0" w:line="278" w:lineRule="auto"/>
              <w:ind w:firstLine="0"/>
            </w:pPr>
            <w:r>
              <w:rPr>
                <w:rFonts w:ascii="SimSun" w:hAnsi="SimSun" w:eastAsia="SimSun"/>
                <w:b/>
                <w:color w:val="FFFFFF"/>
                <w:sz w:val="18"/>
              </w:rPr>
              <w:t>顺序</w:t>
            </w:r>
          </w:p>
        </w:tc>
        <w:tc>
          <w:tcPr>
            <w:tcW w:type="dxa" w:w="3658"/>
            <w:vAlign w:val="center"/>
            <w:tcMar>
              <w:top w:w="85" w:type="dxa"/>
              <w:start w:w="95" w:type="dxa"/>
              <w:bottom w:w="85" w:type="dxa"/>
              <w:end w:w="95" w:type="dxa"/>
            </w:tcMar>
            <w:shd w:fill="315B60"/>
          </w:tcPr>
          <w:p>
            <w:pPr>
              <w:keepNext/>
              <w:spacing w:after="0" w:before="0" w:line="278" w:lineRule="auto"/>
              <w:ind w:firstLine="0"/>
            </w:pPr>
            <w:r>
              <w:rPr>
                <w:rFonts w:ascii="SimSun" w:hAnsi="SimSun" w:eastAsia="SimSun"/>
                <w:b/>
                <w:color w:val="FFFFFF"/>
                <w:sz w:val="18"/>
              </w:rPr>
              <w:t>区域／功能</w:t>
            </w:r>
          </w:p>
        </w:tc>
        <w:tc>
          <w:tcPr>
            <w:tcW w:type="dxa" w:w="3888"/>
            <w:vAlign w:val="center"/>
            <w:tcMar>
              <w:top w:w="85" w:type="dxa"/>
              <w:start w:w="95" w:type="dxa"/>
              <w:bottom w:w="85" w:type="dxa"/>
              <w:end w:w="95" w:type="dxa"/>
            </w:tcMar>
            <w:shd w:fill="315B60"/>
          </w:tcPr>
          <w:p>
            <w:pPr>
              <w:keepNext/>
              <w:spacing w:after="0" w:before="0" w:line="278" w:lineRule="auto"/>
              <w:ind w:firstLine="0"/>
            </w:pPr>
            <w:r>
              <w:rPr>
                <w:rFonts w:ascii="SimSun" w:hAnsi="SimSun" w:eastAsia="SimSun"/>
                <w:b/>
                <w:color w:val="FFFFFF"/>
                <w:sz w:val="18"/>
              </w:rPr>
              <w:t>使用者与时机；关系与限制</w:t>
            </w:r>
          </w:p>
        </w:tc>
      </w:tr>
      <w:tr>
        <w:trPr>
          <w:cantSplit/>
        </w:trPr>
        <w:tc>
          <w:tcPr>
            <w:tcW w:type="dxa" w:w="1699"/>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1</w:t>
            </w:r>
          </w:p>
        </w:tc>
        <w:tc>
          <w:tcPr>
            <w:tcW w:type="dxa" w:w="3658"/>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公共街道／开放空间</w:t>
            </w:r>
          </w:p>
        </w:tc>
        <w:tc>
          <w:tcPr>
            <w:tcW w:type="dxa" w:w="3888"/>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居民往来、邻里交谈和访客接近时使用；多人活动与搬运可能交错。</w:t>
            </w:r>
          </w:p>
        </w:tc>
      </w:tr>
      <w:tr>
        <w:trPr>
          <w:cantSplit/>
        </w:trPr>
        <w:tc>
          <w:tcPr>
            <w:tcW w:type="dxa" w:w="1699"/>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2</w:t>
            </w:r>
          </w:p>
        </w:tc>
        <w:tc>
          <w:tcPr>
            <w:tcW w:type="dxa" w:w="3658"/>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各户入口</w:t>
            </w:r>
          </w:p>
        </w:tc>
        <w:tc>
          <w:tcPr>
            <w:tcW w:type="dxa" w:w="3888"/>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住户回家、访客到达时使用；入口须辨认得出，并控制是否直接看见生活区。</w:t>
            </w:r>
          </w:p>
        </w:tc>
      </w:tr>
      <w:tr>
        <w:trPr>
          <w:cantSplit/>
        </w:trPr>
        <w:tc>
          <w:tcPr>
            <w:tcW w:type="dxa" w:w="1699"/>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3</w:t>
            </w:r>
          </w:p>
        </w:tc>
        <w:tc>
          <w:tcPr>
            <w:tcW w:type="dxa" w:w="3658"/>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独立家屋单元</w:t>
            </w:r>
          </w:p>
        </w:tc>
        <w:tc>
          <w:tcPr>
            <w:tcW w:type="dxa" w:w="3888"/>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本户成员日常生活和储物；各户内部仍按各自活动组织，不因成行而强制同一平面。</w:t>
            </w:r>
          </w:p>
        </w:tc>
      </w:tr>
      <w:tr>
        <w:trPr>
          <w:cantSplit/>
        </w:trPr>
        <w:tc>
          <w:tcPr>
            <w:tcW w:type="dxa" w:w="1699"/>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4</w:t>
            </w:r>
          </w:p>
        </w:tc>
        <w:tc>
          <w:tcPr>
            <w:tcW w:type="dxa" w:w="3658"/>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相邻边界</w:t>
            </w:r>
          </w:p>
        </w:tc>
        <w:tc>
          <w:tcPr>
            <w:tcW w:type="dxa" w:w="3888"/>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维修或改建时住户使用；共墙影响开窗和维护，非共墙则要明确间距与相邻通路。</w:t>
            </w:r>
          </w:p>
        </w:tc>
      </w:tr>
      <w:tr>
        <w:trPr>
          <w:cantSplit/>
        </w:trPr>
        <w:tc>
          <w:tcPr>
            <w:tcW w:type="dxa" w:w="1699"/>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5</w:t>
            </w:r>
          </w:p>
        </w:tc>
        <w:tc>
          <w:tcPr>
            <w:tcW w:type="dxa" w:w="3658"/>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后侧地块</w:t>
            </w:r>
          </w:p>
        </w:tc>
        <w:tc>
          <w:tcPr>
            <w:tcW w:type="dxa" w:w="3888"/>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仅在 brief 需要家庭生计或储物时使用；物资路线不应穿越邻户私域。</w:t>
            </w:r>
          </w:p>
        </w:tc>
      </w:tr>
    </w:tbl>
    <w:p>
      <w:pPr>
        <w:spacing w:after="40"/>
      </w:pPr>
    </w:p>
    <w:p>
      <w:pPr>
        <w:widowControl/>
        <w:ind w:firstLine="302"/>
      </w:pPr>
      <w:r>
        <w:rPr>
          <w:rFonts w:ascii="SimSun" w:hAnsi="SimSun" w:eastAsia="SimSun"/>
        </w:rPr>
        <w:t>成行布局改变街道界面和住户相邻关系。共墙可能减少外露墙面，也可能让火灾、噪声或渗水牵连邻户；这是构造推断，须结合材料和当地条件核验。人物路线由公共空间进各户；物资可由街道或后侧进入。检查改建是否影响邻户、共墙由谁维护、公共路线是否被堵塞。</w:t>
      </w:r>
    </w:p>
    <w:p>
      <w:pPr>
        <w:widowControl/>
        <w:ind w:firstLine="302"/>
      </w:pPr>
      <w:r>
        <w:rPr>
          <w:rFonts w:ascii="SimSun" w:hAnsi="SimSun" w:eastAsia="SimSun"/>
        </w:rPr>
        <w:t>艾哈迈达巴德 pol 是另一种城市共墙组织：住宅共享侧墙，并有街区公共空间和水井，可用于比较，但不能和英格兰村落合为一个标准模型。</w:t>
      </w:r>
      <w:hyperlink r:id="rId38">
        <w:r>
          <w:rPr>
            <w:color w:val="237E86"/>
            <w:u w:val="single"/>
            <w:rFonts w:eastAsia="SimSun" w:ascii="SimSun" w:hAnsi="SimSun"/>
            <w:sz w:val="21"/>
          </w:rPr>
          <w:t>UNESCO 艾哈迈达巴德说明</w:t>
        </w:r>
      </w:hyperlink>
      <w:r>
        <w:rPr>
          <w:rFonts w:ascii="SimSun" w:hAnsi="SimSun" w:eastAsia="SimSun"/>
        </w:rPr>
        <w:t>练习：画三户家屋，再删一户并扩建另一户，标出受影响的邻居与公共路线。</w:t>
      </w:r>
    </w:p>
    <w:p>
      <w:pPr>
        <w:pStyle w:val="Heading1"/>
        <w:keepNext/>
        <w:pageBreakBefore/>
      </w:pPr>
      <w:bookmarkStart w:id="section_036" w:name="section_036"/>
      <w:r>
        <w:t>第 9 章 多层多户住宅：楼层、楼梯与共享通路</w:t>
      </w:r>
      <w:bookmarkEnd w:id="section_036"/>
    </w:p>
    <w:p>
      <w:pPr>
        <w:pStyle w:val="Heading2"/>
      </w:pPr>
      <w:bookmarkStart w:id="section_037" w:name="section_037"/>
      <w:r>
        <w:t>类型识别卡与图面说明</w:t>
      </w:r>
      <w:bookmarkEnd w:id="section_037"/>
    </w:p>
    <w:p>
      <w:pPr>
        <w:keepNext/>
        <w:spacing w:before="80" w:after="40"/>
        <w:jc w:val="center"/>
      </w:pPr>
      <w:r>
        <w:drawing>
          <wp:inline xmlns:a="http://schemas.openxmlformats.org/drawingml/2006/main" xmlns:pic="http://schemas.openxmlformats.org/drawingml/2006/picture">
            <wp:extent cx="5806440" cy="3870960"/>
            <wp:docPr id="10" name="Picture 10" descr="图 9｜多层多户住宅：楼层、楼梯与共享通路（原创游戏概念设计，非历史复原）" title="图 9｜多层多户住宅：楼层、楼梯与共享通路（原创游戏概念设计，非历史复原）"/>
            <wp:cNvGraphicFramePr>
              <a:graphicFrameLocks noChangeAspect="1"/>
            </wp:cNvGraphicFramePr>
            <a:graphic>
              <a:graphicData uri="http://schemas.openxmlformats.org/drawingml/2006/picture">
                <pic:pic>
                  <pic:nvPicPr>
                    <pic:cNvPr id="0" name="09-多层多户住宅.jpg"/>
                    <pic:cNvPicPr/>
                  </pic:nvPicPr>
                  <pic:blipFill>
                    <a:blip r:embed="rId42"/>
                    <a:stretch>
                      <a:fillRect/>
                    </a:stretch>
                  </pic:blipFill>
                  <pic:spPr>
                    <a:xfrm>
                      <a:off x="0" y="0"/>
                      <a:ext cx="5806440" cy="3870960"/>
                    </a:xfrm>
                    <a:prstGeom prst="rect"/>
                  </pic:spPr>
                </pic:pic>
              </a:graphicData>
            </a:graphic>
          </wp:inline>
        </w:drawing>
      </w:r>
    </w:p>
    <w:p>
      <w:pPr>
        <w:keepNext/>
        <w:spacing w:before="20" w:after="180"/>
        <w:jc w:val="center"/>
      </w:pPr>
      <w:r>
        <w:rPr>
          <w:rFonts w:ascii="SimSun" w:hAnsi="SimSun" w:eastAsia="SimSun"/>
          <w:b/>
          <w:color w:val="5F7778"/>
          <w:sz w:val="19"/>
        </w:rPr>
        <w:t>图 9｜多层多户住宅：楼层、楼梯与共享通路（原创游戏概念设计，非历史复原）</w:t>
      </w:r>
    </w:p>
    <w:p>
      <w:pPr>
        <w:widowControl/>
        <w:ind w:firstLine="302"/>
      </w:pPr>
      <w:r>
        <w:rPr>
          <w:rFonts w:ascii="SimSun" w:hAnsi="SimSun" w:eastAsia="SimSun"/>
          <w:b/>
        </w:rPr>
        <w:t>【事实｜案例入口】</w:t>
      </w:r>
      <w:r>
        <w:rPr>
          <w:rFonts w:ascii="SimSun" w:hAnsi="SimSun" w:eastAsia="SimSun"/>
        </w:rPr>
        <w:t>意大利奥斯提亚考古公园记录的一栋 Hadrian 时期 insula（公元 117—138 年）兼有居住和商业用途，约三至四层，由外部楼梯到达；入口经有顶通道进入，房间向中央通廊空间开放。后来建筑经过改造，出现较小的独立居住单元。</w:t>
      </w:r>
      <w:hyperlink r:id="rId43">
        <w:r>
          <w:rPr>
            <w:color w:val="237E86"/>
            <w:u w:val="single"/>
            <w:rFonts w:eastAsia="SimSun" w:ascii="SimSun" w:hAnsi="SimSun"/>
            <w:sz w:val="21"/>
          </w:rPr>
          <w:t>奥斯提亚考古公园：彩绘天花板 insula</w:t>
        </w:r>
      </w:hyperlink>
    </w:p>
    <w:p>
      <w:pPr>
        <w:widowControl/>
        <w:ind w:firstLine="302"/>
      </w:pPr>
      <w:r>
        <w:rPr>
          <w:rFonts w:ascii="SimSun" w:hAnsi="SimSun" w:eastAsia="SimSun"/>
          <w:b/>
        </w:rPr>
        <w:t>先看图：</w:t>
      </w:r>
      <w:r>
        <w:rPr>
          <w:rFonts w:ascii="SimSun" w:hAnsi="SimSun" w:eastAsia="SimSun"/>
        </w:rPr>
        <w:t>画剖面标出楼层、楼梯和共享通路，再画单层平面显示住户入口。该案例只证明这栋建筑的特点，不代表所有 insula 的共同结构。</w:t>
      </w:r>
    </w:p>
    <w:p>
      <w:pPr>
        <w:pStyle w:val="Heading2"/>
      </w:pPr>
      <w:bookmarkStart w:id="section_038" w:name="section_038"/>
      <w:r>
        <w:t>原创 brief、活动与功能</w:t>
      </w:r>
      <w:bookmarkEnd w:id="section_038"/>
    </w:p>
    <w:p>
      <w:pPr>
        <w:widowControl/>
        <w:ind w:firstLine="302"/>
      </w:pPr>
      <w:r>
        <w:rPr>
          <w:rFonts w:ascii="SimSun" w:hAnsi="SimSun" w:eastAsia="SimSun"/>
          <w:b/>
        </w:rPr>
        <w:t>【设计选择】</w:t>
      </w:r>
      <w:r>
        <w:rPr>
          <w:rFonts w:ascii="SimSun" w:hAnsi="SimSun" w:eastAsia="SimSun"/>
        </w:rPr>
        <w:t>城市用地有限，多个住户共用一座多层家屋。玩家安排上下通道、各户进入方式、可选的沿街商业和共享区域维护责任。人口、层数和商铺由游戏项目设定，不补造历史数字。</w:t>
      </w:r>
    </w:p>
    <w:p>
      <w:pPr>
        <w:widowControl/>
        <w:ind w:firstLine="302"/>
      </w:pPr>
      <w:r>
        <w:rPr>
          <w:rFonts w:ascii="SimSun" w:hAnsi="SimSun" w:eastAsia="SimSun"/>
        </w:rPr>
        <w:t>活动链按“街道抵达—进入共用通路—上楼或进入地面单元—日常生活—维护共享通路或搬运物资”组织。奥斯提亚案例中，街道到室内通廊之间有顶棚通道，房间向中央通廊开放；外部楼梯连接上层。游戏方案应让玩家看懂哪个部分属于共享路径，哪个部分属于单户边界。</w:t>
      </w:r>
    </w:p>
    <w:tbl>
      <w:tblPr>
        <w:tblW w:type="dxa" w:w="9245"/>
        <w:jc w:val="center"/>
        <w:tblLayout w:type="fixed"/>
        <w:tblLook w:firstColumn="1" w:firstRow="1" w:lastColumn="0" w:lastRow="0" w:noHBand="0" w:noVBand="1" w:val="04A0"/>
        <w:tblInd w:w="95" w:type="dxa"/>
        <w:tblBorders>
          <w:top w:val="single" w:sz="5" w:space="0" w:color="C8D6D4"/>
          <w:left w:val="single" w:sz="5" w:space="0" w:color="C8D6D4"/>
          <w:bottom w:val="single" w:sz="5" w:space="0" w:color="C8D6D4"/>
          <w:right w:val="single" w:sz="5" w:space="0" w:color="C8D6D4"/>
          <w:insideH w:val="single" w:sz="5" w:space="0" w:color="C8D6D4"/>
          <w:insideV w:val="single" w:sz="5" w:space="0" w:color="C8D6D4"/>
        </w:tblBorders>
      </w:tblPr>
      <w:tblGrid>
        <w:gridCol w:w="1699"/>
        <w:gridCol w:w="3658"/>
        <w:gridCol w:w="3888"/>
      </w:tblGrid>
      <w:tr>
        <w:trPr>
          <w:cantSplit/>
          <w:tblHeader w:val="true"/>
        </w:trPr>
        <w:tc>
          <w:tcPr>
            <w:tcW w:type="dxa" w:w="1699"/>
            <w:vAlign w:val="center"/>
            <w:tcMar>
              <w:top w:w="85" w:type="dxa"/>
              <w:start w:w="95" w:type="dxa"/>
              <w:bottom w:w="85" w:type="dxa"/>
              <w:end w:w="95" w:type="dxa"/>
            </w:tcMar>
            <w:shd w:fill="315B60"/>
          </w:tcPr>
          <w:p>
            <w:pPr>
              <w:keepNext/>
              <w:spacing w:after="0" w:before="0" w:line="278" w:lineRule="auto"/>
              <w:ind w:firstLine="0"/>
            </w:pPr>
            <w:r>
              <w:rPr>
                <w:rFonts w:ascii="SimSun" w:hAnsi="SimSun" w:eastAsia="SimSun"/>
                <w:b/>
                <w:color w:val="FFFFFF"/>
                <w:sz w:val="18"/>
              </w:rPr>
              <w:t>顺序</w:t>
            </w:r>
          </w:p>
        </w:tc>
        <w:tc>
          <w:tcPr>
            <w:tcW w:type="dxa" w:w="3658"/>
            <w:vAlign w:val="center"/>
            <w:tcMar>
              <w:top w:w="85" w:type="dxa"/>
              <w:start w:w="95" w:type="dxa"/>
              <w:bottom w:w="85" w:type="dxa"/>
              <w:end w:w="95" w:type="dxa"/>
            </w:tcMar>
            <w:shd w:fill="315B60"/>
          </w:tcPr>
          <w:p>
            <w:pPr>
              <w:keepNext/>
              <w:spacing w:after="0" w:before="0" w:line="278" w:lineRule="auto"/>
              <w:ind w:firstLine="0"/>
            </w:pPr>
            <w:r>
              <w:rPr>
                <w:rFonts w:ascii="SimSun" w:hAnsi="SimSun" w:eastAsia="SimSun"/>
                <w:b/>
                <w:color w:val="FFFFFF"/>
                <w:sz w:val="18"/>
              </w:rPr>
              <w:t>区域／功能</w:t>
            </w:r>
          </w:p>
        </w:tc>
        <w:tc>
          <w:tcPr>
            <w:tcW w:type="dxa" w:w="3888"/>
            <w:vAlign w:val="center"/>
            <w:tcMar>
              <w:top w:w="85" w:type="dxa"/>
              <w:start w:w="95" w:type="dxa"/>
              <w:bottom w:w="85" w:type="dxa"/>
              <w:end w:w="95" w:type="dxa"/>
            </w:tcMar>
            <w:shd w:fill="315B60"/>
          </w:tcPr>
          <w:p>
            <w:pPr>
              <w:keepNext/>
              <w:spacing w:after="0" w:before="0" w:line="278" w:lineRule="auto"/>
              <w:ind w:firstLine="0"/>
            </w:pPr>
            <w:r>
              <w:rPr>
                <w:rFonts w:ascii="SimSun" w:hAnsi="SimSun" w:eastAsia="SimSun"/>
                <w:b/>
                <w:color w:val="FFFFFF"/>
                <w:sz w:val="18"/>
              </w:rPr>
              <w:t>使用者与时机；关系与限制</w:t>
            </w:r>
          </w:p>
        </w:tc>
      </w:tr>
      <w:tr>
        <w:trPr>
          <w:cantSplit/>
        </w:trPr>
        <w:tc>
          <w:tcPr>
            <w:tcW w:type="dxa" w:w="1699"/>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1</w:t>
            </w:r>
          </w:p>
        </w:tc>
        <w:tc>
          <w:tcPr>
            <w:tcW w:type="dxa" w:w="3658"/>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街道与入口</w:t>
            </w:r>
          </w:p>
        </w:tc>
        <w:tc>
          <w:tcPr>
            <w:tcW w:type="dxa" w:w="3888"/>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居民、访客和货物到达时使用；如有商业，要区分顾客和住户路线。</w:t>
            </w:r>
          </w:p>
        </w:tc>
      </w:tr>
      <w:tr>
        <w:trPr>
          <w:cantSplit/>
        </w:trPr>
        <w:tc>
          <w:tcPr>
            <w:tcW w:type="dxa" w:w="1699"/>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2</w:t>
            </w:r>
          </w:p>
        </w:tc>
        <w:tc>
          <w:tcPr>
            <w:tcW w:type="dxa" w:w="3658"/>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楼梯／竖向通路</w:t>
            </w:r>
          </w:p>
        </w:tc>
        <w:tc>
          <w:tcPr>
            <w:tcW w:type="dxa" w:w="3888"/>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上层住户日常往返、搬运和疏散时依赖它；集中楼梯易管理但可能拥堵。</w:t>
            </w:r>
          </w:p>
        </w:tc>
      </w:tr>
      <w:tr>
        <w:trPr>
          <w:cantSplit/>
        </w:trPr>
        <w:tc>
          <w:tcPr>
            <w:tcW w:type="dxa" w:w="1699"/>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3</w:t>
            </w:r>
          </w:p>
        </w:tc>
        <w:tc>
          <w:tcPr>
            <w:tcW w:type="dxa" w:w="3658"/>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共用过道／中央通廊</w:t>
            </w:r>
          </w:p>
        </w:tc>
        <w:tc>
          <w:tcPr>
            <w:tcW w:type="dxa" w:w="3888"/>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住户前往各单元时使用；采光、通风等性能须按具体构造核验。</w:t>
            </w:r>
          </w:p>
        </w:tc>
      </w:tr>
      <w:tr>
        <w:trPr>
          <w:cantSplit/>
        </w:trPr>
        <w:tc>
          <w:tcPr>
            <w:tcW w:type="dxa" w:w="1699"/>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4</w:t>
            </w:r>
          </w:p>
        </w:tc>
        <w:tc>
          <w:tcPr>
            <w:tcW w:type="dxa" w:w="3658"/>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居住单元</w:t>
            </w:r>
          </w:p>
        </w:tc>
        <w:tc>
          <w:tcPr>
            <w:tcW w:type="dxa" w:w="3888"/>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各户成员日常起居和存物；面积、入口和用途差异须由 brief 或证据支持。</w:t>
            </w:r>
          </w:p>
        </w:tc>
      </w:tr>
      <w:tr>
        <w:trPr>
          <w:cantSplit/>
        </w:trPr>
        <w:tc>
          <w:tcPr>
            <w:tcW w:type="dxa" w:w="1699"/>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5</w:t>
            </w:r>
          </w:p>
        </w:tc>
        <w:tc>
          <w:tcPr>
            <w:tcW w:type="dxa" w:w="3658"/>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沿街商业／工作区</w:t>
            </w:r>
          </w:p>
        </w:tc>
        <w:tc>
          <w:tcPr>
            <w:tcW w:type="dxa" w:w="3888"/>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仅在 brief 需要时营业或加工；装卸不能堵住住户回家路线。</w:t>
            </w:r>
          </w:p>
        </w:tc>
      </w:tr>
    </w:tbl>
    <w:p>
      <w:pPr>
        <w:spacing w:after="40"/>
      </w:pPr>
    </w:p>
    <w:p>
      <w:pPr>
        <w:widowControl/>
        <w:ind w:firstLine="302"/>
      </w:pPr>
      <w:r>
        <w:rPr>
          <w:rFonts w:ascii="SimSun" w:hAnsi="SimSun" w:eastAsia="SimSun"/>
        </w:rPr>
        <w:t>多层住宅把占地问题转化为垂直通行问题，物资和燃料要经过楼梯或其他通路。游戏可以借用垂直通路组织多个居住空间的逻辑，但不能把单栋奥斯提亚案例称为古罗马公寓标准。</w:t>
      </w:r>
    </w:p>
    <w:p>
      <w:pPr>
        <w:widowControl/>
        <w:ind w:firstLine="302"/>
      </w:pPr>
      <w:r>
        <w:rPr>
          <w:rFonts w:ascii="SimSun" w:hAnsi="SimSun" w:eastAsia="SimSun"/>
        </w:rPr>
        <w:t>闭环检查谁清理和维修楼梯、怎样搬运大型物件、通道阻断时如何撤离、商业是否妨碍住户。供水、排污与公共服务须和第 06 册资料核验，不默认存在现代管线。练习：画三层原创住宅、四个练习用住户单元和一件需从街道搬入的大件物品，标出日常与应急路线；数字只属于练习 brief。</w:t>
      </w:r>
    </w:p>
    <w:p>
      <w:pPr>
        <w:pStyle w:val="Heading1"/>
      </w:pPr>
      <w:bookmarkStart w:id="section_039" w:name="section_039"/>
      <w:r>
        <w:t>横向比较：同样是居住，空间怎么不同？</w:t>
      </w:r>
      <w:bookmarkEnd w:id="section_039"/>
    </w:p>
    <w:tbl>
      <w:tblPr>
        <w:tblW w:type="dxa" w:w="9245"/>
        <w:jc w:val="center"/>
        <w:tblLayout w:type="fixed"/>
        <w:tblLook w:firstColumn="1" w:firstRow="1" w:lastColumn="0" w:lastRow="0" w:noHBand="0" w:noVBand="1" w:val="04A0"/>
        <w:tblInd w:w="95" w:type="dxa"/>
        <w:tblBorders>
          <w:top w:val="single" w:sz="5" w:space="0" w:color="C8D6D4"/>
          <w:left w:val="single" w:sz="5" w:space="0" w:color="C8D6D4"/>
          <w:bottom w:val="single" w:sz="5" w:space="0" w:color="C8D6D4"/>
          <w:right w:val="single" w:sz="5" w:space="0" w:color="C8D6D4"/>
          <w:insideH w:val="single" w:sz="5" w:space="0" w:color="C8D6D4"/>
          <w:insideV w:val="single" w:sz="5" w:space="0" w:color="C8D6D4"/>
        </w:tblBorders>
      </w:tblPr>
      <w:tblGrid>
        <w:gridCol w:w="2232"/>
        <w:gridCol w:w="2333"/>
        <w:gridCol w:w="2333"/>
        <w:gridCol w:w="2347"/>
      </w:tblGrid>
      <w:tr>
        <w:trPr>
          <w:cantSplit/>
          <w:tblHeader w:val="true"/>
        </w:trPr>
        <w:tc>
          <w:tcPr>
            <w:tcW w:type="dxa" w:w="2232"/>
            <w:vAlign w:val="center"/>
            <w:tcMar>
              <w:top w:w="85" w:type="dxa"/>
              <w:start w:w="95" w:type="dxa"/>
              <w:bottom w:w="85" w:type="dxa"/>
              <w:end w:w="95" w:type="dxa"/>
            </w:tcMar>
            <w:shd w:fill="315B60"/>
          </w:tcPr>
          <w:p>
            <w:pPr>
              <w:keepNext/>
              <w:spacing w:after="0" w:before="0" w:line="278" w:lineRule="auto"/>
              <w:ind w:firstLine="0"/>
            </w:pPr>
            <w:r>
              <w:rPr>
                <w:rFonts w:ascii="SimSun" w:hAnsi="SimSun" w:eastAsia="SimSun"/>
                <w:b/>
                <w:color w:val="FFFFFF"/>
                <w:sz w:val="18"/>
              </w:rPr>
              <w:t>类型</w:t>
            </w:r>
          </w:p>
        </w:tc>
        <w:tc>
          <w:tcPr>
            <w:tcW w:type="dxa" w:w="2333"/>
            <w:vAlign w:val="center"/>
            <w:tcMar>
              <w:top w:w="85" w:type="dxa"/>
              <w:start w:w="95" w:type="dxa"/>
              <w:bottom w:w="85" w:type="dxa"/>
              <w:end w:w="95" w:type="dxa"/>
            </w:tcMar>
            <w:shd w:fill="315B60"/>
          </w:tcPr>
          <w:p>
            <w:pPr>
              <w:keepNext/>
              <w:spacing w:after="0" w:before="0" w:line="278" w:lineRule="auto"/>
              <w:ind w:firstLine="0"/>
            </w:pPr>
            <w:r>
              <w:rPr>
                <w:rFonts w:ascii="SimSun" w:hAnsi="SimSun" w:eastAsia="SimSun"/>
                <w:b/>
                <w:color w:val="FFFFFF"/>
                <w:sz w:val="18"/>
              </w:rPr>
              <w:t>主要组织依据</w:t>
            </w:r>
          </w:p>
        </w:tc>
        <w:tc>
          <w:tcPr>
            <w:tcW w:type="dxa" w:w="2333"/>
            <w:vAlign w:val="center"/>
            <w:tcMar>
              <w:top w:w="85" w:type="dxa"/>
              <w:start w:w="95" w:type="dxa"/>
              <w:bottom w:w="85" w:type="dxa"/>
              <w:end w:w="95" w:type="dxa"/>
            </w:tcMar>
            <w:shd w:fill="315B60"/>
          </w:tcPr>
          <w:p>
            <w:pPr>
              <w:keepNext/>
              <w:spacing w:after="0" w:before="0" w:line="278" w:lineRule="auto"/>
              <w:ind w:firstLine="0"/>
            </w:pPr>
            <w:r>
              <w:rPr>
                <w:rFonts w:ascii="SimSun" w:hAnsi="SimSun" w:eastAsia="SimSun"/>
                <w:b/>
                <w:color w:val="FFFFFF"/>
                <w:sz w:val="18"/>
              </w:rPr>
              <w:t>最需要画清的部分</w:t>
            </w:r>
          </w:p>
        </w:tc>
        <w:tc>
          <w:tcPr>
            <w:tcW w:type="dxa" w:w="2347"/>
            <w:vAlign w:val="center"/>
            <w:tcMar>
              <w:top w:w="85" w:type="dxa"/>
              <w:start w:w="95" w:type="dxa"/>
              <w:bottom w:w="85" w:type="dxa"/>
              <w:end w:w="95" w:type="dxa"/>
            </w:tcMar>
            <w:shd w:fill="315B60"/>
          </w:tcPr>
          <w:p>
            <w:pPr>
              <w:keepNext/>
              <w:spacing w:after="0" w:before="0" w:line="278" w:lineRule="auto"/>
              <w:ind w:firstLine="0"/>
            </w:pPr>
            <w:r>
              <w:rPr>
                <w:rFonts w:ascii="SimSun" w:hAnsi="SimSun" w:eastAsia="SimSun"/>
                <w:b/>
                <w:color w:val="FFFFFF"/>
                <w:sz w:val="18"/>
              </w:rPr>
              <w:t>常见设计代价</w:t>
            </w:r>
          </w:p>
        </w:tc>
      </w:tr>
      <w:tr>
        <w:trPr>
          <w:cantSplit/>
        </w:trPr>
        <w:tc>
          <w:tcPr>
            <w:tcW w:type="dxa" w:w="2232"/>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天然庇护与改造</w:t>
            </w:r>
          </w:p>
        </w:tc>
        <w:tc>
          <w:tcPr>
            <w:tcW w:type="dxa" w:w="2333"/>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自然岩体与人工围护的接合</w:t>
            </w:r>
          </w:p>
        </w:tc>
        <w:tc>
          <w:tcPr>
            <w:tcW w:type="dxa" w:w="2333"/>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岩棚剖面、入口、落石／水流</w:t>
            </w:r>
          </w:p>
        </w:tc>
        <w:tc>
          <w:tcPr>
            <w:tcW w:type="dxa" w:w="2347"/>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边界不规则，维护与抵达受地形控制</w:t>
            </w:r>
          </w:p>
        </w:tc>
      </w:tr>
      <w:tr>
        <w:trPr>
          <w:cantSplit/>
        </w:trPr>
        <w:tc>
          <w:tcPr>
            <w:tcW w:type="dxa" w:w="2232"/>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可移动轻型住所</w:t>
            </w:r>
          </w:p>
        </w:tc>
        <w:tc>
          <w:tcPr>
            <w:tcW w:type="dxa" w:w="2333"/>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轻型构件与迁移过程</w:t>
            </w:r>
          </w:p>
        </w:tc>
        <w:tc>
          <w:tcPr>
            <w:tcW w:type="dxa" w:w="2333"/>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登岸、安置、工作、收拢路线</w:t>
            </w:r>
          </w:p>
        </w:tc>
        <w:tc>
          <w:tcPr>
            <w:tcW w:type="dxa" w:w="2347"/>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稳定性和遮蔽受材料与停留时间限制</w:t>
            </w:r>
          </w:p>
        </w:tc>
      </w:tr>
      <w:tr>
        <w:trPr>
          <w:cantSplit/>
        </w:trPr>
        <w:tc>
          <w:tcPr>
            <w:tcW w:type="dxa" w:w="2232"/>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坑式住所</w:t>
            </w:r>
          </w:p>
        </w:tc>
        <w:tc>
          <w:tcPr>
            <w:tcW w:type="dxa" w:w="2333"/>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地面高差与屋顶／入口</w:t>
            </w:r>
          </w:p>
        </w:tc>
        <w:tc>
          <w:tcPr>
            <w:tcW w:type="dxa" w:w="2333"/>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地表、居住面、火塘、排烟、雨水</w:t>
            </w:r>
          </w:p>
        </w:tc>
        <w:tc>
          <w:tcPr>
            <w:tcW w:type="dxa" w:w="2347"/>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上下通行、积水、烟气和屋顶维护</w:t>
            </w:r>
          </w:p>
        </w:tc>
      </w:tr>
      <w:tr>
        <w:trPr>
          <w:cantSplit/>
        </w:trPr>
        <w:tc>
          <w:tcPr>
            <w:tcW w:type="dxa" w:w="2232"/>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架空住所</w:t>
            </w:r>
          </w:p>
        </w:tc>
        <w:tc>
          <w:tcPr>
            <w:tcW w:type="dxa" w:w="2333"/>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支撑结构与上下通路</w:t>
            </w:r>
          </w:p>
        </w:tc>
        <w:tc>
          <w:tcPr>
            <w:tcW w:type="dxa" w:w="2333"/>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地面／水线、平台、支撑检修</w:t>
            </w:r>
          </w:p>
        </w:tc>
        <w:tc>
          <w:tcPr>
            <w:tcW w:type="dxa" w:w="2347"/>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搬运成本、支撑耐久、上层可达性</w:t>
            </w:r>
          </w:p>
        </w:tc>
      </w:tr>
      <w:tr>
        <w:trPr>
          <w:cantSplit/>
        </w:trPr>
        <w:tc>
          <w:tcPr>
            <w:tcW w:type="dxa" w:w="2232"/>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独立家屋</w:t>
            </w:r>
          </w:p>
        </w:tc>
        <w:tc>
          <w:tcPr>
            <w:tcW w:type="dxa" w:w="2333"/>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主体建筑内的活动组合</w:t>
            </w:r>
          </w:p>
        </w:tc>
        <w:tc>
          <w:tcPr>
            <w:tcW w:type="dxa" w:w="2333"/>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共同空间、火源、次要活动区</w:t>
            </w:r>
          </w:p>
        </w:tc>
        <w:tc>
          <w:tcPr>
            <w:tcW w:type="dxa" w:w="2347"/>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共享空间过载或私密不足</w:t>
            </w:r>
          </w:p>
        </w:tc>
      </w:tr>
      <w:tr>
        <w:trPr>
          <w:cantSplit/>
        </w:trPr>
        <w:tc>
          <w:tcPr>
            <w:tcW w:type="dxa" w:w="2232"/>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长屋</w:t>
            </w:r>
          </w:p>
        </w:tc>
        <w:tc>
          <w:tcPr>
            <w:tcW w:type="dxa" w:w="2333"/>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纵向空间与住户组织</w:t>
            </w:r>
          </w:p>
        </w:tc>
        <w:tc>
          <w:tcPr>
            <w:tcW w:type="dxa" w:w="2333"/>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活动分段和通过路线</w:t>
            </w:r>
          </w:p>
        </w:tc>
        <w:tc>
          <w:tcPr>
            <w:tcW w:type="dxa" w:w="2347"/>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穿越他人区域、共同空间冲突</w:t>
            </w:r>
          </w:p>
        </w:tc>
      </w:tr>
      <w:tr>
        <w:trPr>
          <w:cantSplit/>
        </w:trPr>
        <w:tc>
          <w:tcPr>
            <w:tcW w:type="dxa" w:w="2232"/>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院落家屋</w:t>
            </w:r>
          </w:p>
        </w:tc>
        <w:tc>
          <w:tcPr>
            <w:tcW w:type="dxa" w:w="2333"/>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街道—院落—房间的层次</w:t>
            </w:r>
          </w:p>
        </w:tc>
        <w:tc>
          <w:tcPr>
            <w:tcW w:type="dxa" w:w="2333"/>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门槛、院落、室内外活动</w:t>
            </w:r>
          </w:p>
        </w:tc>
        <w:tc>
          <w:tcPr>
            <w:tcW w:type="dxa" w:w="2347"/>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院落通行、暴露和天气限制</w:t>
            </w:r>
          </w:p>
        </w:tc>
      </w:tr>
      <w:tr>
        <w:trPr>
          <w:cantSplit/>
        </w:trPr>
        <w:tc>
          <w:tcPr>
            <w:tcW w:type="dxa" w:w="2232"/>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连排／共墙家屋</w:t>
            </w:r>
          </w:p>
        </w:tc>
        <w:tc>
          <w:tcPr>
            <w:tcW w:type="dxa" w:w="2333"/>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多户排列、邻接和街道界面</w:t>
            </w:r>
          </w:p>
        </w:tc>
        <w:tc>
          <w:tcPr>
            <w:tcW w:type="dxa" w:w="2333"/>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各户入口、边界、相邻墙、后侧地块</w:t>
            </w:r>
          </w:p>
        </w:tc>
        <w:tc>
          <w:tcPr>
            <w:tcW w:type="dxa" w:w="2347"/>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改建维修牵连邻户，公共路线拥堵</w:t>
            </w:r>
          </w:p>
        </w:tc>
      </w:tr>
      <w:tr>
        <w:trPr>
          <w:cantSplit/>
        </w:trPr>
        <w:tc>
          <w:tcPr>
            <w:tcW w:type="dxa" w:w="2232"/>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多层多户住宅</w:t>
            </w:r>
          </w:p>
        </w:tc>
        <w:tc>
          <w:tcPr>
            <w:tcW w:type="dxa" w:w="2333"/>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多户共享垂直通路</w:t>
            </w:r>
          </w:p>
        </w:tc>
        <w:tc>
          <w:tcPr>
            <w:tcW w:type="dxa" w:w="2333"/>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楼梯、通廊、住户入口和剖面</w:t>
            </w:r>
          </w:p>
        </w:tc>
        <w:tc>
          <w:tcPr>
            <w:tcW w:type="dxa" w:w="2347"/>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上下搬运、共享维护、疏散受限</w:t>
            </w:r>
          </w:p>
        </w:tc>
      </w:tr>
    </w:tbl>
    <w:p>
      <w:pPr>
        <w:spacing w:after="40"/>
      </w:pPr>
    </w:p>
    <w:p>
      <w:pPr>
        <w:widowControl/>
        <w:ind w:firstLine="302"/>
      </w:pPr>
      <w:r>
        <w:rPr>
          <w:rFonts w:ascii="SimSun" w:hAnsi="SimSun" w:eastAsia="SimSun"/>
        </w:rPr>
        <w:t>比较时不要问“哪一种最先进”，而要问：哪种类型适合 brief？哪些活动共处或分开？人和物资要经过哪些共享通路？建筑如何清理、维修或调整？设计借用了哪个案例的证据，又改动了什么？</w:t>
      </w:r>
    </w:p>
    <w:p>
      <w:pPr>
        <w:pStyle w:val="Heading1"/>
      </w:pPr>
      <w:bookmarkStart w:id="section_040" w:name="section_040"/>
      <w:r>
        <w:t>结尾练习：从 brief 选择类型并完成方案</w:t>
      </w:r>
      <w:bookmarkEnd w:id="section_040"/>
    </w:p>
    <w:p>
      <w:pPr>
        <w:pStyle w:val="Heading2"/>
      </w:pPr>
      <w:bookmarkStart w:id="section_041" w:name="section_041"/>
      <w:r>
        <w:t>练习 brief</w:t>
      </w:r>
      <w:bookmarkEnd w:id="section_041"/>
    </w:p>
    <w:p>
      <w:pPr>
        <w:widowControl/>
        <w:ind w:firstLine="302"/>
      </w:pPr>
      <w:r>
        <w:rPr>
          <w:rFonts w:ascii="SimSun" w:hAnsi="SimSun" w:eastAsia="SimSun"/>
        </w:rPr>
        <w:t>一处山地聚落扩建，新增住户需要接近公共通路，也要保管自己的物资。可用土地狭窄；不同家庭之间既要有往来，也要能控制进入自家生活区的路径。项目尚未确定地区、年代、气候、材料、家庭规模和建造技术。</w:t>
      </w:r>
    </w:p>
    <w:p>
      <w:pPr>
        <w:widowControl/>
        <w:ind w:firstLine="302"/>
      </w:pPr>
      <w:r>
        <w:rPr>
          <w:rFonts w:ascii="SimSun" w:hAnsi="SimSun" w:eastAsia="SimSun"/>
        </w:rPr>
        <w:t>未知条件不是让读者随意补完的空白。请把它们列为“待确认”，再说明哪些初步设计决定可以暂时进行，哪些要等设定明确。</w:t>
      </w:r>
    </w:p>
    <w:p>
      <w:pPr>
        <w:pStyle w:val="Heading2"/>
      </w:pPr>
      <w:bookmarkStart w:id="section_042" w:name="section_042"/>
      <w:r>
        <w:t>请交付以下成果</w:t>
      </w:r>
      <w:bookmarkEnd w:id="section_042"/>
    </w:p>
    <w:p>
      <w:pPr>
        <w:keepLines/>
        <w:spacing w:line="298" w:lineRule="auto" w:after="40"/>
        <w:ind w:left="403" w:hanging="403"/>
      </w:pPr>
      <w:r>
        <w:rPr>
          <w:rFonts w:ascii="SimSun" w:hAnsi="SimSun" w:eastAsia="SimSun"/>
        </w:rPr>
        <w:t xml:space="preserve">1. </w:t>
      </w:r>
      <w:r>
        <w:rPr>
          <w:rFonts w:ascii="SimSun" w:hAnsi="SimSun" w:eastAsia="SimSun"/>
          <w:b/>
        </w:rPr>
        <w:t>类型选择卡：</w:t>
      </w:r>
      <w:r>
        <w:rPr>
          <w:rFonts w:ascii="SimSun" w:hAnsi="SimSun" w:eastAsia="SimSun"/>
        </w:rPr>
        <w:t>选一个主类型，可加最多三个交叉标签；说明为何比至少一个备选类型更符合 brief。</w:t>
      </w:r>
    </w:p>
    <w:p>
      <w:pPr>
        <w:keepLines/>
        <w:spacing w:line="298" w:lineRule="auto" w:after="40"/>
        <w:ind w:left="403" w:hanging="403"/>
      </w:pPr>
      <w:r>
        <w:rPr>
          <w:rFonts w:ascii="SimSun" w:hAnsi="SimSun" w:eastAsia="SimSun"/>
        </w:rPr>
        <w:t xml:space="preserve">2. </w:t>
      </w:r>
      <w:r>
        <w:rPr>
          <w:rFonts w:ascii="SimSun" w:hAnsi="SimSun" w:eastAsia="SimSun"/>
          <w:b/>
        </w:rPr>
        <w:t>活动清单：</w:t>
      </w:r>
      <w:r>
        <w:rPr>
          <w:rFonts w:ascii="SimSun" w:hAnsi="SimSun" w:eastAsia="SimSun"/>
        </w:rPr>
        <w:t>列出住户、访客和物资搬运活动，并说明先后或并行关系。</w:t>
      </w:r>
    </w:p>
    <w:p>
      <w:pPr>
        <w:keepLines/>
        <w:spacing w:line="298" w:lineRule="auto" w:after="40"/>
        <w:ind w:left="403" w:hanging="403"/>
      </w:pPr>
      <w:r>
        <w:rPr>
          <w:rFonts w:ascii="SimSun" w:hAnsi="SimSun" w:eastAsia="SimSun"/>
        </w:rPr>
        <w:t xml:space="preserve">3. </w:t>
      </w:r>
      <w:r>
        <w:rPr>
          <w:rFonts w:ascii="SimSun" w:hAnsi="SimSun" w:eastAsia="SimSun"/>
          <w:b/>
        </w:rPr>
        <w:t>有序功能清单：</w:t>
      </w:r>
      <w:r>
        <w:rPr>
          <w:rFonts w:ascii="SimSun" w:hAnsi="SimSun" w:eastAsia="SimSun"/>
        </w:rPr>
        <w:t>写明使用者、时机、所需人或物、邻接／分隔关系和限制。</w:t>
      </w:r>
    </w:p>
    <w:p>
      <w:pPr>
        <w:keepLines/>
        <w:spacing w:line="298" w:lineRule="auto" w:after="40"/>
        <w:ind w:left="403" w:hanging="403"/>
      </w:pPr>
      <w:r>
        <w:rPr>
          <w:rFonts w:ascii="SimSun" w:hAnsi="SimSun" w:eastAsia="SimSun"/>
        </w:rPr>
        <w:t xml:space="preserve">4. </w:t>
      </w:r>
      <w:r>
        <w:rPr>
          <w:rFonts w:ascii="SimSun" w:hAnsi="SimSun" w:eastAsia="SimSun"/>
          <w:b/>
        </w:rPr>
        <w:t>空间概念图：</w:t>
      </w:r>
      <w:r>
        <w:rPr>
          <w:rFonts w:ascii="SimSun" w:hAnsi="SimSun" w:eastAsia="SimSun"/>
        </w:rPr>
        <w:t>画入口、公共通路、家庭边界、主要生活区和储物位置，标出事实与设计选择。</w:t>
      </w:r>
    </w:p>
    <w:p>
      <w:pPr>
        <w:keepLines/>
        <w:spacing w:line="298" w:lineRule="auto" w:after="40"/>
        <w:ind w:left="403" w:hanging="403"/>
      </w:pPr>
      <w:r>
        <w:rPr>
          <w:rFonts w:ascii="SimSun" w:hAnsi="SimSun" w:eastAsia="SimSun"/>
        </w:rPr>
        <w:t xml:space="preserve">5. </w:t>
      </w:r>
      <w:r>
        <w:rPr>
          <w:rFonts w:ascii="SimSun" w:hAnsi="SimSun" w:eastAsia="SimSun"/>
          <w:b/>
        </w:rPr>
        <w:t>人物与物资路线：</w:t>
      </w:r>
      <w:r>
        <w:rPr>
          <w:rFonts w:ascii="SimSun" w:hAnsi="SimSun" w:eastAsia="SimSun"/>
        </w:rPr>
        <w:t>各画至少一条，标记相遇、拥堵或绕行位置。</w:t>
      </w:r>
    </w:p>
    <w:p>
      <w:pPr>
        <w:keepLines/>
        <w:spacing w:line="298" w:lineRule="auto" w:after="40"/>
        <w:ind w:left="403" w:hanging="403"/>
      </w:pPr>
      <w:r>
        <w:rPr>
          <w:rFonts w:ascii="SimSun" w:hAnsi="SimSun" w:eastAsia="SimSun"/>
        </w:rPr>
        <w:t xml:space="preserve">6. </w:t>
      </w:r>
      <w:r>
        <w:rPr>
          <w:rFonts w:ascii="SimSun" w:hAnsi="SimSun" w:eastAsia="SimSun"/>
          <w:b/>
        </w:rPr>
        <w:t>使用闭环：</w:t>
      </w:r>
      <w:r>
        <w:rPr>
          <w:rFonts w:ascii="SimSun" w:hAnsi="SimSun" w:eastAsia="SimSun"/>
        </w:rPr>
        <w:t>说明进入、搬运、取用、清理、修理和住户变动时如何调整。</w:t>
      </w:r>
    </w:p>
    <w:p>
      <w:pPr>
        <w:keepLines/>
        <w:spacing w:line="298" w:lineRule="auto" w:after="40"/>
        <w:ind w:left="403" w:hanging="403"/>
      </w:pPr>
      <w:r>
        <w:rPr>
          <w:rFonts w:ascii="SimSun" w:hAnsi="SimSun" w:eastAsia="SimSun"/>
        </w:rPr>
        <w:t xml:space="preserve">7. </w:t>
      </w:r>
      <w:r>
        <w:rPr>
          <w:rFonts w:ascii="SimSun" w:hAnsi="SimSun" w:eastAsia="SimSun"/>
          <w:b/>
        </w:rPr>
        <w:t>取舍说明：</w:t>
      </w:r>
      <w:r>
        <w:rPr>
          <w:rFonts w:ascii="SimSun" w:hAnsi="SimSun" w:eastAsia="SimSun"/>
        </w:rPr>
        <w:t>写三句“因为……，所以……；这样……，代价是……”。</w:t>
      </w:r>
    </w:p>
    <w:p>
      <w:pPr>
        <w:keepLines/>
        <w:spacing w:line="298" w:lineRule="auto" w:after="40"/>
        <w:ind w:left="403" w:hanging="403"/>
      </w:pPr>
      <w:r>
        <w:rPr>
          <w:rFonts w:ascii="SimSun" w:hAnsi="SimSun" w:eastAsia="SimSun"/>
        </w:rPr>
        <w:t xml:space="preserve">8. </w:t>
      </w:r>
      <w:r>
        <w:rPr>
          <w:rFonts w:ascii="SimSun" w:hAnsi="SimSun" w:eastAsia="SimSun"/>
          <w:b/>
        </w:rPr>
        <w:t>资料核验单：</w:t>
      </w:r>
      <w:r>
        <w:rPr>
          <w:rFonts w:ascii="SimSun" w:hAnsi="SimSun" w:eastAsia="SimSun"/>
        </w:rPr>
        <w:t>列出需补查的材料、地形、结构、地方生活和图像证据。</w:t>
      </w:r>
    </w:p>
    <w:p>
      <w:pPr>
        <w:pStyle w:val="Heading2"/>
      </w:pPr>
      <w:bookmarkStart w:id="section_043" w:name="section_043"/>
      <w:r>
        <w:t>自查评分</w:t>
      </w:r>
      <w:bookmarkEnd w:id="section_043"/>
    </w:p>
    <w:p>
      <w:pPr>
        <w:widowControl/>
        <w:ind w:firstLine="302"/>
      </w:pPr>
      <w:r>
        <w:rPr>
          <w:rFonts w:ascii="SimSun" w:hAnsi="SimSun" w:eastAsia="SimSun"/>
        </w:rPr>
        <w:t>每项 0—2 分，总分 14 分：</w:t>
      </w:r>
    </w:p>
    <w:p>
      <w:pPr>
        <w:pStyle w:val="ListBullet"/>
        <w:ind w:firstLine="0"/>
      </w:pPr>
      <w:r>
        <w:rPr>
          <w:rFonts w:ascii="SimSun" w:hAnsi="SimSun" w:eastAsia="SimSun"/>
        </w:rPr>
        <w:t>类型选择是否服务 brief，而非只凭造型偏好？</w:t>
      </w:r>
    </w:p>
    <w:p>
      <w:pPr>
        <w:pStyle w:val="ListBullet"/>
        <w:ind w:firstLine="0"/>
      </w:pPr>
      <w:r>
        <w:rPr>
          <w:rFonts w:ascii="SimSun" w:hAnsi="SimSun" w:eastAsia="SimSun"/>
        </w:rPr>
        <w:t>活动能否逐项对应功能？</w:t>
      </w:r>
    </w:p>
    <w:p>
      <w:pPr>
        <w:pStyle w:val="ListBullet"/>
        <w:ind w:firstLine="0"/>
      </w:pPr>
      <w:r>
        <w:rPr>
          <w:rFonts w:ascii="SimSun" w:hAnsi="SimSun" w:eastAsia="SimSun"/>
        </w:rPr>
        <w:t>功能清单是否有明确排序依据？</w:t>
      </w:r>
    </w:p>
    <w:p>
      <w:pPr>
        <w:pStyle w:val="ListBullet"/>
        <w:ind w:firstLine="0"/>
      </w:pPr>
      <w:r>
        <w:rPr>
          <w:rFonts w:ascii="SimSun" w:hAnsi="SimSun" w:eastAsia="SimSun"/>
        </w:rPr>
        <w:t>图面能否看出边界、入口和使用关系？</w:t>
      </w:r>
    </w:p>
    <w:p>
      <w:pPr>
        <w:pStyle w:val="ListBullet"/>
        <w:ind w:firstLine="0"/>
      </w:pPr>
      <w:r>
        <w:rPr>
          <w:rFonts w:ascii="SimSun" w:hAnsi="SimSun" w:eastAsia="SimSun"/>
        </w:rPr>
        <w:t>人物与物资路线是否真实可走？</w:t>
      </w:r>
    </w:p>
    <w:p>
      <w:pPr>
        <w:pStyle w:val="ListBullet"/>
        <w:ind w:firstLine="0"/>
      </w:pPr>
      <w:r>
        <w:rPr>
          <w:rFonts w:ascii="SimSun" w:hAnsi="SimSun" w:eastAsia="SimSun"/>
        </w:rPr>
        <w:t>维护、清理和调整是否形成适用的闭环？</w:t>
      </w:r>
    </w:p>
    <w:p>
      <w:pPr>
        <w:pStyle w:val="ListBullet"/>
        <w:ind w:firstLine="0"/>
      </w:pPr>
      <w:r>
        <w:rPr>
          <w:rFonts w:ascii="SimSun" w:hAnsi="SimSun" w:eastAsia="SimSun"/>
        </w:rPr>
        <w:t>事实、推断、设计选择和待确认事项是否区分？</w:t>
      </w:r>
    </w:p>
    <w:p>
      <w:pPr>
        <w:widowControl/>
        <w:ind w:firstLine="302"/>
      </w:pPr>
      <w:r>
        <w:rPr>
          <w:rFonts w:ascii="SimSun" w:hAnsi="SimSun" w:eastAsia="SimSun"/>
        </w:rPr>
        <w:t>达到 11 分以上表示基本关系完整；低分项是下一轮修改入口。评分只检查推理链，不评判哪种类型更好。</w:t>
      </w:r>
    </w:p>
    <w:p>
      <w:pPr>
        <w:pStyle w:val="Heading2"/>
      </w:pPr>
      <w:bookmarkStart w:id="section_044" w:name="section_044"/>
      <w:r>
        <w:t>判读示例</w:t>
      </w:r>
      <w:bookmarkEnd w:id="section_044"/>
    </w:p>
    <w:p>
      <w:pPr>
        <w:widowControl/>
        <w:ind w:firstLine="302"/>
      </w:pPr>
      <w:r>
        <w:rPr>
          <w:rFonts w:ascii="SimSun" w:hAnsi="SimSun" w:eastAsia="SimSun"/>
        </w:rPr>
        <w:t>这个 brief 没有唯一的标准答案。如果重点是多户沿同一条公共路线排布、各户都要辨认清楚，可以优先试画连排家屋；如果用地只能向上扩展、且多个住户必须共用竖向通路，可以试画多层多户住宅。院落方案也可以成立，但需要进一步说明为什么需要一个家内开放空间，以及它怎样连接公共通路和各户边界。由于材料、年代和技术尚未给出，读者应先画空间关系草案，把承重、屋顶和具体材料列为待确认，不要先凭风格选材料。</w:t>
      </w:r>
    </w:p>
    <w:p>
      <w:pPr>
        <w:pStyle w:val="Heading1"/>
        <w:pageBreakBefore/>
      </w:pPr>
      <w:bookmarkStart w:id="section_045" w:name="section_045"/>
      <w:r>
        <w:t>附录 A：类型与交叉标签索引</w:t>
      </w:r>
      <w:bookmarkEnd w:id="section_045"/>
    </w:p>
    <w:p>
      <w:pPr>
        <w:pStyle w:val="ListBullet"/>
        <w:ind w:firstLine="0"/>
      </w:pPr>
      <w:r>
        <w:rPr>
          <w:rFonts w:ascii="SimSun" w:hAnsi="SimSun" w:eastAsia="SimSun"/>
          <w:b/>
        </w:rPr>
        <w:t>自然条件：</w:t>
      </w:r>
      <w:r>
        <w:rPr>
          <w:rFonts w:ascii="SimSun" w:hAnsi="SimSun" w:eastAsia="SimSun"/>
        </w:rPr>
        <w:t>洞穴、岩棚、崖壁凹处、台地、湿地、湖岸、狭窄街区。</w:t>
      </w:r>
    </w:p>
    <w:p>
      <w:pPr>
        <w:pStyle w:val="ListBullet"/>
        <w:ind w:firstLine="0"/>
      </w:pPr>
      <w:r>
        <w:rPr>
          <w:rFonts w:ascii="SimSun" w:hAnsi="SimSun" w:eastAsia="SimSun"/>
          <w:b/>
        </w:rPr>
        <w:t>空间形式：</w:t>
      </w:r>
      <w:r>
        <w:rPr>
          <w:rFonts w:ascii="SimSun" w:hAnsi="SimSun" w:eastAsia="SimSun"/>
        </w:rPr>
        <w:t>坑式／半地下、架空、独立单体、长向共享、院落围合、沿街成排、多层叠置。</w:t>
      </w:r>
    </w:p>
    <w:p>
      <w:pPr>
        <w:pStyle w:val="ListBullet"/>
        <w:ind w:firstLine="0"/>
      </w:pPr>
      <w:r>
        <w:rPr>
          <w:rFonts w:ascii="SimSun" w:hAnsi="SimSun" w:eastAsia="SimSun"/>
          <w:b/>
        </w:rPr>
        <w:t>住户组织：</w:t>
      </w:r>
      <w:r>
        <w:rPr>
          <w:rFonts w:ascii="SimSun" w:hAnsi="SimSun" w:eastAsia="SimSun"/>
        </w:rPr>
        <w:t>单户、扩展家庭、多户共居、邻里共用设施。</w:t>
      </w:r>
    </w:p>
    <w:p>
      <w:pPr>
        <w:pStyle w:val="ListBullet"/>
        <w:ind w:firstLine="0"/>
      </w:pPr>
      <w:r>
        <w:rPr>
          <w:rFonts w:ascii="SimSun" w:hAnsi="SimSun" w:eastAsia="SimSun"/>
          <w:b/>
        </w:rPr>
        <w:t>使用节奏：</w:t>
      </w:r>
      <w:r>
        <w:rPr>
          <w:rFonts w:ascii="SimSun" w:hAnsi="SimSun" w:eastAsia="SimSun"/>
        </w:rPr>
        <w:t>流动、季节性、重复营地、较长期居住。</w:t>
      </w:r>
    </w:p>
    <w:p>
      <w:pPr>
        <w:pStyle w:val="ListBullet"/>
        <w:ind w:firstLine="0"/>
      </w:pPr>
      <w:r>
        <w:rPr>
          <w:rFonts w:ascii="SimSun" w:hAnsi="SimSun" w:eastAsia="SimSun"/>
          <w:b/>
        </w:rPr>
        <w:t>构造材料：</w:t>
      </w:r>
      <w:r>
        <w:rPr>
          <w:rFonts w:ascii="SimSun" w:hAnsi="SimSun" w:eastAsia="SimSun"/>
        </w:rPr>
        <w:t>木、石、土、植物覆盖、混合材料；仅在案例证据或 brief 明确时填写。</w:t>
      </w:r>
    </w:p>
    <w:p>
      <w:pPr>
        <w:pStyle w:val="ListBullet"/>
        <w:ind w:firstLine="0"/>
      </w:pPr>
      <w:r>
        <w:rPr>
          <w:rFonts w:ascii="SimSun" w:hAnsi="SimSun" w:eastAsia="SimSun"/>
          <w:b/>
        </w:rPr>
        <w:t>兼用功能：</w:t>
      </w:r>
      <w:r>
        <w:rPr>
          <w:rFonts w:ascii="SimSun" w:hAnsi="SimSun" w:eastAsia="SimSun"/>
        </w:rPr>
        <w:t>家庭生产、储存、商业、接待、畜养、防护；注明家内兼用还是独立建筑。</w:t>
      </w:r>
    </w:p>
    <w:p>
      <w:pPr>
        <w:pStyle w:val="ListBullet"/>
        <w:ind w:firstLine="0"/>
      </w:pPr>
      <w:r>
        <w:rPr>
          <w:rFonts w:ascii="SimSun" w:hAnsi="SimSun" w:eastAsia="SimSun"/>
          <w:b/>
        </w:rPr>
        <w:t>证据类型：</w:t>
      </w:r>
      <w:r>
        <w:rPr>
          <w:rFonts w:ascii="SimSun" w:hAnsi="SimSun" w:eastAsia="SimSun"/>
        </w:rPr>
        <w:t>实物遗址、考古平面、历史文献、建筑调查、民族志、历史复原、现代重建、原创概念设计。</w:t>
      </w:r>
    </w:p>
    <w:p>
      <w:pPr>
        <w:widowControl/>
        <w:ind w:firstLine="302"/>
      </w:pPr>
      <w:r>
        <w:rPr>
          <w:rFonts w:ascii="SimSun" w:hAnsi="SimSun" w:eastAsia="SimSun"/>
        </w:rPr>
        <w:t>为每个案例保留一个主类型，用标签记录交叉关系，避免一栋家宅被重复当成多个互不相干的“标准范例”。</w:t>
      </w:r>
    </w:p>
    <w:p>
      <w:pPr>
        <w:pStyle w:val="Heading1"/>
        <w:pageBreakBefore/>
      </w:pPr>
      <w:bookmarkStart w:id="section_046" w:name="section_046"/>
      <w:r>
        <w:t>附录 B：案例资料卡</w:t>
      </w:r>
      <w:bookmarkEnd w:id="section_046"/>
    </w:p>
    <w:tbl>
      <w:tblPr>
        <w:tblW w:type="dxa" w:w="9245"/>
        <w:jc w:val="center"/>
        <w:tblLayout w:type="fixed"/>
        <w:tblLook w:firstColumn="1" w:firstRow="1" w:lastColumn="0" w:lastRow="0" w:noHBand="0" w:noVBand="1" w:val="04A0"/>
        <w:tblInd w:w="95" w:type="dxa"/>
        <w:tblBorders>
          <w:top w:val="single" w:sz="5" w:space="0" w:color="C8D6D4"/>
          <w:left w:val="single" w:sz="5" w:space="0" w:color="C8D6D4"/>
          <w:bottom w:val="single" w:sz="5" w:space="0" w:color="C8D6D4"/>
          <w:right w:val="single" w:sz="5" w:space="0" w:color="C8D6D4"/>
          <w:insideH w:val="single" w:sz="5" w:space="0" w:color="C8D6D4"/>
          <w:insideV w:val="single" w:sz="5" w:space="0" w:color="C8D6D4"/>
        </w:tblBorders>
      </w:tblPr>
      <w:tblGrid>
        <w:gridCol w:w="4622"/>
        <w:gridCol w:w="4623"/>
      </w:tblGrid>
      <w:tr>
        <w:trPr>
          <w:cantSplit/>
          <w:tblHeader w:val="true"/>
        </w:trPr>
        <w:tc>
          <w:tcPr>
            <w:tcW w:type="dxa" w:w="4622"/>
            <w:vAlign w:val="center"/>
            <w:tcMar>
              <w:top w:w="85" w:type="dxa"/>
              <w:start w:w="95" w:type="dxa"/>
              <w:bottom w:w="85" w:type="dxa"/>
              <w:end w:w="95" w:type="dxa"/>
            </w:tcMar>
            <w:shd w:fill="315B60"/>
          </w:tcPr>
          <w:p>
            <w:pPr>
              <w:keepNext/>
              <w:spacing w:after="0" w:before="0" w:line="278" w:lineRule="auto"/>
              <w:ind w:firstLine="0"/>
            </w:pPr>
            <w:r>
              <w:rPr>
                <w:rFonts w:ascii="SimSun" w:hAnsi="SimSun" w:eastAsia="SimSun"/>
                <w:b/>
                <w:color w:val="FFFFFF"/>
                <w:sz w:val="18"/>
              </w:rPr>
              <w:t>字段</w:t>
            </w:r>
          </w:p>
        </w:tc>
        <w:tc>
          <w:tcPr>
            <w:tcW w:type="dxa" w:w="4623"/>
            <w:vAlign w:val="center"/>
            <w:tcMar>
              <w:top w:w="85" w:type="dxa"/>
              <w:start w:w="95" w:type="dxa"/>
              <w:bottom w:w="85" w:type="dxa"/>
              <w:end w:w="95" w:type="dxa"/>
            </w:tcMar>
            <w:shd w:fill="315B60"/>
          </w:tcPr>
          <w:p>
            <w:pPr>
              <w:keepNext/>
              <w:spacing w:after="0" w:before="0" w:line="278" w:lineRule="auto"/>
              <w:ind w:firstLine="0"/>
            </w:pPr>
            <w:r>
              <w:rPr>
                <w:rFonts w:ascii="SimSun" w:hAnsi="SimSun" w:eastAsia="SimSun"/>
                <w:b/>
                <w:color w:val="FFFFFF"/>
                <w:sz w:val="18"/>
              </w:rPr>
              <w:t>记录内容</w:t>
            </w:r>
          </w:p>
        </w:tc>
      </w:tr>
      <w:tr>
        <w:trPr>
          <w:cantSplit/>
        </w:trPr>
        <w:tc>
          <w:tcPr>
            <w:tcW w:type="dxa" w:w="4622"/>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案例名称、常用名</w:t>
            </w:r>
          </w:p>
        </w:tc>
        <w:tc>
          <w:tcPr>
            <w:tcW w:type="dxa" w:w="4623"/>
            <w:vAlign w:val="center"/>
            <w:tcMar>
              <w:top w:w="85" w:type="dxa"/>
              <w:start w:w="95" w:type="dxa"/>
              <w:bottom w:w="85" w:type="dxa"/>
              <w:end w:w="95" w:type="dxa"/>
            </w:tcMar>
            <w:shd w:fill="EEF3F2"/>
          </w:tcPr>
          <w:p>
            <w:pPr>
              <w:spacing w:after="0" w:before="0" w:line="278" w:lineRule="auto"/>
              <w:ind w:firstLine="0"/>
            </w:pPr>
          </w:p>
        </w:tc>
      </w:tr>
      <w:tr>
        <w:trPr>
          <w:cantSplit/>
        </w:trPr>
        <w:tc>
          <w:tcPr>
            <w:tcW w:type="dxa" w:w="4622"/>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地区、年代与来源</w:t>
            </w:r>
          </w:p>
        </w:tc>
        <w:tc>
          <w:tcPr>
            <w:tcW w:type="dxa" w:w="4623"/>
            <w:vAlign w:val="center"/>
            <w:tcMar>
              <w:top w:w="85" w:type="dxa"/>
              <w:start w:w="95" w:type="dxa"/>
              <w:bottom w:w="85" w:type="dxa"/>
              <w:end w:w="95" w:type="dxa"/>
            </w:tcMar>
            <w:shd w:fill="FFFFFF"/>
          </w:tcPr>
          <w:p>
            <w:pPr>
              <w:spacing w:after="0" w:before="0" w:line="278" w:lineRule="auto"/>
              <w:ind w:firstLine="0"/>
            </w:pPr>
          </w:p>
        </w:tc>
      </w:tr>
      <w:tr>
        <w:trPr>
          <w:cantSplit/>
        </w:trPr>
        <w:tc>
          <w:tcPr>
            <w:tcW w:type="dxa" w:w="4622"/>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资料对象</w:t>
            </w:r>
          </w:p>
        </w:tc>
        <w:tc>
          <w:tcPr>
            <w:tcW w:type="dxa" w:w="4623"/>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建筑／遗址／文献／民族志／复原／现代重建</w:t>
            </w:r>
          </w:p>
        </w:tc>
      </w:tr>
      <w:tr>
        <w:trPr>
          <w:cantSplit/>
        </w:trPr>
        <w:tc>
          <w:tcPr>
            <w:tcW w:type="dxa" w:w="4622"/>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主类型与交叉标签</w:t>
            </w:r>
          </w:p>
        </w:tc>
        <w:tc>
          <w:tcPr>
            <w:tcW w:type="dxa" w:w="4623"/>
            <w:vAlign w:val="center"/>
            <w:tcMar>
              <w:top w:w="85" w:type="dxa"/>
              <w:start w:w="95" w:type="dxa"/>
              <w:bottom w:w="85" w:type="dxa"/>
              <w:end w:w="95" w:type="dxa"/>
            </w:tcMar>
            <w:shd w:fill="FFFFFF"/>
          </w:tcPr>
          <w:p>
            <w:pPr>
              <w:spacing w:after="0" w:before="0" w:line="278" w:lineRule="auto"/>
              <w:ind w:firstLine="0"/>
            </w:pPr>
          </w:p>
        </w:tc>
      </w:tr>
      <w:tr>
        <w:trPr>
          <w:cantSplit/>
        </w:trPr>
        <w:tc>
          <w:tcPr>
            <w:tcW w:type="dxa" w:w="4622"/>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来源直接支持的事实</w:t>
            </w:r>
          </w:p>
        </w:tc>
        <w:tc>
          <w:tcPr>
            <w:tcW w:type="dxa" w:w="4623"/>
            <w:vAlign w:val="center"/>
            <w:tcMar>
              <w:top w:w="85" w:type="dxa"/>
              <w:start w:w="95" w:type="dxa"/>
              <w:bottom w:w="85" w:type="dxa"/>
              <w:end w:w="95" w:type="dxa"/>
            </w:tcMar>
            <w:shd w:fill="EEF3F2"/>
          </w:tcPr>
          <w:p>
            <w:pPr>
              <w:spacing w:after="0" w:before="0" w:line="278" w:lineRule="auto"/>
              <w:ind w:firstLine="0"/>
            </w:pPr>
          </w:p>
        </w:tc>
      </w:tr>
      <w:tr>
        <w:trPr>
          <w:cantSplit/>
        </w:trPr>
        <w:tc>
          <w:tcPr>
            <w:tcW w:type="dxa" w:w="4622"/>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有限推断</w:t>
            </w:r>
          </w:p>
        </w:tc>
        <w:tc>
          <w:tcPr>
            <w:tcW w:type="dxa" w:w="4623"/>
            <w:vAlign w:val="center"/>
            <w:tcMar>
              <w:top w:w="85" w:type="dxa"/>
              <w:start w:w="95" w:type="dxa"/>
              <w:bottom w:w="85" w:type="dxa"/>
              <w:end w:w="95" w:type="dxa"/>
            </w:tcMar>
            <w:shd w:fill="FFFFFF"/>
          </w:tcPr>
          <w:p>
            <w:pPr>
              <w:spacing w:after="0" w:before="0" w:line="278" w:lineRule="auto"/>
              <w:ind w:firstLine="0"/>
            </w:pPr>
          </w:p>
        </w:tc>
      </w:tr>
      <w:tr>
        <w:trPr>
          <w:cantSplit/>
        </w:trPr>
        <w:tc>
          <w:tcPr>
            <w:tcW w:type="dxa" w:w="4622"/>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本章游戏设计选择</w:t>
            </w:r>
          </w:p>
        </w:tc>
        <w:tc>
          <w:tcPr>
            <w:tcW w:type="dxa" w:w="4623"/>
            <w:vAlign w:val="center"/>
            <w:tcMar>
              <w:top w:w="85" w:type="dxa"/>
              <w:start w:w="95" w:type="dxa"/>
              <w:bottom w:w="85" w:type="dxa"/>
              <w:end w:w="95" w:type="dxa"/>
            </w:tcMar>
            <w:shd w:fill="EEF3F2"/>
          </w:tcPr>
          <w:p>
            <w:pPr>
              <w:spacing w:after="0" w:before="0" w:line="278" w:lineRule="auto"/>
              <w:ind w:firstLine="0"/>
            </w:pPr>
          </w:p>
        </w:tc>
      </w:tr>
      <w:tr>
        <w:trPr>
          <w:cantSplit/>
        </w:trPr>
        <w:tc>
          <w:tcPr>
            <w:tcW w:type="dxa" w:w="4622"/>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待核问题</w:t>
            </w:r>
          </w:p>
        </w:tc>
        <w:tc>
          <w:tcPr>
            <w:tcW w:type="dxa" w:w="4623"/>
            <w:vAlign w:val="center"/>
            <w:tcMar>
              <w:top w:w="85" w:type="dxa"/>
              <w:start w:w="95" w:type="dxa"/>
              <w:bottom w:w="85" w:type="dxa"/>
              <w:end w:w="95" w:type="dxa"/>
            </w:tcMar>
            <w:shd w:fill="FFFFFF"/>
          </w:tcPr>
          <w:p>
            <w:pPr>
              <w:spacing w:after="0" w:before="0" w:line="278" w:lineRule="auto"/>
              <w:ind w:firstLine="0"/>
            </w:pPr>
          </w:p>
        </w:tc>
      </w:tr>
      <w:tr>
        <w:trPr>
          <w:cantSplit/>
        </w:trPr>
        <w:tc>
          <w:tcPr>
            <w:tcW w:type="dxa" w:w="4622"/>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平面、剖面、照片或图像来源</w:t>
            </w:r>
          </w:p>
        </w:tc>
        <w:tc>
          <w:tcPr>
            <w:tcW w:type="dxa" w:w="4623"/>
            <w:vAlign w:val="center"/>
            <w:tcMar>
              <w:top w:w="85" w:type="dxa"/>
              <w:start w:w="95" w:type="dxa"/>
              <w:bottom w:w="85" w:type="dxa"/>
              <w:end w:w="95" w:type="dxa"/>
            </w:tcMar>
            <w:shd w:fill="EEF3F2"/>
          </w:tcPr>
          <w:p>
            <w:pPr>
              <w:spacing w:after="0" w:before="0" w:line="278" w:lineRule="auto"/>
              <w:ind w:firstLine="0"/>
            </w:pPr>
          </w:p>
        </w:tc>
      </w:tr>
      <w:tr>
        <w:trPr>
          <w:cantSplit/>
        </w:trPr>
        <w:tc>
          <w:tcPr>
            <w:tcW w:type="dxa" w:w="4622"/>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图像性质、版权与署名要求</w:t>
            </w:r>
          </w:p>
        </w:tc>
        <w:tc>
          <w:tcPr>
            <w:tcW w:type="dxa" w:w="4623"/>
            <w:vAlign w:val="center"/>
            <w:tcMar>
              <w:top w:w="85" w:type="dxa"/>
              <w:start w:w="95" w:type="dxa"/>
              <w:bottom w:w="85" w:type="dxa"/>
              <w:end w:w="95" w:type="dxa"/>
            </w:tcMar>
            <w:shd w:fill="FFFFFF"/>
          </w:tcPr>
          <w:p>
            <w:pPr>
              <w:spacing w:after="0" w:before="0" w:line="278" w:lineRule="auto"/>
              <w:ind w:firstLine="0"/>
            </w:pPr>
          </w:p>
        </w:tc>
      </w:tr>
    </w:tbl>
    <w:p>
      <w:pPr>
        <w:spacing w:after="40"/>
      </w:pPr>
    </w:p>
    <w:p>
      <w:pPr>
        <w:pStyle w:val="Heading1"/>
        <w:pageBreakBefore/>
      </w:pPr>
      <w:bookmarkStart w:id="section_047" w:name="section_047"/>
      <w:r>
        <w:t>附录 C：读者概念设计工作卡</w:t>
      </w:r>
      <w:bookmarkEnd w:id="section_047"/>
    </w:p>
    <w:p>
      <w:pPr>
        <w:keepLines/>
        <w:spacing w:line="298" w:lineRule="auto" w:after="40"/>
        <w:ind w:left="403" w:hanging="403"/>
      </w:pPr>
      <w:r>
        <w:rPr>
          <w:rFonts w:ascii="SimSun" w:hAnsi="SimSun" w:eastAsia="SimSun"/>
        </w:rPr>
        <w:t xml:space="preserve">1. </w:t>
      </w:r>
      <w:r>
        <w:rPr>
          <w:rFonts w:ascii="SimSun" w:hAnsi="SimSun" w:eastAsia="SimSun"/>
          <w:b/>
        </w:rPr>
        <w:t>场景 brief：</w:t>
      </w:r>
      <w:r>
        <w:rPr>
          <w:rFonts w:ascii="SimSun" w:hAnsi="SimSun" w:eastAsia="SimSun"/>
        </w:rPr>
        <w:t>地点、使用者、活动、资源、材料和技术边界。</w:t>
      </w:r>
    </w:p>
    <w:p>
      <w:pPr>
        <w:keepLines/>
        <w:spacing w:line="298" w:lineRule="auto" w:after="40"/>
        <w:ind w:left="403" w:hanging="403"/>
      </w:pPr>
      <w:r>
        <w:rPr>
          <w:rFonts w:ascii="SimSun" w:hAnsi="SimSun" w:eastAsia="SimSun"/>
        </w:rPr>
        <w:t xml:space="preserve">2. </w:t>
      </w:r>
      <w:r>
        <w:rPr>
          <w:rFonts w:ascii="SimSun" w:hAnsi="SimSun" w:eastAsia="SimSun"/>
          <w:b/>
        </w:rPr>
        <w:t>生活活动：</w:t>
      </w:r>
      <w:r>
        <w:rPr>
          <w:rFonts w:ascii="SimSun" w:hAnsi="SimSun" w:eastAsia="SimSun"/>
        </w:rPr>
        <w:t>谁在何时做什么，用到什么人或物？</w:t>
      </w:r>
    </w:p>
    <w:p>
      <w:pPr>
        <w:keepLines/>
        <w:spacing w:line="298" w:lineRule="auto" w:after="40"/>
        <w:ind w:left="403" w:hanging="403"/>
      </w:pPr>
      <w:r>
        <w:rPr>
          <w:rFonts w:ascii="SimSun" w:hAnsi="SimSun" w:eastAsia="SimSun"/>
        </w:rPr>
        <w:t xml:space="preserve">3. </w:t>
      </w:r>
      <w:r>
        <w:rPr>
          <w:rFonts w:ascii="SimSun" w:hAnsi="SimSun" w:eastAsia="SimSun"/>
          <w:b/>
        </w:rPr>
        <w:t>功能排序：</w:t>
      </w:r>
      <w:r>
        <w:rPr>
          <w:rFonts w:ascii="SimSun" w:hAnsi="SimSun" w:eastAsia="SimSun"/>
        </w:rPr>
        <w:t>依据是频率、先后、搬运、洁污、公共到私密，还是其他关系？</w:t>
      </w:r>
    </w:p>
    <w:p>
      <w:pPr>
        <w:keepLines/>
        <w:spacing w:line="298" w:lineRule="auto" w:after="40"/>
        <w:ind w:left="403" w:hanging="403"/>
      </w:pPr>
      <w:r>
        <w:rPr>
          <w:rFonts w:ascii="SimSun" w:hAnsi="SimSun" w:eastAsia="SimSun"/>
        </w:rPr>
        <w:t xml:space="preserve">4. </w:t>
      </w:r>
      <w:r>
        <w:rPr>
          <w:rFonts w:ascii="SimSun" w:hAnsi="SimSun" w:eastAsia="SimSun"/>
          <w:b/>
        </w:rPr>
        <w:t>空间安排：</w:t>
      </w:r>
      <w:r>
        <w:rPr>
          <w:rFonts w:ascii="SimSun" w:hAnsi="SimSun" w:eastAsia="SimSun"/>
        </w:rPr>
        <w:t>入口、遮蔽、分区、院落、楼层和共用空间为何放在这里？</w:t>
      </w:r>
    </w:p>
    <w:p>
      <w:pPr>
        <w:keepLines/>
        <w:spacing w:line="298" w:lineRule="auto" w:after="40"/>
        <w:ind w:left="403" w:hanging="403"/>
      </w:pPr>
      <w:r>
        <w:rPr>
          <w:rFonts w:ascii="SimSun" w:hAnsi="SimSun" w:eastAsia="SimSun"/>
        </w:rPr>
        <w:t xml:space="preserve">5. </w:t>
      </w:r>
      <w:r>
        <w:rPr>
          <w:rFonts w:ascii="SimSun" w:hAnsi="SimSun" w:eastAsia="SimSun"/>
          <w:b/>
        </w:rPr>
        <w:t>人物路线：</w:t>
      </w:r>
      <w:r>
        <w:rPr>
          <w:rFonts w:ascii="SimSun" w:hAnsi="SimSun" w:eastAsia="SimSun"/>
        </w:rPr>
        <w:t>从到达、进入、休息到离开。</w:t>
      </w:r>
    </w:p>
    <w:p>
      <w:pPr>
        <w:keepLines/>
        <w:spacing w:line="298" w:lineRule="auto" w:after="40"/>
        <w:ind w:left="403" w:hanging="403"/>
      </w:pPr>
      <w:r>
        <w:rPr>
          <w:rFonts w:ascii="SimSun" w:hAnsi="SimSun" w:eastAsia="SimSun"/>
        </w:rPr>
        <w:t xml:space="preserve">6. </w:t>
      </w:r>
      <w:r>
        <w:rPr>
          <w:rFonts w:ascii="SimSun" w:hAnsi="SimSun" w:eastAsia="SimSun"/>
          <w:b/>
        </w:rPr>
        <w:t>物资路线：</w:t>
      </w:r>
      <w:r>
        <w:rPr>
          <w:rFonts w:ascii="SimSun" w:hAnsi="SimSun" w:eastAsia="SimSun"/>
        </w:rPr>
        <w:t>从获取、搬运、加工、存放到再次使用或带走。</w:t>
      </w:r>
    </w:p>
    <w:p>
      <w:pPr>
        <w:keepLines/>
        <w:spacing w:line="298" w:lineRule="auto" w:after="40"/>
        <w:ind w:left="403" w:hanging="403"/>
      </w:pPr>
      <w:r>
        <w:rPr>
          <w:rFonts w:ascii="SimSun" w:hAnsi="SimSun" w:eastAsia="SimSun"/>
        </w:rPr>
        <w:t xml:space="preserve">7. </w:t>
      </w:r>
      <w:r>
        <w:rPr>
          <w:rFonts w:ascii="SimSun" w:hAnsi="SimSun" w:eastAsia="SimSun"/>
          <w:b/>
        </w:rPr>
        <w:t>运营闭环：</w:t>
      </w:r>
      <w:r>
        <w:rPr>
          <w:rFonts w:ascii="SimSun" w:hAnsi="SimSun" w:eastAsia="SimSun"/>
        </w:rPr>
        <w:t>哪些清理、补充、维修、改造、迁移或终止环节适用于 brief？</w:t>
      </w:r>
    </w:p>
    <w:p>
      <w:pPr>
        <w:keepLines/>
        <w:spacing w:line="298" w:lineRule="auto" w:after="40"/>
        <w:ind w:left="403" w:hanging="403"/>
      </w:pPr>
      <w:r>
        <w:rPr>
          <w:rFonts w:ascii="SimSun" w:hAnsi="SimSun" w:eastAsia="SimSun"/>
        </w:rPr>
        <w:t xml:space="preserve">8. </w:t>
      </w:r>
      <w:r>
        <w:rPr>
          <w:rFonts w:ascii="SimSun" w:hAnsi="SimSun" w:eastAsia="SimSun"/>
          <w:b/>
        </w:rPr>
        <w:t>证据边界：</w:t>
      </w:r>
      <w:r>
        <w:rPr>
          <w:rFonts w:ascii="SimSun" w:hAnsi="SimSun" w:eastAsia="SimSun"/>
        </w:rPr>
        <w:t>事实、推断、设计选择、待核事项分别是什么？</w:t>
      </w:r>
    </w:p>
    <w:p>
      <w:pPr>
        <w:keepLines/>
        <w:spacing w:line="298" w:lineRule="auto" w:after="40"/>
        <w:ind w:left="403" w:hanging="403"/>
      </w:pPr>
      <w:r>
        <w:rPr>
          <w:rFonts w:ascii="SimSun" w:hAnsi="SimSun" w:eastAsia="SimSun"/>
        </w:rPr>
        <w:t xml:space="preserve">9. </w:t>
      </w:r>
      <w:r>
        <w:rPr>
          <w:rFonts w:ascii="SimSun" w:hAnsi="SimSun" w:eastAsia="SimSun"/>
          <w:b/>
        </w:rPr>
        <w:t>可检查成果：</w:t>
      </w:r>
      <w:r>
        <w:rPr>
          <w:rFonts w:ascii="SimSun" w:hAnsi="SimSun" w:eastAsia="SimSun"/>
        </w:rPr>
        <w:t>场景卡、功能清单、平面／剖面、人物／物资路线和取舍说明。</w:t>
      </w:r>
    </w:p>
    <w:p>
      <w:pPr>
        <w:pStyle w:val="Heading1"/>
        <w:pageBreakBefore/>
      </w:pPr>
      <w:bookmarkStart w:id="section_048" w:name="section_048"/>
      <w:r>
        <w:t>附录 D：主要案例资料索引</w:t>
      </w:r>
      <w:bookmarkEnd w:id="section_048"/>
    </w:p>
    <w:p>
      <w:pPr>
        <w:widowControl/>
        <w:ind w:firstLine="302"/>
      </w:pPr>
      <w:r>
        <w:rPr>
          <w:rFonts w:ascii="SimSun" w:hAnsi="SimSun" w:eastAsia="SimSun"/>
        </w:rPr>
        <w:t>以下来源链接与正文中的案例相对应。链接用于读者复核案例范围和证据类型；单个遗址只能支持关于该遗址的判断，不能自动代表一个地区或整种建筑类型。</w:t>
      </w:r>
    </w:p>
    <w:tbl>
      <w:tblPr>
        <w:tblW w:type="dxa" w:w="9245"/>
        <w:jc w:val="center"/>
        <w:tblLayout w:type="fixed"/>
        <w:tblLook w:firstColumn="1" w:firstRow="1" w:lastColumn="0" w:lastRow="0" w:noHBand="0" w:noVBand="1" w:val="04A0"/>
        <w:tblInd w:w="95" w:type="dxa"/>
        <w:tblBorders>
          <w:top w:val="single" w:sz="5" w:space="0" w:color="C8D6D4"/>
          <w:left w:val="single" w:sz="5" w:space="0" w:color="C8D6D4"/>
          <w:bottom w:val="single" w:sz="5" w:space="0" w:color="C8D6D4"/>
          <w:right w:val="single" w:sz="5" w:space="0" w:color="C8D6D4"/>
          <w:insideH w:val="single" w:sz="5" w:space="0" w:color="C8D6D4"/>
          <w:insideV w:val="single" w:sz="5" w:space="0" w:color="C8D6D4"/>
        </w:tblBorders>
      </w:tblPr>
      <w:tblGrid>
        <w:gridCol w:w="1699"/>
        <w:gridCol w:w="3658"/>
        <w:gridCol w:w="3888"/>
      </w:tblGrid>
      <w:tr>
        <w:trPr>
          <w:cantSplit/>
          <w:tblHeader w:val="true"/>
        </w:trPr>
        <w:tc>
          <w:tcPr>
            <w:tcW w:type="dxa" w:w="1699"/>
            <w:vAlign w:val="center"/>
            <w:tcMar>
              <w:top w:w="85" w:type="dxa"/>
              <w:start w:w="95" w:type="dxa"/>
              <w:bottom w:w="85" w:type="dxa"/>
              <w:end w:w="95" w:type="dxa"/>
            </w:tcMar>
            <w:shd w:fill="315B60"/>
          </w:tcPr>
          <w:p>
            <w:pPr>
              <w:keepNext/>
              <w:spacing w:after="0" w:before="0" w:line="278" w:lineRule="auto"/>
              <w:ind w:firstLine="0"/>
            </w:pPr>
            <w:r>
              <w:rPr>
                <w:rFonts w:ascii="SimSun" w:hAnsi="SimSun" w:eastAsia="SimSun"/>
                <w:b/>
                <w:color w:val="FFFFFF"/>
                <w:sz w:val="18"/>
              </w:rPr>
              <w:t>章节</w:t>
            </w:r>
          </w:p>
        </w:tc>
        <w:tc>
          <w:tcPr>
            <w:tcW w:type="dxa" w:w="3658"/>
            <w:vAlign w:val="center"/>
            <w:tcMar>
              <w:top w:w="85" w:type="dxa"/>
              <w:start w:w="95" w:type="dxa"/>
              <w:bottom w:w="85" w:type="dxa"/>
              <w:end w:w="95" w:type="dxa"/>
            </w:tcMar>
            <w:shd w:fill="315B60"/>
          </w:tcPr>
          <w:p>
            <w:pPr>
              <w:keepNext/>
              <w:spacing w:after="0" w:before="0" w:line="278" w:lineRule="auto"/>
              <w:ind w:firstLine="0"/>
            </w:pPr>
            <w:r>
              <w:rPr>
                <w:rFonts w:ascii="SimSun" w:hAnsi="SimSun" w:eastAsia="SimSun"/>
                <w:b/>
                <w:color w:val="FFFFFF"/>
                <w:sz w:val="18"/>
              </w:rPr>
              <w:t>主要资料</w:t>
            </w:r>
          </w:p>
        </w:tc>
        <w:tc>
          <w:tcPr>
            <w:tcW w:type="dxa" w:w="3888"/>
            <w:vAlign w:val="center"/>
            <w:tcMar>
              <w:top w:w="85" w:type="dxa"/>
              <w:start w:w="95" w:type="dxa"/>
              <w:bottom w:w="85" w:type="dxa"/>
              <w:end w:w="95" w:type="dxa"/>
            </w:tcMar>
            <w:shd w:fill="315B60"/>
          </w:tcPr>
          <w:p>
            <w:pPr>
              <w:keepNext/>
              <w:spacing w:after="0" w:before="0" w:line="278" w:lineRule="auto"/>
              <w:ind w:firstLine="0"/>
            </w:pPr>
            <w:r>
              <w:rPr>
                <w:rFonts w:ascii="SimSun" w:hAnsi="SimSun" w:eastAsia="SimSun"/>
                <w:b/>
                <w:color w:val="FFFFFF"/>
                <w:sz w:val="18"/>
              </w:rPr>
              <w:t>本册用法与范围</w:t>
            </w:r>
          </w:p>
        </w:tc>
      </w:tr>
      <w:tr>
        <w:trPr>
          <w:cantSplit/>
        </w:trPr>
        <w:tc>
          <w:tcPr>
            <w:tcW w:type="dxa" w:w="1699"/>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第 1 章 岩棚居所</w:t>
            </w:r>
          </w:p>
        </w:tc>
        <w:tc>
          <w:tcPr>
            <w:tcW w:type="dxa" w:w="3658"/>
            <w:vAlign w:val="center"/>
            <w:tcMar>
              <w:top w:w="85" w:type="dxa"/>
              <w:start w:w="95" w:type="dxa"/>
              <w:bottom w:w="85" w:type="dxa"/>
              <w:end w:w="95" w:type="dxa"/>
            </w:tcMar>
            <w:shd w:fill="EEF3F2"/>
          </w:tcPr>
          <w:p>
            <w:pPr>
              <w:spacing w:after="0" w:before="0" w:line="278" w:lineRule="auto"/>
              <w:ind w:firstLine="0"/>
            </w:pPr>
            <w:hyperlink r:id="rId14">
              <w:r>
                <w:rPr>
                  <w:color w:val="237E86"/>
                  <w:u w:val="single"/>
                  <w:rFonts w:eastAsia="SimSun" w:ascii="SimSun" w:hAnsi="SimSun"/>
                  <w:sz w:val="21"/>
                </w:rPr>
                <w:t>梅萨维德国家公园：遗址与崖居</w:t>
              </w:r>
            </w:hyperlink>
            <w:r>
              <w:rPr>
                <w:rFonts w:ascii="SimSun" w:hAnsi="SimSun" w:eastAsia="SimSun"/>
                <w:color w:val="505A5A"/>
                <w:sz w:val="18"/>
              </w:rPr>
              <w:t>；</w:t>
            </w:r>
            <w:hyperlink r:id="rId15">
              <w:r>
                <w:rPr>
                  <w:color w:val="237E86"/>
                  <w:u w:val="single"/>
                  <w:rFonts w:eastAsia="SimSun" w:ascii="SimSun" w:hAnsi="SimSun"/>
                  <w:sz w:val="21"/>
                </w:rPr>
                <w:t>Cliff Palace 建筑材料</w:t>
              </w:r>
            </w:hyperlink>
            <w:r>
              <w:rPr>
                <w:rFonts w:ascii="SimSun" w:hAnsi="SimSun" w:eastAsia="SimSun"/>
                <w:color w:val="505A5A"/>
                <w:sz w:val="18"/>
              </w:rPr>
              <w:t>；</w:t>
            </w:r>
            <w:hyperlink r:id="rId16">
              <w:r>
                <w:rPr>
                  <w:color w:val="237E86"/>
                  <w:u w:val="single"/>
                  <w:rFonts w:eastAsia="SimSun" w:ascii="SimSun" w:hAnsi="SimSun"/>
                  <w:sz w:val="21"/>
                </w:rPr>
                <w:t>梅萨维德岩棚地质</w:t>
              </w:r>
            </w:hyperlink>
          </w:p>
        </w:tc>
        <w:tc>
          <w:tcPr>
            <w:tcW w:type="dxa" w:w="3888"/>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说明岩棚、年代范围、材料例子、遮蔽与地质风险；Cliff Palace 的材料不外推至全部遗址。</w:t>
            </w:r>
          </w:p>
        </w:tc>
      </w:tr>
      <w:tr>
        <w:trPr>
          <w:cantSplit/>
        </w:trPr>
        <w:tc>
          <w:tcPr>
            <w:tcW w:type="dxa" w:w="1699"/>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第 2 章 湖岸营地</w:t>
            </w:r>
          </w:p>
        </w:tc>
        <w:tc>
          <w:tcPr>
            <w:tcW w:type="dxa" w:w="3658"/>
            <w:vAlign w:val="center"/>
            <w:tcMar>
              <w:top w:w="85" w:type="dxa"/>
              <w:start w:w="95" w:type="dxa"/>
              <w:bottom w:w="85" w:type="dxa"/>
              <w:end w:w="95" w:type="dxa"/>
            </w:tcMar>
            <w:shd w:fill="FFFFFF"/>
          </w:tcPr>
          <w:p>
            <w:pPr>
              <w:spacing w:after="0" w:before="0" w:line="278" w:lineRule="auto"/>
              <w:ind w:firstLine="0"/>
            </w:pPr>
            <w:hyperlink r:id="rId18">
              <w:r>
                <w:rPr>
                  <w:color w:val="237E86"/>
                  <w:u w:val="single"/>
                  <w:rFonts w:eastAsia="SimSun" w:ascii="SimSun" w:hAnsi="SimSun"/>
                  <w:sz w:val="21"/>
                </w:rPr>
                <w:t>Ohalo II 居住铺垫研究（PNAS）</w:t>
              </w:r>
            </w:hyperlink>
            <w:r>
              <w:rPr>
                <w:rFonts w:ascii="SimSun" w:hAnsi="SimSun" w:eastAsia="SimSun"/>
                <w:color w:val="505A5A"/>
                <w:sz w:val="18"/>
              </w:rPr>
              <w:t>；</w:t>
            </w:r>
            <w:hyperlink r:id="rId19">
              <w:r>
                <w:rPr>
                  <w:color w:val="237E86"/>
                  <w:u w:val="single"/>
                  <w:rFonts w:eastAsia="SimSun" w:ascii="SimSun" w:hAnsi="SimSun"/>
                  <w:sz w:val="21"/>
                </w:rPr>
                <w:t>Ohalo II 住所研究（PLOS ONE）</w:t>
              </w:r>
            </w:hyperlink>
            <w:r>
              <w:rPr>
                <w:rFonts w:ascii="SimSun" w:hAnsi="SimSun" w:eastAsia="SimSun"/>
                <w:color w:val="505A5A"/>
                <w:sz w:val="18"/>
              </w:rPr>
              <w:t>；</w:t>
            </w:r>
            <w:hyperlink r:id="rId21">
              <w:r>
                <w:rPr>
                  <w:color w:val="237E86"/>
                  <w:u w:val="single"/>
                  <w:rFonts w:eastAsia="SimSun" w:ascii="SimSun" w:hAnsi="SimSun"/>
                  <w:sz w:val="21"/>
                </w:rPr>
                <w:t>营地活动区研究（海法大学）</w:t>
              </w:r>
            </w:hyperlink>
            <w:r>
              <w:rPr>
                <w:rFonts w:ascii="SimSun" w:hAnsi="SimSun" w:eastAsia="SimSun"/>
                <w:color w:val="505A5A"/>
                <w:sz w:val="18"/>
              </w:rPr>
              <w:t>；</w:t>
            </w:r>
            <w:hyperlink r:id="rId20">
              <w:r>
                <w:rPr>
                  <w:color w:val="237E86"/>
                  <w:u w:val="single"/>
                  <w:rFonts w:eastAsia="SimSun" w:ascii="SimSun" w:hAnsi="SimSun"/>
                  <w:sz w:val="21"/>
                </w:rPr>
                <w:t>剑桥大学民族考古学研究</w:t>
              </w:r>
            </w:hyperlink>
          </w:p>
        </w:tc>
        <w:tc>
          <w:tcPr>
            <w:tcW w:type="dxa" w:w="3888"/>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以 Ohalo II 说明住所、火塘和活动痕迹的具体关系；研究和民族志材料只用于启发，不构成通用营地平面。</w:t>
            </w:r>
          </w:p>
        </w:tc>
      </w:tr>
      <w:tr>
        <w:trPr>
          <w:cantSplit/>
        </w:trPr>
        <w:tc>
          <w:tcPr>
            <w:tcW w:type="dxa" w:w="1699"/>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第 3 章 坑式住宅</w:t>
            </w:r>
          </w:p>
        </w:tc>
        <w:tc>
          <w:tcPr>
            <w:tcW w:type="dxa" w:w="3658"/>
            <w:vAlign w:val="center"/>
            <w:tcMar>
              <w:top w:w="85" w:type="dxa"/>
              <w:start w:w="95" w:type="dxa"/>
              <w:bottom w:w="85" w:type="dxa"/>
              <w:end w:w="95" w:type="dxa"/>
            </w:tcMar>
            <w:shd w:fill="EEF3F2"/>
          </w:tcPr>
          <w:p>
            <w:pPr>
              <w:spacing w:after="0" w:before="0" w:line="278" w:lineRule="auto"/>
              <w:ind w:firstLine="0"/>
            </w:pPr>
            <w:hyperlink r:id="rId23">
              <w:r>
                <w:rPr>
                  <w:color w:val="237E86"/>
                  <w:u w:val="single"/>
                  <w:rFonts w:eastAsia="SimSun" w:ascii="SimSun" w:hAnsi="SimSun"/>
                  <w:sz w:val="21"/>
                </w:rPr>
                <w:t>梅萨维德坑式住宅遗址</w:t>
              </w:r>
            </w:hyperlink>
            <w:r>
              <w:rPr>
                <w:rFonts w:ascii="SimSun" w:hAnsi="SimSun" w:eastAsia="SimSun"/>
                <w:color w:val="505A5A"/>
                <w:sz w:val="18"/>
              </w:rPr>
              <w:t>；</w:t>
            </w:r>
            <w:hyperlink r:id="rId24">
              <w:r>
                <w:rPr>
                  <w:color w:val="237E86"/>
                  <w:u w:val="single"/>
                  <w:rFonts w:eastAsia="SimSun" w:ascii="SimSun" w:hAnsi="SimSun"/>
                  <w:sz w:val="21"/>
                </w:rPr>
                <w:t>NPS 坑式住宅说明</w:t>
              </w:r>
            </w:hyperlink>
            <w:r>
              <w:rPr>
                <w:rFonts w:ascii="SimSun" w:hAnsi="SimSun" w:eastAsia="SimSun"/>
                <w:color w:val="505A5A"/>
                <w:sz w:val="18"/>
              </w:rPr>
              <w:t>；</w:t>
            </w:r>
            <w:hyperlink r:id="rId25">
              <w:r>
                <w:rPr>
                  <w:color w:val="237E86"/>
                  <w:u w:val="single"/>
                  <w:rFonts w:eastAsia="SimSun" w:ascii="SimSun" w:hAnsi="SimSun"/>
                  <w:sz w:val="21"/>
                </w:rPr>
                <w:t>火塘与室内活动解说</w:t>
              </w:r>
            </w:hyperlink>
          </w:p>
        </w:tc>
        <w:tc>
          <w:tcPr>
            <w:tcW w:type="dxa" w:w="3888"/>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支持当地案例中的下沉居住面、火塘、挡风与排烟线索；不外推为所有半地下住宅标准。</w:t>
            </w:r>
          </w:p>
        </w:tc>
      </w:tr>
      <w:tr>
        <w:trPr>
          <w:cantSplit/>
        </w:trPr>
        <w:tc>
          <w:tcPr>
            <w:tcW w:type="dxa" w:w="1699"/>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第 4 章 架空住宅</w:t>
            </w:r>
          </w:p>
        </w:tc>
        <w:tc>
          <w:tcPr>
            <w:tcW w:type="dxa" w:w="3658"/>
            <w:vAlign w:val="center"/>
            <w:tcMar>
              <w:top w:w="85" w:type="dxa"/>
              <w:start w:w="95" w:type="dxa"/>
              <w:bottom w:w="85" w:type="dxa"/>
              <w:end w:w="95" w:type="dxa"/>
            </w:tcMar>
            <w:shd w:fill="FFFFFF"/>
          </w:tcPr>
          <w:p>
            <w:pPr>
              <w:spacing w:after="0" w:before="0" w:line="278" w:lineRule="auto"/>
              <w:ind w:firstLine="0"/>
            </w:pPr>
            <w:hyperlink r:id="rId27">
              <w:r>
                <w:rPr>
                  <w:color w:val="237E86"/>
                  <w:u w:val="single"/>
                  <w:rFonts w:eastAsia="SimSun" w:ascii="SimSun" w:hAnsi="SimSun"/>
                  <w:sz w:val="21"/>
                </w:rPr>
                <w:t>UNESCO 阿尔卑斯史前桩基遗址</w:t>
              </w:r>
            </w:hyperlink>
            <w:r>
              <w:rPr>
                <w:rFonts w:ascii="SimSun" w:hAnsi="SimSun" w:eastAsia="SimSun"/>
                <w:color w:val="505A5A"/>
                <w:sz w:val="18"/>
              </w:rPr>
              <w:t>；</w:t>
            </w:r>
            <w:hyperlink r:id="rId28">
              <w:r>
                <w:rPr>
                  <w:color w:val="237E86"/>
                  <w:u w:val="single"/>
                  <w:rFonts w:eastAsia="SimSun" w:ascii="SimSun" w:hAnsi="SimSun"/>
                  <w:sz w:val="21"/>
                </w:rPr>
                <w:t>桩基遗址建造方式说明</w:t>
              </w:r>
            </w:hyperlink>
            <w:r>
              <w:rPr>
                <w:rFonts w:ascii="SimSun" w:hAnsi="SimSun" w:eastAsia="SimSun"/>
                <w:color w:val="505A5A"/>
                <w:sz w:val="18"/>
              </w:rPr>
              <w:t>；</w:t>
            </w:r>
            <w:hyperlink r:id="rId29">
              <w:r>
                <w:rPr>
                  <w:color w:val="237E86"/>
                  <w:u w:val="single"/>
                  <w:rFonts w:eastAsia="SimSun" w:ascii="SimSun" w:hAnsi="SimSun"/>
                  <w:sz w:val="21"/>
                </w:rPr>
                <w:t>拉瓦尼奥内遗址</w:t>
              </w:r>
            </w:hyperlink>
          </w:p>
        </w:tc>
        <w:tc>
          <w:tcPr>
            <w:tcW w:type="dxa" w:w="3888"/>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说明湖岸遗址的多种建造方式，并纠正“桩基遗址等于水上高架房屋”的简化印象。</w:t>
            </w:r>
          </w:p>
        </w:tc>
      </w:tr>
      <w:tr>
        <w:trPr>
          <w:cantSplit/>
        </w:trPr>
        <w:tc>
          <w:tcPr>
            <w:tcW w:type="dxa" w:w="1699"/>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第 5 章 独立厅堂家屋</w:t>
            </w:r>
          </w:p>
        </w:tc>
        <w:tc>
          <w:tcPr>
            <w:tcW w:type="dxa" w:w="3658"/>
            <w:vAlign w:val="center"/>
            <w:tcMar>
              <w:top w:w="85" w:type="dxa"/>
              <w:start w:w="95" w:type="dxa"/>
              <w:bottom w:w="85" w:type="dxa"/>
              <w:end w:w="95" w:type="dxa"/>
            </w:tcMar>
            <w:shd w:fill="EEF3F2"/>
          </w:tcPr>
          <w:p>
            <w:pPr>
              <w:spacing w:after="0" w:before="0" w:line="278" w:lineRule="auto"/>
              <w:ind w:firstLine="0"/>
            </w:pPr>
            <w:hyperlink r:id="rId31">
              <w:r>
                <w:rPr>
                  <w:color w:val="237E86"/>
                  <w:u w:val="single"/>
                  <w:rFonts w:eastAsia="SimSun" w:ascii="SimSun" w:hAnsi="SimSun"/>
                  <w:sz w:val="21"/>
                </w:rPr>
                <w:t>The Hermitage 木构厅堂调查</w:t>
              </w:r>
            </w:hyperlink>
            <w:r>
              <w:rPr>
                <w:rFonts w:ascii="SimSun" w:hAnsi="SimSun" w:eastAsia="SimSun"/>
                <w:color w:val="505A5A"/>
                <w:sz w:val="18"/>
              </w:rPr>
              <w:t>；</w:t>
            </w:r>
            <w:hyperlink r:id="rId32">
              <w:r>
                <w:rPr>
                  <w:color w:val="237E86"/>
                  <w:u w:val="single"/>
                  <w:rFonts w:eastAsia="SimSun" w:ascii="SimSun" w:hAnsi="SimSun"/>
                  <w:sz w:val="21"/>
                </w:rPr>
                <w:t>Fox Hall 农舍</w:t>
              </w:r>
            </w:hyperlink>
          </w:p>
        </w:tc>
        <w:tc>
          <w:tcPr>
            <w:tcW w:type="dxa" w:w="3888"/>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对比中央开放厅堂、端部空间和后续烟囱改造；个别房间用途可能是调查者推断。</w:t>
            </w:r>
          </w:p>
        </w:tc>
      </w:tr>
      <w:tr>
        <w:trPr>
          <w:cantSplit/>
        </w:trPr>
        <w:tc>
          <w:tcPr>
            <w:tcW w:type="dxa" w:w="1699"/>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第 6 章 长屋</w:t>
            </w:r>
          </w:p>
        </w:tc>
        <w:tc>
          <w:tcPr>
            <w:tcW w:type="dxa" w:w="3658"/>
            <w:vAlign w:val="center"/>
            <w:tcMar>
              <w:top w:w="85" w:type="dxa"/>
              <w:start w:w="95" w:type="dxa"/>
              <w:bottom w:w="85" w:type="dxa"/>
              <w:end w:w="95" w:type="dxa"/>
            </w:tcMar>
            <w:shd w:fill="FFFFFF"/>
          </w:tcPr>
          <w:p>
            <w:pPr>
              <w:spacing w:after="0" w:before="0" w:line="278" w:lineRule="auto"/>
              <w:ind w:firstLine="0"/>
            </w:pPr>
            <w:hyperlink r:id="rId34">
              <w:r>
                <w:rPr>
                  <w:color w:val="237E86"/>
                  <w:u w:val="single"/>
                  <w:rFonts w:eastAsia="SimSun" w:ascii="SimSun" w:hAnsi="SimSun"/>
                  <w:sz w:val="21"/>
                </w:rPr>
                <w:t>NPS：切萨皮克原住民生活与长屋</w:t>
              </w:r>
            </w:hyperlink>
            <w:r>
              <w:rPr>
                <w:rFonts w:ascii="SimSun" w:hAnsi="SimSun" w:eastAsia="SimSun"/>
                <w:color w:val="505A5A"/>
                <w:sz w:val="18"/>
              </w:rPr>
              <w:t>；</w:t>
            </w:r>
            <w:hyperlink r:id="rId35">
              <w:r>
                <w:rPr>
                  <w:color w:val="237E86"/>
                  <w:u w:val="single"/>
                  <w:rFonts w:eastAsia="SimSun" w:ascii="SimSun" w:hAnsi="SimSun"/>
                  <w:sz w:val="21"/>
                </w:rPr>
                <w:t>NPS：yihakan 解释</w:t>
              </w:r>
            </w:hyperlink>
            <w:r>
              <w:rPr>
                <w:rFonts w:ascii="SimSun" w:hAnsi="SimSun" w:eastAsia="SimSun"/>
                <w:color w:val="505A5A"/>
                <w:sz w:val="18"/>
              </w:rPr>
              <w:t>；</w:t>
            </w:r>
            <w:hyperlink r:id="rId36">
              <w:r>
                <w:rPr>
                  <w:color w:val="237E86"/>
                  <w:u w:val="single"/>
                  <w:rFonts w:eastAsia="SimSun" w:ascii="SimSun" w:hAnsi="SimSun"/>
                  <w:sz w:val="21"/>
                </w:rPr>
                <w:t>NPS：Susquehannock 长屋教育资料</w:t>
              </w:r>
            </w:hyperlink>
          </w:p>
        </w:tc>
        <w:tc>
          <w:tcPr>
            <w:tcW w:type="dxa" w:w="3888"/>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区分不同原住民族群、时期和资料性质；后两者为具体地区解释，不合并为通用长屋布局。</w:t>
            </w:r>
          </w:p>
        </w:tc>
      </w:tr>
      <w:tr>
        <w:trPr>
          <w:cantSplit/>
        </w:trPr>
        <w:tc>
          <w:tcPr>
            <w:tcW w:type="dxa" w:w="1699"/>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第 7 章 院落家屋</w:t>
            </w:r>
          </w:p>
        </w:tc>
        <w:tc>
          <w:tcPr>
            <w:tcW w:type="dxa" w:w="3658"/>
            <w:vAlign w:val="center"/>
            <w:tcMar>
              <w:top w:w="85" w:type="dxa"/>
              <w:start w:w="95" w:type="dxa"/>
              <w:bottom w:w="85" w:type="dxa"/>
              <w:end w:w="95" w:type="dxa"/>
            </w:tcMar>
            <w:shd w:fill="EEF3F2"/>
          </w:tcPr>
          <w:p>
            <w:pPr>
              <w:spacing w:after="0" w:before="0" w:line="278" w:lineRule="auto"/>
              <w:ind w:firstLine="0"/>
            </w:pPr>
            <w:hyperlink r:id="rId38">
              <w:r>
                <w:rPr>
                  <w:color w:val="237E86"/>
                  <w:u w:val="single"/>
                  <w:rFonts w:eastAsia="SimSun" w:ascii="SimSun" w:hAnsi="SimSun"/>
                  <w:sz w:val="21"/>
                </w:rPr>
                <w:t>UNESCO：艾哈迈达巴德历史城市图谱</w:t>
              </w:r>
            </w:hyperlink>
          </w:p>
        </w:tc>
        <w:tc>
          <w:tcPr>
            <w:tcW w:type="dxa" w:w="3888"/>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支持当地院落家屋、pol 街区和共享设施的关系；家庭室内具体活动仍需逐栋核对。</w:t>
            </w:r>
          </w:p>
        </w:tc>
      </w:tr>
      <w:tr>
        <w:trPr>
          <w:cantSplit/>
        </w:trPr>
        <w:tc>
          <w:tcPr>
            <w:tcW w:type="dxa" w:w="1699"/>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第 8 章 连排／共墙家屋</w:t>
            </w:r>
          </w:p>
        </w:tc>
        <w:tc>
          <w:tcPr>
            <w:tcW w:type="dxa" w:w="3658"/>
            <w:vAlign w:val="center"/>
            <w:tcMar>
              <w:top w:w="85" w:type="dxa"/>
              <w:start w:w="95" w:type="dxa"/>
              <w:bottom w:w="85" w:type="dxa"/>
              <w:end w:w="95" w:type="dxa"/>
            </w:tcMar>
            <w:shd w:fill="FFFFFF"/>
          </w:tcPr>
          <w:p>
            <w:pPr>
              <w:spacing w:after="0" w:before="0" w:line="278" w:lineRule="auto"/>
              <w:ind w:firstLine="0"/>
            </w:pPr>
            <w:hyperlink r:id="rId40">
              <w:r>
                <w:rPr>
                  <w:color w:val="237E86"/>
                  <w:u w:val="single"/>
                  <w:rFonts w:eastAsia="SimSun" w:ascii="SimSun" w:hAnsi="SimSun"/>
                  <w:sz w:val="21"/>
                </w:rPr>
                <w:t>Historic England：East Matfen 中世纪村落</w:t>
              </w:r>
            </w:hyperlink>
            <w:r>
              <w:rPr>
                <w:rFonts w:ascii="SimSun" w:hAnsi="SimSun" w:eastAsia="SimSun"/>
                <w:color w:val="505A5A"/>
                <w:sz w:val="18"/>
              </w:rPr>
              <w:t>；</w:t>
            </w:r>
            <w:hyperlink r:id="rId41">
              <w:r>
                <w:rPr>
                  <w:color w:val="237E86"/>
                  <w:u w:val="single"/>
                  <w:rFonts w:eastAsia="SimSun" w:ascii="SimSun" w:hAnsi="SimSun"/>
                  <w:sz w:val="21"/>
                </w:rPr>
                <w:t>Historic England：中世纪聚落研究</w:t>
              </w:r>
            </w:hyperlink>
          </w:p>
        </w:tc>
        <w:tc>
          <w:tcPr>
            <w:tcW w:type="dxa" w:w="3888"/>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支持沿行布置、面向村庄绿地和后侧地块的案例；成行不等于全部共墙。</w:t>
            </w:r>
          </w:p>
        </w:tc>
      </w:tr>
      <w:tr>
        <w:trPr>
          <w:cantSplit/>
        </w:trPr>
        <w:tc>
          <w:tcPr>
            <w:tcW w:type="dxa" w:w="1699"/>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第 9 章 多层多户住宅</w:t>
            </w:r>
          </w:p>
        </w:tc>
        <w:tc>
          <w:tcPr>
            <w:tcW w:type="dxa" w:w="3658"/>
            <w:vAlign w:val="center"/>
            <w:tcMar>
              <w:top w:w="85" w:type="dxa"/>
              <w:start w:w="95" w:type="dxa"/>
              <w:bottom w:w="85" w:type="dxa"/>
              <w:end w:w="95" w:type="dxa"/>
            </w:tcMar>
            <w:shd w:fill="EEF3F2"/>
          </w:tcPr>
          <w:p>
            <w:pPr>
              <w:spacing w:after="0" w:before="0" w:line="278" w:lineRule="auto"/>
              <w:ind w:firstLine="0"/>
            </w:pPr>
            <w:hyperlink r:id="rId43">
              <w:r>
                <w:rPr>
                  <w:color w:val="237E86"/>
                  <w:u w:val="single"/>
                  <w:rFonts w:eastAsia="SimSun" w:ascii="SimSun" w:hAnsi="SimSun"/>
                  <w:sz w:val="21"/>
                </w:rPr>
                <w:t>奥斯提亚考古公园：Insula del Soffitto Dipinto</w:t>
              </w:r>
            </w:hyperlink>
          </w:p>
        </w:tc>
        <w:tc>
          <w:tcPr>
            <w:tcW w:type="dxa" w:w="3888"/>
            <w:vAlign w:val="center"/>
            <w:tcMar>
              <w:top w:w="85" w:type="dxa"/>
              <w:start w:w="95" w:type="dxa"/>
              <w:bottom w:w="85" w:type="dxa"/>
              <w:end w:w="95" w:type="dxa"/>
            </w:tcMar>
            <w:shd w:fill="EEF3F2"/>
          </w:tcPr>
          <w:p>
            <w:pPr>
              <w:spacing w:after="0" w:before="0" w:line="278" w:lineRule="auto"/>
              <w:ind w:firstLine="0"/>
            </w:pPr>
            <w:r>
              <w:rPr>
                <w:rFonts w:ascii="SimSun" w:hAnsi="SimSun" w:eastAsia="SimSun"/>
                <w:color w:val="505A5A"/>
                <w:sz w:val="18"/>
              </w:rPr>
              <w:t>支持一栋 Hadrian 时期建筑的楼层、楼梯、商业／居住和中央通廊信息；不代表所有 insula。</w:t>
            </w:r>
          </w:p>
        </w:tc>
      </w:tr>
      <w:tr>
        <w:trPr>
          <w:cantSplit/>
        </w:trPr>
        <w:tc>
          <w:tcPr>
            <w:tcW w:type="dxa" w:w="1699"/>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交叉类型：福建土楼</w:t>
            </w:r>
          </w:p>
        </w:tc>
        <w:tc>
          <w:tcPr>
            <w:tcW w:type="dxa" w:w="3658"/>
            <w:vAlign w:val="center"/>
            <w:tcMar>
              <w:top w:w="85" w:type="dxa"/>
              <w:start w:w="95" w:type="dxa"/>
              <w:bottom w:w="85" w:type="dxa"/>
              <w:end w:w="95" w:type="dxa"/>
            </w:tcMar>
            <w:shd w:fill="FFFFFF"/>
          </w:tcPr>
          <w:p>
            <w:pPr>
              <w:spacing w:after="0" w:before="0" w:line="278" w:lineRule="auto"/>
              <w:ind w:firstLine="0"/>
            </w:pPr>
            <w:hyperlink r:id="rId12">
              <w:r>
                <w:rPr>
                  <w:color w:val="237E86"/>
                  <w:u w:val="single"/>
                  <w:rFonts w:eastAsia="SimSun" w:ascii="SimSun" w:hAnsi="SimSun"/>
                  <w:sz w:val="21"/>
                </w:rPr>
                <w:t>UNESCO：福建土楼</w:t>
              </w:r>
            </w:hyperlink>
          </w:p>
        </w:tc>
        <w:tc>
          <w:tcPr>
            <w:tcW w:type="dxa" w:w="3888"/>
            <w:vAlign w:val="center"/>
            <w:tcMar>
              <w:top w:w="85" w:type="dxa"/>
              <w:start w:w="95" w:type="dxa"/>
              <w:bottom w:w="85" w:type="dxa"/>
              <w:end w:w="95" w:type="dxa"/>
            </w:tcMar>
            <w:shd w:fill="FFFFFF"/>
          </w:tcPr>
          <w:p>
            <w:pPr>
              <w:spacing w:after="0" w:before="0" w:line="278" w:lineRule="auto"/>
              <w:ind w:firstLine="0"/>
            </w:pPr>
            <w:r>
              <w:rPr>
                <w:rFonts w:ascii="SimSun" w:hAnsi="SimSun" w:eastAsia="SimSun"/>
                <w:color w:val="505A5A"/>
                <w:sz w:val="18"/>
              </w:rPr>
              <w:t>说明院落、多层、共享与防护属性可以叠加；名录横跨 15 至 20 世纪，纳入前工业案例须挑明具体建筑和年代。</w:t>
            </w:r>
          </w:p>
        </w:tc>
      </w:tr>
    </w:tbl>
    <w:p>
      <w:pPr>
        <w:spacing w:after="40"/>
      </w:pPr>
    </w:p>
    <w:p>
      <w:pPr>
        <w:pStyle w:val="Heading2"/>
      </w:pPr>
      <w:bookmarkStart w:id="section_049" w:name="section_049"/>
      <w:r>
        <w:t>资料界限与图稿说明</w:t>
      </w:r>
      <w:bookmarkEnd w:id="section_049"/>
    </w:p>
    <w:p>
      <w:pPr>
        <w:widowControl/>
        <w:ind w:firstLine="302"/>
      </w:pPr>
      <w:r>
        <w:rPr>
          <w:rFonts w:ascii="SimSun" w:hAnsi="SimSun" w:eastAsia="SimSun"/>
        </w:rPr>
        <w:t>正文文字已按九类类型完整展开。历史事实只按链接所指的地区、时期和建筑使用；证据不足处保留为推断或待核问题。考古教育资料、遗产机构说明和建筑调查的证据精度不同，读者应查看每条来源的对象和性质。</w:t>
      </w:r>
    </w:p>
    <w:p>
      <w:pPr>
        <w:widowControl/>
        <w:ind w:firstLine="302"/>
      </w:pPr>
      <w:r>
        <w:rPr>
          <w:rFonts w:ascii="SimSun" w:hAnsi="SimSun" w:eastAsia="SimSun"/>
        </w:rPr>
        <w:t>本文件同时给出九章原创概念图的绘制说明，但不把文字描述冒充已完成的图像。正式配图时，历史照片、考古平面、学术复原和游戏原创概念图应分别标注；游戏概念图不标作历史复原，使用他人图像前须核对授权与署名。</w:t>
      </w:r>
    </w:p>
    <w:sectPr w:rsidR="00FC693F" w:rsidRPr="0006063C" w:rsidSect="00034616">
      <w:headerReference w:type="default" r:id="rId9"/>
      <w:footerReference w:type="default" r:id="rId10"/>
      <w:pgSz w:w="11909" w:h="16834"/>
      <w:pgMar w:top="1181" w:right="1181" w:bottom="1123" w:left="1325" w:header="504" w:footer="54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SimSun" w:hAnsi="SimSun" w:eastAsia="SimSun"/>
        <w:color w:val="8DA4A5"/>
        <w:sz w:val="17"/>
      </w:rPr>
      <w:t xml:space="preserve">前工业居住与家宅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SimSun" w:hAnsi="SimSun" w:eastAsia="SimSun"/>
        <w:color w:val="8DA4A5"/>
        <w:sz w:val="17"/>
      </w:rPr>
      <w:t>游戏建筑设计资料集  ·  第一本</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6" w:lineRule="auto" w:after="80"/>
      <w:ind w:firstLine="302"/>
    </w:pPr>
    <w:rPr>
      <w:rFonts w:ascii="SimSun" w:hAnsi="SimSun" w:eastAsia="SimSun"/>
      <w:color w:val="505A5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Microsoft YaHei" w:hAnsi="Microsoft YaHei" w:eastAsia="Microsoft YaHei"/>
      <w:b/>
      <w:bCs/>
      <w:color w:val="151A1A"/>
      <w:sz w:val="3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icrosoft YaHei" w:hAnsi="Microsoft YaHei" w:eastAsia="Microsoft YaHei"/>
      <w:b/>
      <w:bCs/>
      <w:color w:val="202727"/>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Microsoft YaHei" w:hAnsi="Microsoft YaHei" w:eastAsia="Microsoft YaHei"/>
      <w:b/>
      <w:bCs/>
      <w:color w:val="315B6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icrosoft YaHei" w:hAnsi="Microsoft YaHei" w:eastAsia="Microsoft YaHei"/>
      <w:b/>
      <w:color w:val="315B6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icrosoft YaHei" w:hAnsi="Microsoft YaHei" w:eastAsia="Microsoft YaHei"/>
      <w:i/>
      <w:iCs/>
      <w:color w:val="6E8E9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hyperlink" Target="https://whc.unesco.org/en/list/1113" TargetMode="External"/><Relationship Id="rId13" Type="http://schemas.openxmlformats.org/officeDocument/2006/relationships/image" Target="media/image2.jpg"/><Relationship Id="rId14" Type="http://schemas.openxmlformats.org/officeDocument/2006/relationships/hyperlink" Target="https://www.nps.gov/meve/learn/historyculture/places.htm" TargetMode="External"/><Relationship Id="rId15" Type="http://schemas.openxmlformats.org/officeDocument/2006/relationships/hyperlink" Target="https://home.nps.gov/meve/learn/education/artifactgallery_cliffpalace.htm" TargetMode="External"/><Relationship Id="rId16" Type="http://schemas.openxmlformats.org/officeDocument/2006/relationships/hyperlink" Target="https://www.nps.gov/meve/learn/nature/geology.htm" TargetMode="External"/><Relationship Id="rId17" Type="http://schemas.openxmlformats.org/officeDocument/2006/relationships/image" Target="media/image3.jpg"/><Relationship Id="rId18" Type="http://schemas.openxmlformats.org/officeDocument/2006/relationships/hyperlink" Target="https://pmc.ncbi.nlm.nih.gov/articles/PMC404215/" TargetMode="External"/><Relationship Id="rId19" Type="http://schemas.openxmlformats.org/officeDocument/2006/relationships/hyperlink" Target="https://journals.plos.org/plosone/article?id=10.1371/journal.pone.0131422" TargetMode="External"/><Relationship Id="rId20" Type="http://schemas.openxmlformats.org/officeDocument/2006/relationships/hyperlink" Target="https://www.repository.cam.ac.uk/items/8cc894bc-6dae-4970-9714-bb6ee67e976e" TargetMode="External"/><Relationship Id="rId21" Type="http://schemas.openxmlformats.org/officeDocument/2006/relationships/hyperlink" Target="https://cris.haifa.ac.il/en/publications/activity-locales-at-ohalo-ii-a-23000-year-old-submerged-fisher-hu/" TargetMode="External"/><Relationship Id="rId22" Type="http://schemas.openxmlformats.org/officeDocument/2006/relationships/image" Target="media/image4.jpg"/><Relationship Id="rId23" Type="http://schemas.openxmlformats.org/officeDocument/2006/relationships/hyperlink" Target="https://home.nps.gov/meve/learn/historyculture/places.htm" TargetMode="External"/><Relationship Id="rId24" Type="http://schemas.openxmlformats.org/officeDocument/2006/relationships/hyperlink" Target="https://home.nps.gov/places/pithouse.htm" TargetMode="External"/><Relationship Id="rId25" Type="http://schemas.openxmlformats.org/officeDocument/2006/relationships/hyperlink" Target="https://home.nps.gov/meve/learn/kidsyouth/jr-mtl-online.htm" TargetMode="External"/><Relationship Id="rId26" Type="http://schemas.openxmlformats.org/officeDocument/2006/relationships/image" Target="media/image5.jpg"/><Relationship Id="rId27" Type="http://schemas.openxmlformats.org/officeDocument/2006/relationships/hyperlink" Target="https://whc.unesco.org/en/list/1363" TargetMode="External"/><Relationship Id="rId28" Type="http://schemas.openxmlformats.org/officeDocument/2006/relationships/hyperlink" Target="https://vitrine.palafittes.org/faq-51.html" TargetMode="External"/><Relationship Id="rId29" Type="http://schemas.openxmlformats.org/officeDocument/2006/relationships/hyperlink" Target="https://www.intern.palafittes.org/fundstelle-en.html?sid=101" TargetMode="External"/><Relationship Id="rId30" Type="http://schemas.openxmlformats.org/officeDocument/2006/relationships/image" Target="media/image6.jpg"/><Relationship Id="rId31" Type="http://schemas.openxmlformats.org/officeDocument/2006/relationships/hyperlink" Target="https://historicengland.org.uk/research/results/reports/7160/THEHERMITAGE17UPPERSUTTONLANELBHOUNSLOW-ALATE-MEDIEVALTIMBER-FRAMEDHALLHOUSEATHESTON" TargetMode="External"/><Relationship Id="rId32" Type="http://schemas.openxmlformats.org/officeDocument/2006/relationships/hyperlink" Target="https://historicengland.org.uk/education/schools-resources/educational-images/fox-hall-farmhouse-house-southend-on-sea-southend-on-sea-ioe01-01136-05" TargetMode="External"/><Relationship Id="rId33" Type="http://schemas.openxmlformats.org/officeDocument/2006/relationships/image" Target="media/image7.jpg"/><Relationship Id="rId34" Type="http://schemas.openxmlformats.org/officeDocument/2006/relationships/hyperlink" Target="https://www.nps.gov/articles/000/indigenous-life.htm" TargetMode="External"/><Relationship Id="rId35" Type="http://schemas.openxmlformats.org/officeDocument/2006/relationships/hyperlink" Target="https://home.nps.gov/thingstodo/henricus.htm" TargetMode="External"/><Relationship Id="rId36" Type="http://schemas.openxmlformats.org/officeDocument/2006/relationships/hyperlink" Target="https://www.nps.gov/cajo/learn/kidsyouth/upload/JuniorRanger_Zimmerman_Sep2021-508.pdf" TargetMode="External"/><Relationship Id="rId37" Type="http://schemas.openxmlformats.org/officeDocument/2006/relationships/image" Target="media/image8.jpg"/><Relationship Id="rId38" Type="http://schemas.openxmlformats.org/officeDocument/2006/relationships/hyperlink" Target="https://whc.unesco.org/en/urban-heritage-atlas/ahmedabad/" TargetMode="External"/><Relationship Id="rId39" Type="http://schemas.openxmlformats.org/officeDocument/2006/relationships/image" Target="media/image9.jpg"/><Relationship Id="rId40" Type="http://schemas.openxmlformats.org/officeDocument/2006/relationships/hyperlink" Target="https://historicengland.org.uk/listing/the-list/list-entry/1016351" TargetMode="External"/><Relationship Id="rId41" Type="http://schemas.openxmlformats.org/officeDocument/2006/relationships/hyperlink" Target="https://historicengland.org.uk/images-books/publications/iha-medieval-settlements/heag210-medieval-settlements/" TargetMode="External"/><Relationship Id="rId42" Type="http://schemas.openxmlformats.org/officeDocument/2006/relationships/image" Target="media/image10.jpg"/><Relationship Id="rId43" Type="http://schemas.openxmlformats.org/officeDocument/2006/relationships/hyperlink" Target="https://ostiaantica.cultura.gov.it/en/educational-panels-and-maps/larea-a-servizio-del-fiume/insula-del-soffitto-dipint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游戏建筑设计资料集：前工业居住与家宅</dc:title>
  <dc:subject>第一册 · 类型导向的游戏建筑概念设计</dc:subject>
  <dc:creator>游戏建筑设计资料集</dc:creator>
  <cp:keywords/>
  <dc:description>原创游戏概念插图；不作为历史复原图。</dc:description>
  <cp:lastModifiedBy/>
  <cp:revision>1</cp:revision>
  <dcterms:created xsi:type="dcterms:W3CDTF">2013-12-23T23:15:00Z</dcterms:created>
  <dcterms:modified xsi:type="dcterms:W3CDTF">2013-12-23T23:15:00Z</dcterms:modified>
  <cp:category/>
</cp:coreProperties>
</file>