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17A3" w14:textId="77777777" w:rsidR="002A39F0" w:rsidRDefault="00FF5C73">
      <w:pPr>
        <w:pStyle w:val="Ttulo1"/>
      </w:pPr>
      <w:r>
        <w:t>INFORME TÉCNICO: EVALUACIÓN DE PROTOCOLOS AMQP Y HTTP/HTTPS REST EN AZURE IOT</w:t>
      </w:r>
    </w:p>
    <w:p w14:paraId="6E53879A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555555"/>
          <w:sz w:val="18"/>
          <w:szCs w:val="18"/>
        </w:rPr>
      </w:pPr>
      <w:r>
        <w:rPr>
          <w:b/>
          <w:bCs/>
          <w:color w:val="555555"/>
          <w:sz w:val="18"/>
          <w:szCs w:val="18"/>
        </w:rPr>
        <w:t>Universidad Autónoma de Bucaramanga</w:t>
      </w:r>
      <w:r>
        <w:rPr>
          <w:color w:val="555555"/>
          <w:sz w:val="18"/>
          <w:szCs w:val="18"/>
        </w:rPr>
        <w:t xml:space="preserve"> | </w:t>
      </w:r>
      <w:proofErr w:type="spellStart"/>
      <w:r>
        <w:rPr>
          <w:color w:val="555555"/>
          <w:sz w:val="18"/>
          <w:szCs w:val="18"/>
        </w:rPr>
        <w:t>IoT</w:t>
      </w:r>
      <w:proofErr w:type="spellEnd"/>
      <w:r>
        <w:rPr>
          <w:color w:val="555555"/>
          <w:sz w:val="18"/>
          <w:szCs w:val="18"/>
        </w:rPr>
        <w:t xml:space="preserve"> </w:t>
      </w:r>
    </w:p>
    <w:p w14:paraId="1586126A" w14:textId="6A29B017" w:rsidR="002A39F0" w:rsidRDefault="00FF5C73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color w:val="555555"/>
          <w:sz w:val="18"/>
          <w:szCs w:val="18"/>
        </w:rPr>
      </w:pPr>
      <w:r>
        <w:rPr>
          <w:b/>
          <w:bCs/>
          <w:color w:val="555555"/>
          <w:sz w:val="18"/>
          <w:szCs w:val="18"/>
        </w:rPr>
        <w:t>Laboratorio 4</w:t>
      </w:r>
      <w:r>
        <w:rPr>
          <w:color w:val="555555"/>
          <w:sz w:val="18"/>
          <w:szCs w:val="18"/>
        </w:rPr>
        <w:t xml:space="preserve"> | Ana Ramos y Luis Bohórquez</w:t>
      </w:r>
    </w:p>
    <w:p w14:paraId="537D1C89" w14:textId="77777777" w:rsidR="002A39F0" w:rsidRDefault="00FF5C73">
      <w:pPr>
        <w:pStyle w:val="Ttulo2"/>
        <w:spacing w:before="0"/>
      </w:pPr>
      <w:r>
        <w:t xml:space="preserve">1. Rol de AMQP en Azure </w:t>
      </w:r>
      <w:proofErr w:type="spellStart"/>
      <w:r>
        <w:t>IoT</w:t>
      </w:r>
      <w:proofErr w:type="spellEnd"/>
    </w:p>
    <w:p w14:paraId="01BC9E2C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pict w14:anchorId="1F76E79D">
          <v:rect id="_x0000_i1025" style="width:0;height:1.5pt" o:hralign="center" o:hrstd="t" o:hr="t" fillcolor="#a0a0a0" stroked="f"/>
        </w:pict>
      </w:r>
      <w:r>
        <w:rPr>
          <w:b/>
          <w:bCs/>
          <w:sz w:val="20"/>
          <w:szCs w:val="20"/>
        </w:rPr>
        <w:t>AMQP (</w:t>
      </w:r>
      <w:proofErr w:type="spellStart"/>
      <w:r>
        <w:rPr>
          <w:b/>
          <w:bCs/>
          <w:sz w:val="20"/>
          <w:szCs w:val="20"/>
        </w:rPr>
        <w:t>Advanced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Message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Queuing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Protocol</w:t>
      </w:r>
      <w:proofErr w:type="spellEnd"/>
      <w:r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 xml:space="preserve"> es un protocolo de capa de aplicación (ISO/IEC 19464) diseñado para sistemas empresariales que demandan alta fiabilidad, interoperabilidad y procesamiento de mensajes a gran escala. En la arquitectura de </w:t>
      </w:r>
      <w:r>
        <w:rPr>
          <w:b/>
          <w:bCs/>
          <w:sz w:val="20"/>
          <w:szCs w:val="20"/>
        </w:rPr>
        <w:t xml:space="preserve">Azure </w:t>
      </w:r>
      <w:proofErr w:type="spellStart"/>
      <w:r>
        <w:rPr>
          <w:b/>
          <w:bCs/>
          <w:sz w:val="20"/>
          <w:szCs w:val="20"/>
        </w:rPr>
        <w:t>IoT</w:t>
      </w:r>
      <w:proofErr w:type="spellEnd"/>
      <w:r>
        <w:rPr>
          <w:b/>
          <w:bCs/>
          <w:sz w:val="20"/>
          <w:szCs w:val="20"/>
        </w:rPr>
        <w:t xml:space="preserve"> Hub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 xml:space="preserve">Azure </w:t>
      </w:r>
      <w:proofErr w:type="spellStart"/>
      <w:r>
        <w:rPr>
          <w:b/>
          <w:bCs/>
          <w:sz w:val="20"/>
          <w:szCs w:val="20"/>
        </w:rPr>
        <w:t>IoT</w:t>
      </w:r>
      <w:proofErr w:type="spellEnd"/>
      <w:r>
        <w:rPr>
          <w:b/>
          <w:bCs/>
          <w:sz w:val="20"/>
          <w:szCs w:val="20"/>
        </w:rPr>
        <w:t xml:space="preserve"> Central</w:t>
      </w:r>
      <w:r>
        <w:rPr>
          <w:sz w:val="20"/>
          <w:szCs w:val="20"/>
        </w:rPr>
        <w:t>, AMQP opera sobre</w:t>
      </w:r>
      <w:r>
        <w:rPr>
          <w:sz w:val="20"/>
          <w:szCs w:val="20"/>
        </w:rPr>
        <w:t xml:space="preserve"> un canal seguro TLS (puerto </w:t>
      </w:r>
      <w:r>
        <w:rPr>
          <w:b/>
          <w:bCs/>
          <w:sz w:val="20"/>
          <w:szCs w:val="20"/>
        </w:rPr>
        <w:t>5671</w:t>
      </w:r>
      <w:r>
        <w:rPr>
          <w:sz w:val="20"/>
          <w:szCs w:val="20"/>
        </w:rPr>
        <w:t>), desempeñando un papel fundamental en la integración de nodos y pasarelas de enlace (</w:t>
      </w:r>
      <w:proofErr w:type="spellStart"/>
      <w:r>
        <w:rPr>
          <w:sz w:val="20"/>
          <w:szCs w:val="20"/>
        </w:rPr>
        <w:t>gateways</w:t>
      </w:r>
      <w:proofErr w:type="spellEnd"/>
      <w:r>
        <w:rPr>
          <w:sz w:val="20"/>
          <w:szCs w:val="20"/>
        </w:rPr>
        <w:t>).</w:t>
      </w:r>
    </w:p>
    <w:p w14:paraId="3C0CAEC3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sz w:val="20"/>
          <w:szCs w:val="20"/>
        </w:rPr>
      </w:pPr>
      <w:r>
        <w:rPr>
          <w:sz w:val="20"/>
          <w:szCs w:val="20"/>
        </w:rPr>
        <w:t>A diferencia de protocolos más livianos orientados únicamente a la transmisión unidireccional de sensor a nube, AMQP ofrece c</w:t>
      </w:r>
      <w:r>
        <w:rPr>
          <w:sz w:val="20"/>
          <w:szCs w:val="20"/>
        </w:rPr>
        <w:t xml:space="preserve">aracterísticas avanzadas esenciales para la gestión integral de dispositivos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>:</w:t>
      </w:r>
    </w:p>
    <w:p w14:paraId="4D995232" w14:textId="77777777" w:rsidR="002A39F0" w:rsidRDefault="00FF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Multiplexación de Canales:</w:t>
      </w:r>
      <w:r>
        <w:rPr>
          <w:sz w:val="20"/>
          <w:szCs w:val="20"/>
        </w:rPr>
        <w:t xml:space="preserve"> Permite establecer múltiples sesiones lógicas independientes sobre una única conexión TCP/IP subyacente. Esto reduce drásticamente el consumo de recursos al enviar telemetría, recibir comandos (C2D) y realizar sincronización de estado (*</w:t>
      </w:r>
      <w:proofErr w:type="spellStart"/>
      <w:r>
        <w:rPr>
          <w:sz w:val="20"/>
          <w:szCs w:val="20"/>
        </w:rPr>
        <w:t>Device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Twins</w:t>
      </w:r>
      <w:proofErr w:type="spellEnd"/>
      <w:r>
        <w:rPr>
          <w:sz w:val="20"/>
          <w:szCs w:val="20"/>
        </w:rPr>
        <w:t>*) sim</w:t>
      </w:r>
      <w:r>
        <w:rPr>
          <w:sz w:val="20"/>
          <w:szCs w:val="20"/>
        </w:rPr>
        <w:t>ultáneamente.</w:t>
      </w:r>
    </w:p>
    <w:p w14:paraId="0DF33377" w14:textId="77777777" w:rsidR="002A39F0" w:rsidRDefault="00FF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Garantías de Entrega Avanzadas:</w:t>
      </w:r>
      <w:r>
        <w:rPr>
          <w:sz w:val="20"/>
          <w:szCs w:val="20"/>
        </w:rPr>
        <w:t xml:space="preserve"> Soporta modelos de confirmación explícita (</w:t>
      </w:r>
      <w:proofErr w:type="spellStart"/>
      <w:r>
        <w:rPr>
          <w:i/>
          <w:iCs/>
          <w:sz w:val="20"/>
          <w:szCs w:val="20"/>
        </w:rPr>
        <w:t>Acknowledgments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i/>
          <w:iCs/>
          <w:sz w:val="20"/>
          <w:szCs w:val="20"/>
        </w:rPr>
        <w:t>Settlement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Modes</w:t>
      </w:r>
      <w:proofErr w:type="spellEnd"/>
      <w:r>
        <w:rPr>
          <w:sz w:val="20"/>
          <w:szCs w:val="20"/>
        </w:rPr>
        <w:t xml:space="preserve">) que garantizan </w:t>
      </w:r>
      <w:proofErr w:type="spellStart"/>
      <w:r>
        <w:rPr>
          <w:sz w:val="20"/>
          <w:szCs w:val="20"/>
        </w:rPr>
        <w:t>semantics</w:t>
      </w:r>
      <w:proofErr w:type="spellEnd"/>
      <w:r>
        <w:rPr>
          <w:sz w:val="20"/>
          <w:szCs w:val="20"/>
        </w:rPr>
        <w:t xml:space="preserve"> de entrega </w:t>
      </w:r>
      <w:r>
        <w:rPr>
          <w:i/>
          <w:iCs/>
          <w:sz w:val="20"/>
          <w:szCs w:val="20"/>
        </w:rPr>
        <w:t>at-</w:t>
      </w:r>
      <w:proofErr w:type="spellStart"/>
      <w:r>
        <w:rPr>
          <w:i/>
          <w:iCs/>
          <w:sz w:val="20"/>
          <w:szCs w:val="20"/>
        </w:rPr>
        <w:t>least</w:t>
      </w:r>
      <w:proofErr w:type="spellEnd"/>
      <w:r>
        <w:rPr>
          <w:i/>
          <w:iCs/>
          <w:sz w:val="20"/>
          <w:szCs w:val="20"/>
        </w:rPr>
        <w:t>-once</w:t>
      </w:r>
      <w:r>
        <w:rPr>
          <w:sz w:val="20"/>
          <w:szCs w:val="20"/>
        </w:rPr>
        <w:t xml:space="preserve"> y </w:t>
      </w:r>
      <w:proofErr w:type="spellStart"/>
      <w:r>
        <w:rPr>
          <w:i/>
          <w:iCs/>
          <w:sz w:val="20"/>
          <w:szCs w:val="20"/>
        </w:rPr>
        <w:t>exactly</w:t>
      </w:r>
      <w:proofErr w:type="spellEnd"/>
      <w:r>
        <w:rPr>
          <w:i/>
          <w:iCs/>
          <w:sz w:val="20"/>
          <w:szCs w:val="20"/>
        </w:rPr>
        <w:t>-once</w:t>
      </w:r>
      <w:r>
        <w:rPr>
          <w:sz w:val="20"/>
          <w:szCs w:val="20"/>
        </w:rPr>
        <w:t>, previniendo la pérdida de eventos críticos en red.</w:t>
      </w:r>
    </w:p>
    <w:p w14:paraId="460A13E7" w14:textId="77777777" w:rsidR="002A39F0" w:rsidRDefault="00FF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Transmisión Pe</w:t>
      </w:r>
      <w:r>
        <w:rPr>
          <w:b/>
          <w:bCs/>
          <w:sz w:val="20"/>
          <w:szCs w:val="20"/>
        </w:rPr>
        <w:t>rsistente de Baja Latencia:</w:t>
      </w:r>
      <w:r>
        <w:rPr>
          <w:sz w:val="20"/>
          <w:szCs w:val="20"/>
        </w:rPr>
        <w:t xml:space="preserve"> Mantiene sockets bidireccionales abiertos con bajo </w:t>
      </w:r>
      <w:proofErr w:type="spellStart"/>
      <w:r>
        <w:rPr>
          <w:sz w:val="20"/>
          <w:szCs w:val="20"/>
        </w:rPr>
        <w:t>overhead</w:t>
      </w:r>
      <w:proofErr w:type="spellEnd"/>
      <w:r>
        <w:rPr>
          <w:sz w:val="20"/>
          <w:szCs w:val="20"/>
        </w:rPr>
        <w:t xml:space="preserve"> de reconexión, haciéndolo ideal para la transmisión ininterrumpida de parámetros ambientales.</w:t>
      </w:r>
    </w:p>
    <w:p w14:paraId="0BAA5D30" w14:textId="77777777" w:rsidR="002A39F0" w:rsidRDefault="00FF5C73">
      <w:pPr>
        <w:pStyle w:val="Ttulo2"/>
      </w:pPr>
      <w:r>
        <w:t xml:space="preserve">2. Evidencia de Transmisión de las 3 Variables por AMQP hacia Azure </w:t>
      </w:r>
      <w:proofErr w:type="spellStart"/>
      <w:r>
        <w:t>IoT</w:t>
      </w:r>
      <w:proofErr w:type="spellEnd"/>
      <w:r>
        <w:t xml:space="preserve"> Ce</w:t>
      </w:r>
      <w:r>
        <w:t>ntral</w:t>
      </w:r>
    </w:p>
    <w:p w14:paraId="21C5ACDE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sz w:val="20"/>
          <w:szCs w:val="20"/>
        </w:rPr>
      </w:pPr>
      <w:r>
        <w:pict w14:anchorId="2FA036E5">
          <v:rect id="_x0000_i1026" style="width:0;height:1.5pt" o:hralign="center" o:hrstd="t" o:hr="t" fillcolor="#a0a0a0" stroked="f"/>
        </w:pict>
      </w:r>
      <w:r>
        <w:rPr>
          <w:sz w:val="20"/>
          <w:szCs w:val="20"/>
        </w:rPr>
        <w:t xml:space="preserve">Para la validación experimental, se configuró el dispositivo virtual dev-amqp-01 en la máquina virtual Linux (WSL) utilizando el SDK de Azure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para Python sobre la pila AMQP/TLS. Se transmitieron de forma continua tres variables de telemetría amb</w:t>
      </w:r>
      <w:r>
        <w:rPr>
          <w:sz w:val="20"/>
          <w:szCs w:val="20"/>
        </w:rPr>
        <w:t xml:space="preserve">iental básica hacia el panel de Azure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Central:</w:t>
      </w:r>
    </w:p>
    <w:p w14:paraId="37857D7E" w14:textId="77777777" w:rsidR="002A39F0" w:rsidRDefault="00FF5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Temperatura (temperatura):</w:t>
      </w:r>
      <w:r>
        <w:rPr>
          <w:sz w:val="20"/>
          <w:szCs w:val="20"/>
        </w:rPr>
        <w:t xml:space="preserve"> Medición ambiental expresada en grados Celsius (°C), monitoreada bajo la regla de alerta para valores superiores a </w:t>
      </w:r>
      <w:r w:rsidRPr="00FF5C73">
        <w:rPr>
          <w:sz w:val="20"/>
          <w:szCs w:val="20"/>
        </w:rPr>
        <w:t>26 °C</w:t>
      </w:r>
      <w:r>
        <w:rPr>
          <w:sz w:val="20"/>
          <w:szCs w:val="20"/>
        </w:rPr>
        <w:t>.</w:t>
      </w:r>
    </w:p>
    <w:p w14:paraId="172C1122" w14:textId="77777777" w:rsidR="002A39F0" w:rsidRDefault="00FF5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Humedad Relativa (humedad):</w:t>
      </w:r>
      <w:r>
        <w:rPr>
          <w:sz w:val="20"/>
          <w:szCs w:val="20"/>
        </w:rPr>
        <w:t xml:space="preserve"> Porcentaje de humedad ambien</w:t>
      </w:r>
      <w:r>
        <w:rPr>
          <w:sz w:val="20"/>
          <w:szCs w:val="20"/>
        </w:rPr>
        <w:t xml:space="preserve">tal (%), monitoreado con umbral de alerta crítico por encima del </w:t>
      </w:r>
      <w:r>
        <w:rPr>
          <w:b/>
          <w:bCs/>
          <w:sz w:val="20"/>
          <w:szCs w:val="20"/>
        </w:rPr>
        <w:t>60 %</w:t>
      </w:r>
      <w:r>
        <w:rPr>
          <w:sz w:val="20"/>
          <w:szCs w:val="20"/>
        </w:rPr>
        <w:t>.</w:t>
      </w:r>
    </w:p>
    <w:p w14:paraId="109A0E56" w14:textId="77777777" w:rsidR="002A39F0" w:rsidRDefault="00FF5C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Iluminación (iluminación):</w:t>
      </w:r>
      <w:r>
        <w:rPr>
          <w:sz w:val="20"/>
          <w:szCs w:val="20"/>
        </w:rPr>
        <w:t xml:space="preserve"> Intensidad lumínica expresada en Lux, sujeta a regla de alerta por </w:t>
      </w:r>
      <w:r>
        <w:rPr>
          <w:sz w:val="20"/>
          <w:szCs w:val="20"/>
        </w:rPr>
        <w:lastRenderedPageBreak/>
        <w:t>fluctuaciones fuera del rango operativo.</w:t>
      </w:r>
    </w:p>
    <w:p w14:paraId="0124A993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spacing w:before="270" w:after="390"/>
        <w:ind w:left="180" w:right="180"/>
        <w:rPr>
          <w:sz w:val="18"/>
          <w:szCs w:val="18"/>
          <w:shd w:val="clear" w:color="auto" w:fill="F0F4F8"/>
        </w:rPr>
      </w:pPr>
      <w:r>
        <w:rPr>
          <w:b/>
          <w:bCs/>
          <w:sz w:val="18"/>
          <w:szCs w:val="18"/>
          <w:shd w:val="clear" w:color="auto" w:fill="F0F4F8"/>
        </w:rPr>
        <w:t>Sincronización en Plataforma:</w:t>
      </w:r>
      <w:r>
        <w:rPr>
          <w:sz w:val="18"/>
          <w:szCs w:val="18"/>
          <w:shd w:val="clear" w:color="auto" w:fill="F0F4F8"/>
        </w:rPr>
        <w:t xml:space="preserve"> Los paquetes de telemetría fueron validados mediante los logs de consola local en ~/lab4/amqp_script.py y confirmados en las gráficas temporales y tarjetas KPI del </w:t>
      </w:r>
      <w:proofErr w:type="spellStart"/>
      <w:r>
        <w:rPr>
          <w:sz w:val="18"/>
          <w:szCs w:val="18"/>
          <w:shd w:val="clear" w:color="auto" w:fill="F0F4F8"/>
        </w:rPr>
        <w:t>Dashboard</w:t>
      </w:r>
      <w:proofErr w:type="spellEnd"/>
      <w:r>
        <w:rPr>
          <w:sz w:val="18"/>
          <w:szCs w:val="18"/>
          <w:shd w:val="clear" w:color="auto" w:fill="F0F4F8"/>
        </w:rPr>
        <w:t xml:space="preserve"> de Azure </w:t>
      </w:r>
      <w:proofErr w:type="spellStart"/>
      <w:r>
        <w:rPr>
          <w:sz w:val="18"/>
          <w:szCs w:val="18"/>
          <w:shd w:val="clear" w:color="auto" w:fill="F0F4F8"/>
        </w:rPr>
        <w:t>IoT</w:t>
      </w:r>
      <w:proofErr w:type="spellEnd"/>
      <w:r>
        <w:rPr>
          <w:sz w:val="18"/>
          <w:szCs w:val="18"/>
          <w:shd w:val="clear" w:color="auto" w:fill="F0F4F8"/>
        </w:rPr>
        <w:t xml:space="preserve"> Central. Las capturas detalladas de los eventos de alerta y registro</w:t>
      </w:r>
      <w:r>
        <w:rPr>
          <w:sz w:val="18"/>
          <w:szCs w:val="18"/>
          <w:shd w:val="clear" w:color="auto" w:fill="F0F4F8"/>
        </w:rPr>
        <w:t>s de red se encuentran archivadas en la carpeta /evidencias del repositorio remoto.</w:t>
      </w:r>
    </w:p>
    <w:p w14:paraId="768A25F2" w14:textId="77777777" w:rsidR="002A39F0" w:rsidRDefault="00FF5C73">
      <w:pPr>
        <w:pStyle w:val="Ttulo2"/>
        <w:spacing w:before="0"/>
      </w:pPr>
      <w:r>
        <w:t>3. Descripción del Tercer Protocolo: HTTP / HTTPS REST</w:t>
      </w:r>
    </w:p>
    <w:p w14:paraId="2CDEA1F0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pict w14:anchorId="3066C642">
          <v:rect id="_x0000_i1027" style="width:0;height:1.5pt" o:hralign="center" o:hrstd="t" o:hr="t" fillcolor="#a0a0a0" stroked="f"/>
        </w:pict>
      </w:r>
      <w:r>
        <w:rPr>
          <w:sz w:val="20"/>
          <w:szCs w:val="20"/>
        </w:rPr>
        <w:t>Como tercer protocolo de evaluación en el marco de laboratorios (junto con MQTT y AMQP), se implementó un cliente na</w:t>
      </w:r>
      <w:r>
        <w:rPr>
          <w:sz w:val="20"/>
          <w:szCs w:val="20"/>
        </w:rPr>
        <w:t xml:space="preserve">tivo sobre </w:t>
      </w:r>
      <w:r>
        <w:rPr>
          <w:b/>
          <w:bCs/>
          <w:sz w:val="20"/>
          <w:szCs w:val="20"/>
        </w:rPr>
        <w:t>HTTP/HTTPS REST (Puerto 443)</w:t>
      </w:r>
      <w:r>
        <w:rPr>
          <w:sz w:val="20"/>
          <w:szCs w:val="20"/>
        </w:rPr>
        <w:t xml:space="preserve"> mediante la librería </w:t>
      </w:r>
      <w:proofErr w:type="spellStart"/>
      <w:r>
        <w:rPr>
          <w:sz w:val="20"/>
          <w:szCs w:val="20"/>
        </w:rPr>
        <w:t>requests</w:t>
      </w:r>
      <w:proofErr w:type="spellEnd"/>
      <w:r>
        <w:rPr>
          <w:sz w:val="20"/>
          <w:szCs w:val="20"/>
        </w:rPr>
        <w:t xml:space="preserve"> de Python.</w:t>
      </w:r>
    </w:p>
    <w:p w14:paraId="73F73E4A" w14:textId="77777777" w:rsidR="002A39F0" w:rsidRDefault="00FF5C73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HTTP/HTTPS REST es un protocolo basado en el modelo </w:t>
      </w:r>
      <w:r>
        <w:rPr>
          <w:b/>
          <w:bCs/>
          <w:sz w:val="20"/>
          <w:szCs w:val="20"/>
        </w:rPr>
        <w:t>Petición / Respuesta (</w:t>
      </w:r>
      <w:proofErr w:type="spellStart"/>
      <w:r>
        <w:rPr>
          <w:b/>
          <w:bCs/>
          <w:sz w:val="20"/>
          <w:szCs w:val="20"/>
        </w:rPr>
        <w:t>Stateless</w:t>
      </w:r>
      <w:proofErr w:type="spellEnd"/>
      <w:r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 xml:space="preserve">. Cada paquete de telemetría enviado requiere una solicitud independiente POST dirigida al </w:t>
      </w: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 xml:space="preserve"> REST de Azure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Hub. A diferencia de AMQP o MQTT, HTTP no mantiene un socket persistentemente abierto:</w:t>
      </w:r>
    </w:p>
    <w:p w14:paraId="6F1D8F5F" w14:textId="77777777" w:rsidR="002A39F0" w:rsidRDefault="00FF5C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Autenticación basada en SAS Tokens:</w:t>
      </w:r>
      <w:r>
        <w:rPr>
          <w:sz w:val="20"/>
          <w:szCs w:val="20"/>
        </w:rPr>
        <w:t xml:space="preserve"> Debido a la ausencia de un canal persistente, cada petición HTTP debe incluir una cabecera de autorización</w:t>
      </w:r>
      <w:r>
        <w:rPr>
          <w:sz w:val="20"/>
          <w:szCs w:val="20"/>
        </w:rPr>
        <w:t xml:space="preserve"> con un token </w:t>
      </w:r>
      <w:proofErr w:type="spellStart"/>
      <w:r>
        <w:rPr>
          <w:i/>
          <w:iCs/>
          <w:sz w:val="20"/>
          <w:szCs w:val="20"/>
        </w:rPr>
        <w:t>Shared</w:t>
      </w:r>
      <w:proofErr w:type="spellEnd"/>
      <w:r>
        <w:rPr>
          <w:i/>
          <w:iCs/>
          <w:sz w:val="20"/>
          <w:szCs w:val="20"/>
        </w:rPr>
        <w:t xml:space="preserve"> Access </w:t>
      </w:r>
      <w:proofErr w:type="spellStart"/>
      <w:r>
        <w:rPr>
          <w:i/>
          <w:iCs/>
          <w:sz w:val="20"/>
          <w:szCs w:val="20"/>
        </w:rPr>
        <w:t>Signature</w:t>
      </w:r>
      <w:proofErr w:type="spellEnd"/>
      <w:r>
        <w:rPr>
          <w:sz w:val="20"/>
          <w:szCs w:val="20"/>
        </w:rPr>
        <w:t xml:space="preserve"> (SAS) firmado mediante HMAC-SHA256 utilizando la clave simétrica primaria del dispositivo (dev-http-01), la URI del recurso objetivo y un tiempo de expiración (TTL).</w:t>
      </w:r>
    </w:p>
    <w:p w14:paraId="5C121E54" w14:textId="77777777" w:rsidR="002A39F0" w:rsidRDefault="00FF5C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Perfil de Uso:</w:t>
      </w:r>
      <w:r>
        <w:rPr>
          <w:sz w:val="20"/>
          <w:szCs w:val="20"/>
        </w:rPr>
        <w:t xml:space="preserve"> Es idóneo para dispositivos con ciclos de suspensión prolongados (</w:t>
      </w:r>
      <w:proofErr w:type="spellStart"/>
      <w:r>
        <w:rPr>
          <w:i/>
          <w:iCs/>
          <w:sz w:val="20"/>
          <w:szCs w:val="20"/>
        </w:rPr>
        <w:t>deep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sleep</w:t>
      </w:r>
      <w:proofErr w:type="spellEnd"/>
      <w:r>
        <w:rPr>
          <w:sz w:val="20"/>
          <w:szCs w:val="20"/>
        </w:rPr>
        <w:t>), sensores alimentados por batería que despiertan esporádicamente o clientes restringidos por políticas de firewall de red corporativa que solo permitan el tráfico saliente por e</w:t>
      </w:r>
      <w:r>
        <w:rPr>
          <w:sz w:val="20"/>
          <w:szCs w:val="20"/>
        </w:rPr>
        <w:t>l puerto HTTPS 443 estándar.</w:t>
      </w:r>
    </w:p>
    <w:p w14:paraId="3E226F3B" w14:textId="77777777" w:rsidR="002A39F0" w:rsidRDefault="00FF5C73">
      <w:pPr>
        <w:pStyle w:val="Ttulo2"/>
      </w:pPr>
      <w:r>
        <w:t>4. Tabla Comparativa de Protocolos en la Capa de Aplicación</w:t>
      </w:r>
    </w:p>
    <w:p w14:paraId="4A1207CB" w14:textId="52180359" w:rsidR="002A39F0" w:rsidRDefault="00FF5C73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71D0AE5C">
          <v:rect id="_x0000_i1028" style="width:0;height:1.5pt" o:hralign="center" o:hrstd="t" o:hr="t" fillcolor="#a0a0a0" stroked="f"/>
        </w:pict>
      </w:r>
      <w:r>
        <w:rPr>
          <w:sz w:val="20"/>
          <w:szCs w:val="20"/>
        </w:rPr>
        <w:t>A continuación,</w:t>
      </w:r>
      <w:r>
        <w:rPr>
          <w:sz w:val="20"/>
          <w:szCs w:val="20"/>
        </w:rPr>
        <w:t xml:space="preserve"> se presenta el análisis comparativo entre los tres protocolos evaluados en la plataforma Azure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>: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A39F0" w14:paraId="243B9A58" w14:textId="77777777"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1DD06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906B3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MQTT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92BA7F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AMQP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98030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HTTP / HTTPS REST</w:t>
            </w:r>
          </w:p>
          <w:p w14:paraId="23879A6A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A39F0" w14:paraId="537BF161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CE089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 de Transporte y Puerto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EB4F3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 / TLS (Puerto 8883)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08534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 / TLS (Puerto 5671)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2D4D7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 / TLS (Puerto 443)</w:t>
            </w:r>
          </w:p>
        </w:tc>
      </w:tr>
      <w:tr w:rsidR="002A39F0" w14:paraId="20E673B4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7F5B2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Modelo de Comunicación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9973C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Publicación / Suscripción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BD661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Mensajería / Multiplexación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C0B32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Petición / Respuesta (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A39F0" w14:paraId="3C6D04D6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181A7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Overhead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Cabecera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7C587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Muy bajo (~2 Bytes)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1880F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Bajo / Moderado (~8 Bytes)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D9440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 (Cabeceras HTTP &gt; 200 Bytes)</w:t>
            </w:r>
          </w:p>
        </w:tc>
      </w:tr>
      <w:tr w:rsidR="002A39F0" w14:paraId="4CD4AF8D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F5850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Consumo de Ancho de Banda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BD559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Mínimo (Muy eficiente)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47A77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Moderado (Eficiente en flujo continuo)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B1DD8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Elevado por solicitud individual</w:t>
            </w:r>
          </w:p>
        </w:tc>
      </w:tr>
      <w:tr w:rsidR="002A39F0" w14:paraId="284EFE51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F8406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Consumo Energético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89ED0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Muy bajo (Ideal para baterías)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17A17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Moderado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586BF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 (</w:t>
            </w:r>
            <w:proofErr w:type="spellStart"/>
            <w:r>
              <w:rPr>
                <w:sz w:val="18"/>
                <w:szCs w:val="18"/>
              </w:rPr>
              <w:t>Handshake</w:t>
            </w:r>
            <w:proofErr w:type="spellEnd"/>
            <w:r>
              <w:rPr>
                <w:sz w:val="18"/>
                <w:szCs w:val="18"/>
              </w:rPr>
              <w:t xml:space="preserve"> TLS recurrente)</w:t>
            </w:r>
          </w:p>
        </w:tc>
      </w:tr>
      <w:tr w:rsidR="002A39F0" w14:paraId="370994D3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7F345A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Conexión y Estado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8531D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Socket Persistente (</w:t>
            </w:r>
            <w:proofErr w:type="spellStart"/>
            <w:r>
              <w:rPr>
                <w:sz w:val="18"/>
                <w:szCs w:val="18"/>
              </w:rPr>
              <w:t>Keep-Alive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94118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Socket Persistente Multiplexado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33373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 Estado (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 xml:space="preserve"> / Petición puntual)</w:t>
            </w:r>
          </w:p>
        </w:tc>
      </w:tr>
      <w:tr w:rsidR="002A39F0" w14:paraId="081ECD03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F3886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Complejidad de Implementación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8264D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2259A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 (Requiere cliente SDK especializado)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93F50" w14:textId="77777777" w:rsidR="002A39F0" w:rsidRDefault="00FF5C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Muy baja (Soportado nativamente)</w:t>
            </w:r>
          </w:p>
        </w:tc>
      </w:tr>
    </w:tbl>
    <w:p w14:paraId="20ABA3C4" w14:textId="77777777" w:rsidR="002A39F0" w:rsidRDefault="00FF5C73">
      <w:pPr>
        <w:pStyle w:val="Ttulo2"/>
      </w:pPr>
      <w:r>
        <w:t>5. Recomendaciones para la Selección de Capa de Protocolo</w:t>
      </w:r>
    </w:p>
    <w:p w14:paraId="73B6481A" w14:textId="77777777" w:rsidR="002A39F0" w:rsidRDefault="00FF5C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Seleccionar MQTT cuando:</w:t>
      </w:r>
      <w:r>
        <w:rPr>
          <w:sz w:val="20"/>
          <w:szCs w:val="20"/>
        </w:rPr>
        <w:t xml:space="preserve"> Se desplieguen nodos sensores de bajo consumo energético, microcontroladores restringidos en memoria RAM/Flash (</w:t>
      </w:r>
      <w:proofErr w:type="spellStart"/>
      <w:r>
        <w:rPr>
          <w:sz w:val="20"/>
          <w:szCs w:val="20"/>
        </w:rPr>
        <w:t>e.g</w:t>
      </w:r>
      <w:proofErr w:type="spellEnd"/>
      <w:r>
        <w:rPr>
          <w:sz w:val="20"/>
          <w:szCs w:val="20"/>
        </w:rPr>
        <w:t>., ESP32, ESP8266) o cuando la transmisión ocurra sobre redes móviles/celulares con tarifación por volumen de datos.</w:t>
      </w:r>
    </w:p>
    <w:p w14:paraId="32F90C9A" w14:textId="77777777" w:rsidR="002A39F0" w:rsidRDefault="00FF5C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>Seleccionar AMQP cuando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Se diseñen pasarelas de enlace (</w:t>
      </w:r>
      <w:proofErr w:type="spellStart"/>
      <w:r>
        <w:rPr>
          <w:sz w:val="20"/>
          <w:szCs w:val="20"/>
        </w:rPr>
        <w:t>gateways</w:t>
      </w:r>
      <w:proofErr w:type="spellEnd"/>
      <w:r>
        <w:rPr>
          <w:sz w:val="20"/>
          <w:szCs w:val="20"/>
        </w:rPr>
        <w:t xml:space="preserve"> industriales), subsistemas de almacenamiento intermedio o aplicaciones de misión crítica que requieran alta fiabilidad, gestión de colas complejas y transferencia bidireccional masiva de eventos.</w:t>
      </w:r>
    </w:p>
    <w:p w14:paraId="17652CDD" w14:textId="77777777" w:rsidR="002A39F0" w:rsidRDefault="00FF5C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sz w:val="20"/>
          <w:szCs w:val="20"/>
        </w:rPr>
        <w:t xml:space="preserve">Seleccionar HTTP </w:t>
      </w:r>
      <w:r>
        <w:rPr>
          <w:b/>
          <w:bCs/>
          <w:sz w:val="20"/>
          <w:szCs w:val="20"/>
        </w:rPr>
        <w:t>/ HTTPS REST cuando:</w:t>
      </w:r>
      <w:r>
        <w:rPr>
          <w:sz w:val="20"/>
          <w:szCs w:val="20"/>
        </w:rPr>
        <w:t xml:space="preserve"> Se conecten dispositivos heterogéneos con transmisiones muy esporádicas (</w:t>
      </w:r>
      <w:proofErr w:type="spellStart"/>
      <w:r>
        <w:rPr>
          <w:sz w:val="20"/>
          <w:szCs w:val="20"/>
        </w:rPr>
        <w:t>e.g</w:t>
      </w:r>
      <w:proofErr w:type="spellEnd"/>
      <w:r>
        <w:rPr>
          <w:sz w:val="20"/>
          <w:szCs w:val="20"/>
        </w:rPr>
        <w:t>., un reporte diario), sistemas heredados (*</w:t>
      </w:r>
      <w:proofErr w:type="spellStart"/>
      <w:r>
        <w:rPr>
          <w:sz w:val="20"/>
          <w:szCs w:val="20"/>
        </w:rPr>
        <w:t>legacy</w:t>
      </w:r>
      <w:proofErr w:type="spellEnd"/>
      <w:r>
        <w:rPr>
          <w:sz w:val="20"/>
          <w:szCs w:val="20"/>
        </w:rPr>
        <w:t xml:space="preserve">*) sin soporte para bibliotecas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específicas, o entornos restringidos estrictamente a tráfico web HTTPS.</w:t>
      </w:r>
    </w:p>
    <w:sectPr w:rsidR="002A39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458CC2A-3FDC-4AA4-8DCA-E68A39F9C3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A0D647-05E7-447E-8CF4-B729D5CC8B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C7FEED-8B5E-4912-A612-1944DDFE57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67439"/>
    <w:multiLevelType w:val="multilevel"/>
    <w:tmpl w:val="0B98159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BA148C"/>
    <w:multiLevelType w:val="multilevel"/>
    <w:tmpl w:val="E4AC5BF0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C565228"/>
    <w:multiLevelType w:val="multilevel"/>
    <w:tmpl w:val="2398E9F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2091A53"/>
    <w:multiLevelType w:val="multilevel"/>
    <w:tmpl w:val="0B38AA62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9F0"/>
    <w:rsid w:val="002A39F0"/>
    <w:rsid w:val="00F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D141"/>
  <w15:docId w15:val="{DBCD4119-5217-46D7-A804-7B9CE287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111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00336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70" w:after="180"/>
      <w:outlineLvl w:val="1"/>
    </w:pPr>
    <w:rPr>
      <w:b/>
      <w:bCs/>
      <w:color w:val="00336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2222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2026-10-09T03:21:00Z</dcterms:created>
  <dcterms:modified xsi:type="dcterms:W3CDTF">2026-10-09T03:21:00Z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afe2e2bad7abb4527e9772e7bc703262c8dde7fb990b7a9c88307520abc84623</vt:lpwstr>
  </property>
</Properties>
</file>