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32"/>
        <w:gridCol w:w="4420"/>
        <w:gridCol w:w="8898"/>
      </w:tblGrid>
      <w:tr w14:paraId="6D83F077">
        <w:tc>
          <w:tcPr>
            <w:tcW w:w="732" w:type="dxa"/>
          </w:tcPr>
          <w:p w14:paraId="1ADC8422">
            <w:pPr>
              <w:rPr>
                <w:rFonts w:hint="default"/>
                <w:vertAlign w:val="baseline"/>
                <w:lang w:val="en-US"/>
              </w:rPr>
            </w:pPr>
          </w:p>
        </w:tc>
        <w:tc>
          <w:tcPr>
            <w:tcW w:w="4420" w:type="dxa"/>
          </w:tcPr>
          <w:p w14:paraId="649AD2F5">
            <w:pPr>
              <w:rPr>
                <w:rFonts w:hint="default"/>
                <w:vertAlign w:val="baseline"/>
                <w:lang w:val="en-US"/>
              </w:rPr>
            </w:pPr>
            <w:r>
              <w:rPr>
                <w:rFonts w:hint="default"/>
                <w:vertAlign w:val="baseline"/>
                <w:lang w:val="en-US"/>
              </w:rPr>
              <w:t>Name</w:t>
            </w:r>
          </w:p>
        </w:tc>
        <w:tc>
          <w:tcPr>
            <w:tcW w:w="8898" w:type="dxa"/>
          </w:tcPr>
          <w:p w14:paraId="1E3DF7B5">
            <w:pPr>
              <w:rPr>
                <w:rFonts w:hint="default"/>
                <w:vertAlign w:val="baseline"/>
                <w:lang w:val="en-US"/>
              </w:rPr>
            </w:pPr>
            <w:r>
              <w:rPr>
                <w:rFonts w:hint="default"/>
                <w:vertAlign w:val="baseline"/>
                <w:lang w:val="en-US"/>
              </w:rPr>
              <w:t>Description</w:t>
            </w:r>
          </w:p>
        </w:tc>
      </w:tr>
      <w:tr w14:paraId="63F918A9">
        <w:tc>
          <w:tcPr>
            <w:tcW w:w="732" w:type="dxa"/>
          </w:tcPr>
          <w:p w14:paraId="7AB6926A">
            <w:pPr>
              <w:rPr>
                <w:rFonts w:hint="default"/>
                <w:vertAlign w:val="baseline"/>
                <w:lang w:val="en-US"/>
              </w:rPr>
            </w:pPr>
            <w:r>
              <w:rPr>
                <w:rFonts w:hint="default"/>
                <w:vertAlign w:val="baseline"/>
                <w:lang w:val="en-US"/>
              </w:rPr>
              <w:t>R1</w:t>
            </w:r>
          </w:p>
        </w:tc>
        <w:tc>
          <w:tcPr>
            <w:tcW w:w="4420" w:type="dxa"/>
          </w:tcPr>
          <w:p w14:paraId="2BCED00B">
            <w:pPr>
              <w:rPr>
                <w:rFonts w:hint="default"/>
                <w:vertAlign w:val="baseline"/>
                <w:lang w:val="en-US"/>
              </w:rPr>
            </w:pPr>
            <w:r>
              <w:rPr>
                <w:rFonts w:hint="default"/>
                <w:vertAlign w:val="baseline"/>
                <w:lang w:val="en-US"/>
              </w:rPr>
              <w:t>activation of quiescent stem cells</w:t>
            </w:r>
          </w:p>
        </w:tc>
        <w:tc>
          <w:tcPr>
            <w:tcW w:w="8898" w:type="dxa"/>
          </w:tcPr>
          <w:p w14:paraId="562E6CA7">
            <w:pPr>
              <w:rPr>
                <w:rFonts w:hint="default"/>
                <w:vertAlign w:val="baseline"/>
                <w:lang w:val="en-US"/>
              </w:rPr>
            </w:pPr>
            <w:r>
              <w:rPr>
                <w:rFonts w:hint="default"/>
                <w:vertAlign w:val="baseline"/>
                <w:lang w:val="en-US"/>
              </w:rPr>
              <w:t>constant rate in the model</w:t>
            </w:r>
          </w:p>
        </w:tc>
      </w:tr>
      <w:tr w14:paraId="488D4B2F">
        <w:tc>
          <w:tcPr>
            <w:tcW w:w="732" w:type="dxa"/>
          </w:tcPr>
          <w:p w14:paraId="15DFDD32">
            <w:pPr>
              <w:rPr>
                <w:rFonts w:hint="default"/>
                <w:vertAlign w:val="baseline"/>
                <w:lang w:val="en-US"/>
              </w:rPr>
            </w:pPr>
            <w:r>
              <w:rPr>
                <w:rFonts w:hint="default"/>
                <w:vertAlign w:val="baseline"/>
                <w:lang w:val="en-US"/>
              </w:rPr>
              <w:t>R2</w:t>
            </w:r>
          </w:p>
        </w:tc>
        <w:tc>
          <w:tcPr>
            <w:tcW w:w="4420" w:type="dxa"/>
          </w:tcPr>
          <w:p w14:paraId="56D76FED">
            <w:pPr>
              <w:rPr>
                <w:rFonts w:hint="default"/>
                <w:vertAlign w:val="baseline"/>
                <w:lang w:val="en-US"/>
              </w:rPr>
            </w:pPr>
            <w:r>
              <w:rPr>
                <w:rFonts w:hint="default"/>
                <w:vertAlign w:val="baseline"/>
                <w:lang w:val="en-US"/>
              </w:rPr>
              <w:t>quiescence of active stem cells</w:t>
            </w:r>
          </w:p>
        </w:tc>
        <w:tc>
          <w:tcPr>
            <w:tcW w:w="8898" w:type="dxa"/>
          </w:tcPr>
          <w:p w14:paraId="1B4A0AF3">
            <w:pPr>
              <w:rPr>
                <w:rFonts w:hint="default"/>
                <w:vertAlign w:val="baseline"/>
                <w:lang w:val="en-US"/>
              </w:rPr>
            </w:pPr>
            <w:r>
              <w:rPr>
                <w:rFonts w:hint="default"/>
                <w:vertAlign w:val="baseline"/>
                <w:lang w:val="en-US"/>
              </w:rPr>
              <w:t>constant rate in the model</w:t>
            </w:r>
          </w:p>
        </w:tc>
      </w:tr>
      <w:tr w14:paraId="43A3F5CC">
        <w:tc>
          <w:tcPr>
            <w:tcW w:w="732" w:type="dxa"/>
          </w:tcPr>
          <w:p w14:paraId="0ACD6302">
            <w:pPr>
              <w:rPr>
                <w:rFonts w:hint="default"/>
                <w:vertAlign w:val="baseline"/>
                <w:lang w:val="en-US"/>
              </w:rPr>
            </w:pPr>
            <w:r>
              <w:rPr>
                <w:rFonts w:hint="default"/>
                <w:vertAlign w:val="baseline"/>
                <w:lang w:val="en-US"/>
              </w:rPr>
              <w:t>R3</w:t>
            </w:r>
          </w:p>
        </w:tc>
        <w:tc>
          <w:tcPr>
            <w:tcW w:w="4420" w:type="dxa"/>
          </w:tcPr>
          <w:p w14:paraId="17A9155F">
            <w:pPr>
              <w:rPr>
                <w:rFonts w:hint="default"/>
                <w:vertAlign w:val="baseline"/>
                <w:lang w:val="en-US"/>
              </w:rPr>
            </w:pPr>
            <w:r>
              <w:rPr>
                <w:rFonts w:hint="default"/>
                <w:vertAlign w:val="baseline"/>
                <w:lang w:val="en-US"/>
              </w:rPr>
              <w:t>transition into mitotic state of active stem cells</w:t>
            </w:r>
          </w:p>
        </w:tc>
        <w:tc>
          <w:tcPr>
            <w:tcW w:w="8898" w:type="dxa"/>
          </w:tcPr>
          <w:p w14:paraId="7CE21F9A">
            <w:pPr>
              <w:rPr>
                <w:rFonts w:hint="default"/>
                <w:vertAlign w:val="baseline"/>
                <w:lang w:val="en-US"/>
              </w:rPr>
            </w:pPr>
            <w:r>
              <w:rPr>
                <w:rFonts w:hint="default"/>
                <w:vertAlign w:val="baseline"/>
                <w:lang w:val="en-US"/>
              </w:rPr>
              <w:t>occurs to cells not experiencing senescence or apoptosis in the cycle, inhibited by crowding</w:t>
            </w:r>
          </w:p>
        </w:tc>
      </w:tr>
      <w:tr w14:paraId="6929A854">
        <w:tc>
          <w:tcPr>
            <w:tcW w:w="732" w:type="dxa"/>
          </w:tcPr>
          <w:p w14:paraId="1A3410A5">
            <w:pPr>
              <w:rPr>
                <w:rFonts w:hint="default"/>
                <w:vertAlign w:val="baseline"/>
                <w:lang w:val="en-US"/>
              </w:rPr>
            </w:pPr>
            <w:r>
              <w:rPr>
                <w:rFonts w:hint="default"/>
                <w:vertAlign w:val="baseline"/>
                <w:lang w:val="en-US"/>
              </w:rPr>
              <w:t>R4</w:t>
            </w:r>
          </w:p>
        </w:tc>
        <w:tc>
          <w:tcPr>
            <w:tcW w:w="4420" w:type="dxa"/>
          </w:tcPr>
          <w:p w14:paraId="17D0548F">
            <w:pPr>
              <w:rPr>
                <w:rFonts w:hint="default"/>
                <w:vertAlign w:val="baseline"/>
                <w:lang w:val="en-US"/>
              </w:rPr>
            </w:pPr>
            <w:r>
              <w:rPr>
                <w:rFonts w:hint="default"/>
                <w:vertAlign w:val="baseline"/>
                <w:lang w:val="en-US"/>
              </w:rPr>
              <w:t>active stem cell renewal through mitosis</w:t>
            </w:r>
          </w:p>
        </w:tc>
        <w:tc>
          <w:tcPr>
            <w:tcW w:w="8898" w:type="dxa"/>
          </w:tcPr>
          <w:p w14:paraId="2E06F9A1">
            <w:pPr>
              <w:rPr>
                <w:rFonts w:hint="default"/>
                <w:vertAlign w:val="baseline"/>
                <w:lang w:val="en-US"/>
              </w:rPr>
            </w:pPr>
            <w:r>
              <w:rPr>
                <w:rFonts w:hint="default"/>
                <w:vertAlign w:val="baseline"/>
                <w:lang w:val="en-US"/>
              </w:rPr>
              <w:t>a constant percentage of daughter cells remain as stem cells. of these, those that does not immediately undergo replicative senescence contributes towards renewal of active stem cells</w:t>
            </w:r>
          </w:p>
        </w:tc>
      </w:tr>
      <w:tr w14:paraId="4760CAAC">
        <w:tc>
          <w:tcPr>
            <w:tcW w:w="732" w:type="dxa"/>
          </w:tcPr>
          <w:p w14:paraId="753D96F6">
            <w:pPr>
              <w:rPr>
                <w:rFonts w:hint="default"/>
                <w:vertAlign w:val="baseline"/>
                <w:lang w:val="en-US"/>
              </w:rPr>
            </w:pPr>
            <w:r>
              <w:rPr>
                <w:rFonts w:hint="default"/>
                <w:vertAlign w:val="baseline"/>
                <w:lang w:val="en-US"/>
              </w:rPr>
              <w:t>R5</w:t>
            </w:r>
          </w:p>
        </w:tc>
        <w:tc>
          <w:tcPr>
            <w:tcW w:w="4420" w:type="dxa"/>
          </w:tcPr>
          <w:p w14:paraId="6A5C997E">
            <w:pPr>
              <w:rPr>
                <w:rFonts w:hint="default"/>
                <w:vertAlign w:val="baseline"/>
                <w:lang w:val="en-US"/>
              </w:rPr>
            </w:pPr>
            <w:r>
              <w:rPr>
                <w:rFonts w:hint="default"/>
                <w:vertAlign w:val="baseline"/>
                <w:lang w:val="en-US"/>
              </w:rPr>
              <w:t>replicative senescence of active stem cell immediately after mitosis</w:t>
            </w:r>
          </w:p>
        </w:tc>
        <w:tc>
          <w:tcPr>
            <w:tcW w:w="8898" w:type="dxa"/>
          </w:tcPr>
          <w:p w14:paraId="44E24F06">
            <w:pPr>
              <w:rPr>
                <w:rFonts w:hint="default"/>
                <w:vertAlign w:val="baseline"/>
                <w:lang w:val="en-US"/>
              </w:rPr>
            </w:pPr>
            <w:r>
              <w:rPr>
                <w:rFonts w:hint="default"/>
                <w:vertAlign w:val="baseline"/>
                <w:lang w:val="en-US"/>
              </w:rPr>
              <w:t>a constant percentage of daughter cells remain as stem cells. of these, some immediately undergoes replicative senescnece. rates of replicative senescence depends on generation number of cell, ROS concentration, external geonotic agents and rate of DNA damage repair.</w:t>
            </w:r>
          </w:p>
        </w:tc>
      </w:tr>
      <w:tr w14:paraId="2F10E2F4">
        <w:tc>
          <w:tcPr>
            <w:tcW w:w="732" w:type="dxa"/>
          </w:tcPr>
          <w:p w14:paraId="50A6FD57">
            <w:pPr>
              <w:rPr>
                <w:rFonts w:hint="default"/>
                <w:vertAlign w:val="baseline"/>
                <w:lang w:val="en-US"/>
              </w:rPr>
            </w:pPr>
            <w:r>
              <w:rPr>
                <w:rFonts w:hint="default"/>
                <w:vertAlign w:val="baseline"/>
                <w:lang w:val="en-US"/>
              </w:rPr>
              <w:t>R6</w:t>
            </w:r>
          </w:p>
        </w:tc>
        <w:tc>
          <w:tcPr>
            <w:tcW w:w="4420" w:type="dxa"/>
          </w:tcPr>
          <w:p w14:paraId="6D917BBB">
            <w:pPr>
              <w:rPr>
                <w:rFonts w:hint="default"/>
                <w:vertAlign w:val="baseline"/>
                <w:lang w:val="en-US"/>
              </w:rPr>
            </w:pPr>
            <w:r>
              <w:rPr>
                <w:rFonts w:hint="default"/>
                <w:vertAlign w:val="baseline"/>
                <w:lang w:val="en-US"/>
              </w:rPr>
              <w:t>differentiation of active stem cell through mitosis</w:t>
            </w:r>
          </w:p>
        </w:tc>
        <w:tc>
          <w:tcPr>
            <w:tcW w:w="8898" w:type="dxa"/>
          </w:tcPr>
          <w:p w14:paraId="343BB117">
            <w:pPr>
              <w:rPr>
                <w:rFonts w:hint="default"/>
                <w:vertAlign w:val="baseline"/>
                <w:lang w:val="en-US"/>
              </w:rPr>
            </w:pPr>
            <w:r>
              <w:rPr>
                <w:rFonts w:hint="default"/>
                <w:vertAlign w:val="baseline"/>
                <w:lang w:val="en-US"/>
              </w:rPr>
              <w:t>a constant percentage of daughter cells differentiates. of these, those that does not immediately undergo replicative senescence contributes towards renewal of active stem cells</w:t>
            </w:r>
          </w:p>
        </w:tc>
      </w:tr>
      <w:tr w14:paraId="66A499C6">
        <w:tc>
          <w:tcPr>
            <w:tcW w:w="732" w:type="dxa"/>
          </w:tcPr>
          <w:p w14:paraId="7D41AFD7">
            <w:pPr>
              <w:rPr>
                <w:rFonts w:hint="default"/>
                <w:vertAlign w:val="baseline"/>
                <w:lang w:val="en-US"/>
              </w:rPr>
            </w:pPr>
            <w:r>
              <w:rPr>
                <w:rFonts w:hint="default"/>
                <w:vertAlign w:val="baseline"/>
                <w:lang w:val="en-US"/>
              </w:rPr>
              <w:t>R7</w:t>
            </w:r>
          </w:p>
        </w:tc>
        <w:tc>
          <w:tcPr>
            <w:tcW w:w="4420" w:type="dxa"/>
          </w:tcPr>
          <w:p w14:paraId="05CD17D7">
            <w:pPr>
              <w:rPr>
                <w:rFonts w:hint="default"/>
                <w:vertAlign w:val="baseline"/>
                <w:lang w:val="en-US"/>
              </w:rPr>
            </w:pPr>
            <w:r>
              <w:rPr>
                <w:rFonts w:hint="default"/>
                <w:vertAlign w:val="baseline"/>
                <w:lang w:val="en-US"/>
              </w:rPr>
              <w:t>differentiation of active stem cell through mitosis followed by immediate replicative senescence</w:t>
            </w:r>
          </w:p>
        </w:tc>
        <w:tc>
          <w:tcPr>
            <w:tcW w:w="8898" w:type="dxa"/>
          </w:tcPr>
          <w:p w14:paraId="46901488">
            <w:pPr>
              <w:rPr>
                <w:rFonts w:hint="default"/>
                <w:vertAlign w:val="baseline"/>
                <w:lang w:val="en-US"/>
              </w:rPr>
            </w:pPr>
            <w:r>
              <w:rPr>
                <w:rFonts w:hint="default"/>
                <w:vertAlign w:val="baseline"/>
                <w:lang w:val="en-US"/>
              </w:rPr>
              <w:t>a constant percentage of daughter cells differentiates. of these, some immediately undergoes replicative senescnece. rates of replicative senescence depends on generation number of cell, ROS concentration, external geonotic agents and rate of DNA damage repair.</w:t>
            </w:r>
          </w:p>
        </w:tc>
      </w:tr>
      <w:tr w14:paraId="3A277897">
        <w:tc>
          <w:tcPr>
            <w:tcW w:w="732" w:type="dxa"/>
          </w:tcPr>
          <w:p w14:paraId="053A9B61">
            <w:pPr>
              <w:rPr>
                <w:rFonts w:hint="default"/>
                <w:vertAlign w:val="baseline"/>
                <w:lang w:val="en-US"/>
              </w:rPr>
            </w:pPr>
            <w:r>
              <w:rPr>
                <w:rFonts w:hint="default"/>
                <w:vertAlign w:val="baseline"/>
                <w:lang w:val="en-US"/>
              </w:rPr>
              <w:t>R8</w:t>
            </w:r>
          </w:p>
        </w:tc>
        <w:tc>
          <w:tcPr>
            <w:tcW w:w="4420" w:type="dxa"/>
          </w:tcPr>
          <w:p w14:paraId="28FBFAEF">
            <w:pPr>
              <w:rPr>
                <w:rFonts w:hint="default"/>
                <w:vertAlign w:val="baseline"/>
                <w:lang w:val="en-US"/>
              </w:rPr>
            </w:pPr>
            <w:r>
              <w:rPr>
                <w:rFonts w:hint="default"/>
                <w:vertAlign w:val="baseline"/>
                <w:lang w:val="en-US"/>
              </w:rPr>
              <w:t>transition into mitotic state of differentiated cells</w:t>
            </w:r>
          </w:p>
        </w:tc>
        <w:tc>
          <w:tcPr>
            <w:tcW w:w="8898" w:type="dxa"/>
          </w:tcPr>
          <w:p w14:paraId="324082EC">
            <w:pPr>
              <w:rPr>
                <w:vertAlign w:val="baseline"/>
              </w:rPr>
            </w:pPr>
            <w:r>
              <w:rPr>
                <w:rFonts w:hint="default"/>
                <w:vertAlign w:val="baseline"/>
                <w:lang w:val="en-US"/>
              </w:rPr>
              <w:t>occurs to cells not experiencing senescence or apoptosis in the cycle, inhibited by crowding</w:t>
            </w:r>
          </w:p>
        </w:tc>
      </w:tr>
      <w:tr w14:paraId="342550EA">
        <w:tc>
          <w:tcPr>
            <w:tcW w:w="732" w:type="dxa"/>
          </w:tcPr>
          <w:p w14:paraId="2D289EA6">
            <w:pPr>
              <w:rPr>
                <w:rFonts w:hint="default"/>
                <w:vertAlign w:val="baseline"/>
                <w:lang w:val="en-US"/>
              </w:rPr>
            </w:pPr>
            <w:r>
              <w:rPr>
                <w:rFonts w:hint="default"/>
                <w:vertAlign w:val="baseline"/>
                <w:lang w:val="en-US"/>
              </w:rPr>
              <w:t>R9</w:t>
            </w:r>
          </w:p>
        </w:tc>
        <w:tc>
          <w:tcPr>
            <w:tcW w:w="4420" w:type="dxa"/>
          </w:tcPr>
          <w:p w14:paraId="6E384CAE">
            <w:pPr>
              <w:rPr>
                <w:rFonts w:hint="default"/>
                <w:vertAlign w:val="baseline"/>
                <w:lang w:val="en-US"/>
              </w:rPr>
            </w:pPr>
            <w:r>
              <w:rPr>
                <w:rFonts w:hint="default"/>
                <w:vertAlign w:val="baseline"/>
                <w:lang w:val="en-US"/>
              </w:rPr>
              <w:t>differentiated cell renewal through mitosis</w:t>
            </w:r>
          </w:p>
        </w:tc>
        <w:tc>
          <w:tcPr>
            <w:tcW w:w="8898" w:type="dxa"/>
          </w:tcPr>
          <w:p w14:paraId="547742FF">
            <w:pPr>
              <w:rPr>
                <w:rFonts w:hint="default"/>
                <w:vertAlign w:val="baseline"/>
                <w:lang w:val="en-US"/>
              </w:rPr>
            </w:pPr>
            <w:r>
              <w:rPr>
                <w:rFonts w:hint="default"/>
                <w:vertAlign w:val="baseline"/>
                <w:lang w:val="en-US"/>
              </w:rPr>
              <w:t>daughter cells which do not immediately undergo replicative senescence after mitosis contributes towards renewal of differentiated cells</w:t>
            </w:r>
          </w:p>
        </w:tc>
      </w:tr>
      <w:tr w14:paraId="695C1EB8">
        <w:tc>
          <w:tcPr>
            <w:tcW w:w="732" w:type="dxa"/>
          </w:tcPr>
          <w:p w14:paraId="5C87E509">
            <w:pPr>
              <w:rPr>
                <w:rFonts w:hint="default"/>
                <w:vertAlign w:val="baseline"/>
                <w:lang w:val="en-US"/>
              </w:rPr>
            </w:pPr>
            <w:r>
              <w:rPr>
                <w:rFonts w:hint="default"/>
                <w:vertAlign w:val="baseline"/>
                <w:lang w:val="en-US"/>
              </w:rPr>
              <w:t>R10</w:t>
            </w:r>
          </w:p>
        </w:tc>
        <w:tc>
          <w:tcPr>
            <w:tcW w:w="4420" w:type="dxa"/>
          </w:tcPr>
          <w:p w14:paraId="396B7F9E">
            <w:pPr>
              <w:rPr>
                <w:vertAlign w:val="baseline"/>
              </w:rPr>
            </w:pPr>
            <w:r>
              <w:rPr>
                <w:rFonts w:hint="default"/>
                <w:vertAlign w:val="baseline"/>
                <w:lang w:val="en-US"/>
              </w:rPr>
              <w:t>replicative senescence of differentiated cells immediately after mitosis</w:t>
            </w:r>
          </w:p>
        </w:tc>
        <w:tc>
          <w:tcPr>
            <w:tcW w:w="8898" w:type="dxa"/>
          </w:tcPr>
          <w:p w14:paraId="12275EA1">
            <w:pPr>
              <w:rPr>
                <w:rFonts w:hint="default"/>
                <w:vertAlign w:val="baseline"/>
                <w:lang w:val="en-US"/>
              </w:rPr>
            </w:pPr>
            <w:r>
              <w:rPr>
                <w:rFonts w:hint="default"/>
                <w:vertAlign w:val="baseline"/>
                <w:lang w:val="en-US"/>
              </w:rPr>
              <w:t>some daughter cells immediately undergoes replicative senescnece. rates of replicative senescence depends on generation number of cell, ROS concentration, external geonotic agents and rate of DNA damage repair.</w:t>
            </w:r>
          </w:p>
        </w:tc>
      </w:tr>
      <w:tr w14:paraId="2437867E">
        <w:tc>
          <w:tcPr>
            <w:tcW w:w="732" w:type="dxa"/>
          </w:tcPr>
          <w:p w14:paraId="345C11B5">
            <w:pPr>
              <w:rPr>
                <w:rFonts w:hint="default"/>
                <w:vertAlign w:val="baseline"/>
                <w:lang w:val="en-US"/>
              </w:rPr>
            </w:pPr>
            <w:r>
              <w:rPr>
                <w:rFonts w:hint="default"/>
                <w:vertAlign w:val="baseline"/>
                <w:lang w:val="en-US"/>
              </w:rPr>
              <w:t>R11</w:t>
            </w:r>
          </w:p>
        </w:tc>
        <w:tc>
          <w:tcPr>
            <w:tcW w:w="4420" w:type="dxa"/>
          </w:tcPr>
          <w:p w14:paraId="2E27B797">
            <w:pPr>
              <w:rPr>
                <w:rFonts w:hint="default"/>
                <w:vertAlign w:val="baseline"/>
                <w:lang w:val="en-US"/>
              </w:rPr>
            </w:pPr>
            <w:r>
              <w:rPr>
                <w:rFonts w:hint="default"/>
                <w:vertAlign w:val="baseline"/>
                <w:lang w:val="en-US"/>
              </w:rPr>
              <w:t>senescence of quiescent stem cells</w:t>
            </w:r>
          </w:p>
        </w:tc>
        <w:tc>
          <w:tcPr>
            <w:tcW w:w="8898" w:type="dxa"/>
          </w:tcPr>
          <w:p w14:paraId="2DA57995">
            <w:pPr>
              <w:rPr>
                <w:rFonts w:hint="default"/>
                <w:vertAlign w:val="baseline"/>
                <w:lang w:val="en-US"/>
              </w:rPr>
            </w:pPr>
            <w:r>
              <w:rPr>
                <w:rFonts w:hint="default"/>
                <w:vertAlign w:val="baseline"/>
                <w:lang w:val="en-US"/>
              </w:rPr>
              <w:t>quiescent cells only experiences DNA damage induced senescence, which depends on ROS concentration, external geonotic agents and rate of DNA damage repair.</w:t>
            </w:r>
          </w:p>
        </w:tc>
      </w:tr>
      <w:tr w14:paraId="5C7B89FB">
        <w:tc>
          <w:tcPr>
            <w:tcW w:w="732" w:type="dxa"/>
          </w:tcPr>
          <w:p w14:paraId="16000DB0">
            <w:pPr>
              <w:rPr>
                <w:rFonts w:hint="default"/>
                <w:vertAlign w:val="baseline"/>
                <w:lang w:val="en-US"/>
              </w:rPr>
            </w:pPr>
            <w:bookmarkStart w:id="0" w:name="_GoBack" w:colFirst="2" w:colLast="2"/>
            <w:r>
              <w:rPr>
                <w:rFonts w:hint="default"/>
                <w:vertAlign w:val="baseline"/>
                <w:lang w:val="en-US"/>
              </w:rPr>
              <w:t>R12</w:t>
            </w:r>
          </w:p>
        </w:tc>
        <w:tc>
          <w:tcPr>
            <w:tcW w:w="4420" w:type="dxa"/>
          </w:tcPr>
          <w:p w14:paraId="4A614119">
            <w:pPr>
              <w:rPr>
                <w:rFonts w:hint="default"/>
                <w:vertAlign w:val="baseline"/>
                <w:lang w:val="en-US"/>
              </w:rPr>
            </w:pPr>
            <w:r>
              <w:rPr>
                <w:rFonts w:hint="default"/>
                <w:vertAlign w:val="baseline"/>
                <w:lang w:val="en-US"/>
              </w:rPr>
              <w:t>senescence of active stem cells during interphase</w:t>
            </w:r>
          </w:p>
        </w:tc>
        <w:tc>
          <w:tcPr>
            <w:tcW w:w="8898" w:type="dxa"/>
          </w:tcPr>
          <w:p w14:paraId="40602585">
            <w:pPr>
              <w:rPr>
                <w:rFonts w:hint="default"/>
                <w:vertAlign w:val="baseline"/>
                <w:lang w:val="en-US"/>
              </w:rPr>
            </w:pPr>
            <w:r>
              <w:rPr>
                <w:rFonts w:hint="default"/>
                <w:vertAlign w:val="baseline"/>
                <w:lang w:val="en-US"/>
              </w:rPr>
              <w:t xml:space="preserve">active stem cells experiences DNA damage induced senescence and SASP induced senescence. Rate of DNA damage induced senescence depends on ROS concentration, external geonotic agents and rate of DNA damage repair. Rate of SASP induced senescence depends on </w:t>
            </w:r>
            <w:r>
              <w:rPr>
                <w:rFonts w:hint="default"/>
                <w:sz w:val="20"/>
                <w:szCs w:val="20"/>
              </w:rPr>
              <w:t>ratio between total senescent cells and total cells</w:t>
            </w:r>
            <w:r>
              <w:rPr>
                <w:rFonts w:hint="default"/>
                <w:sz w:val="20"/>
                <w:szCs w:val="20"/>
                <w:lang w:val="en-US"/>
              </w:rPr>
              <w:t>.</w:t>
            </w:r>
          </w:p>
        </w:tc>
      </w:tr>
      <w:tr w14:paraId="1E0593EC">
        <w:tc>
          <w:tcPr>
            <w:tcW w:w="732" w:type="dxa"/>
          </w:tcPr>
          <w:p w14:paraId="6682121A">
            <w:pPr>
              <w:rPr>
                <w:rFonts w:hint="default"/>
                <w:vertAlign w:val="baseline"/>
                <w:lang w:val="en-US"/>
              </w:rPr>
            </w:pPr>
            <w:r>
              <w:rPr>
                <w:rFonts w:hint="default"/>
                <w:vertAlign w:val="baseline"/>
                <w:lang w:val="en-US"/>
              </w:rPr>
              <w:t>R13</w:t>
            </w:r>
          </w:p>
        </w:tc>
        <w:tc>
          <w:tcPr>
            <w:tcW w:w="4420" w:type="dxa"/>
          </w:tcPr>
          <w:p w14:paraId="36111205">
            <w:pPr>
              <w:rPr>
                <w:vertAlign w:val="baseline"/>
              </w:rPr>
            </w:pPr>
            <w:r>
              <w:rPr>
                <w:rFonts w:hint="default"/>
                <w:vertAlign w:val="baseline"/>
                <w:lang w:val="en-US"/>
              </w:rPr>
              <w:t>senescence of differentiated cells during interphase</w:t>
            </w:r>
          </w:p>
        </w:tc>
        <w:tc>
          <w:tcPr>
            <w:tcW w:w="8898" w:type="dxa"/>
          </w:tcPr>
          <w:p w14:paraId="30C721BE">
            <w:pPr>
              <w:rPr>
                <w:rFonts w:hint="default"/>
                <w:vertAlign w:val="baseline"/>
                <w:lang w:val="en-US"/>
              </w:rPr>
            </w:pPr>
            <w:r>
              <w:rPr>
                <w:rFonts w:hint="default"/>
                <w:vertAlign w:val="baseline"/>
                <w:lang w:val="en-US"/>
              </w:rPr>
              <w:t xml:space="preserve">differentiated cells experiences DNA damage induced senescence and SASP induced senescence. Rate of DNA damage induced senescence depends on ROS concentration, external geonotic agents and rate of DNA damage repair. Rate of SASP induced senescence depends on </w:t>
            </w:r>
            <w:r>
              <w:rPr>
                <w:rFonts w:hint="default"/>
                <w:sz w:val="20"/>
                <w:szCs w:val="20"/>
              </w:rPr>
              <w:t>ratio between total senescent cells and total cells</w:t>
            </w:r>
            <w:r>
              <w:rPr>
                <w:rFonts w:hint="default"/>
                <w:sz w:val="20"/>
                <w:szCs w:val="20"/>
                <w:lang w:val="en-US"/>
              </w:rPr>
              <w:t>.</w:t>
            </w:r>
          </w:p>
        </w:tc>
      </w:tr>
      <w:bookmarkEnd w:id="0"/>
      <w:tr w14:paraId="7826251A">
        <w:tc>
          <w:tcPr>
            <w:tcW w:w="732" w:type="dxa"/>
          </w:tcPr>
          <w:p w14:paraId="2246002B">
            <w:pPr>
              <w:rPr>
                <w:rFonts w:hint="default"/>
                <w:vertAlign w:val="baseline"/>
                <w:lang w:val="en-US"/>
              </w:rPr>
            </w:pPr>
            <w:r>
              <w:rPr>
                <w:rFonts w:hint="default"/>
                <w:vertAlign w:val="baseline"/>
                <w:lang w:val="en-US"/>
              </w:rPr>
              <w:t>R14</w:t>
            </w:r>
          </w:p>
        </w:tc>
        <w:tc>
          <w:tcPr>
            <w:tcW w:w="4420" w:type="dxa"/>
          </w:tcPr>
          <w:p w14:paraId="1BE8A3E0">
            <w:pPr>
              <w:rPr>
                <w:rFonts w:hint="default"/>
                <w:vertAlign w:val="baseline"/>
                <w:lang w:val="en-US"/>
              </w:rPr>
            </w:pPr>
            <w:r>
              <w:rPr>
                <w:rFonts w:hint="default"/>
                <w:vertAlign w:val="baseline"/>
                <w:lang w:val="en-US"/>
              </w:rPr>
              <w:t>cell death of active stem cells</w:t>
            </w:r>
          </w:p>
        </w:tc>
        <w:tc>
          <w:tcPr>
            <w:tcW w:w="8898" w:type="dxa"/>
          </w:tcPr>
          <w:p w14:paraId="2ABE5E07">
            <w:pPr>
              <w:rPr>
                <w:rFonts w:hint="default"/>
                <w:vertAlign w:val="baseline"/>
                <w:lang w:val="en-US"/>
              </w:rPr>
            </w:pPr>
            <w:r>
              <w:rPr>
                <w:rFonts w:hint="default"/>
                <w:vertAlign w:val="baseline"/>
                <w:lang w:val="en-US"/>
              </w:rPr>
              <w:t>crowding and unrepaired DNA damage could stimulate apoptosis in active stem cells. rate of unrepaired DNA damage is determined by ROS concentration, external geonotic agents and rate of DNA damage repair.</w:t>
            </w:r>
          </w:p>
        </w:tc>
      </w:tr>
      <w:tr w14:paraId="5F8E80A6">
        <w:tc>
          <w:tcPr>
            <w:tcW w:w="732" w:type="dxa"/>
          </w:tcPr>
          <w:p w14:paraId="3ED74B91">
            <w:pPr>
              <w:rPr>
                <w:rFonts w:hint="default"/>
                <w:vertAlign w:val="baseline"/>
                <w:lang w:val="en-US"/>
              </w:rPr>
            </w:pPr>
            <w:r>
              <w:rPr>
                <w:rFonts w:hint="default"/>
                <w:vertAlign w:val="baseline"/>
                <w:lang w:val="en-US"/>
              </w:rPr>
              <w:t>R15</w:t>
            </w:r>
          </w:p>
        </w:tc>
        <w:tc>
          <w:tcPr>
            <w:tcW w:w="4420" w:type="dxa"/>
          </w:tcPr>
          <w:p w14:paraId="3F6E7CA8">
            <w:pPr>
              <w:rPr>
                <w:rFonts w:hint="default"/>
                <w:vertAlign w:val="baseline"/>
                <w:lang w:val="en-US"/>
              </w:rPr>
            </w:pPr>
            <w:r>
              <w:rPr>
                <w:rFonts w:hint="default"/>
                <w:vertAlign w:val="baseline"/>
                <w:lang w:val="en-US"/>
              </w:rPr>
              <w:t>cell death of senescent stem cells</w:t>
            </w:r>
          </w:p>
        </w:tc>
        <w:tc>
          <w:tcPr>
            <w:tcW w:w="8898" w:type="dxa"/>
          </w:tcPr>
          <w:p w14:paraId="7E4CBBCB">
            <w:pPr>
              <w:rPr>
                <w:rFonts w:hint="default"/>
                <w:vertAlign w:val="baseline"/>
                <w:lang w:val="en-US"/>
              </w:rPr>
            </w:pPr>
            <w:r>
              <w:rPr>
                <w:rFonts w:hint="default"/>
                <w:vertAlign w:val="baseline"/>
                <w:lang w:val="en-US"/>
              </w:rPr>
              <w:t>crowding and unrepaired DNA damage could stimulate apoptosis, and immunosurveillance also contribute to clearing  of senescent stem cells</w:t>
            </w:r>
          </w:p>
        </w:tc>
      </w:tr>
      <w:tr w14:paraId="49E95A49">
        <w:tc>
          <w:tcPr>
            <w:tcW w:w="732" w:type="dxa"/>
          </w:tcPr>
          <w:p w14:paraId="278534CC">
            <w:pPr>
              <w:rPr>
                <w:rFonts w:hint="default"/>
                <w:vertAlign w:val="baseline"/>
                <w:lang w:val="en-US"/>
              </w:rPr>
            </w:pPr>
            <w:r>
              <w:rPr>
                <w:rFonts w:hint="default"/>
                <w:vertAlign w:val="baseline"/>
                <w:lang w:val="en-US"/>
              </w:rPr>
              <w:t>R16</w:t>
            </w:r>
          </w:p>
        </w:tc>
        <w:tc>
          <w:tcPr>
            <w:tcW w:w="4420" w:type="dxa"/>
          </w:tcPr>
          <w:p w14:paraId="3898440C">
            <w:pPr>
              <w:rPr>
                <w:rFonts w:hint="default"/>
                <w:vertAlign w:val="baseline"/>
                <w:lang w:val="en-US"/>
              </w:rPr>
            </w:pPr>
            <w:r>
              <w:rPr>
                <w:rFonts w:hint="default"/>
                <w:vertAlign w:val="baseline"/>
                <w:lang w:val="en-US"/>
              </w:rPr>
              <w:t>cell death of differentiated cells</w:t>
            </w:r>
          </w:p>
        </w:tc>
        <w:tc>
          <w:tcPr>
            <w:tcW w:w="8898" w:type="dxa"/>
          </w:tcPr>
          <w:p w14:paraId="6AA66353">
            <w:pPr>
              <w:rPr>
                <w:vertAlign w:val="baseline"/>
              </w:rPr>
            </w:pPr>
            <w:r>
              <w:rPr>
                <w:rFonts w:hint="default"/>
                <w:vertAlign w:val="baseline"/>
                <w:lang w:val="en-US"/>
              </w:rPr>
              <w:t>crowding and unrepaired DNA damage could stimulate apoptosis in differentiated cells. rate of unrepaired DNA damage is determined by ROS concentration, external geonotic agents and rate of DNA damage repair.</w:t>
            </w:r>
          </w:p>
        </w:tc>
      </w:tr>
      <w:tr w14:paraId="6B2C33C7">
        <w:tc>
          <w:tcPr>
            <w:tcW w:w="732" w:type="dxa"/>
          </w:tcPr>
          <w:p w14:paraId="43CDB697">
            <w:pPr>
              <w:rPr>
                <w:rFonts w:hint="default"/>
                <w:vertAlign w:val="baseline"/>
                <w:lang w:val="en-US"/>
              </w:rPr>
            </w:pPr>
            <w:r>
              <w:rPr>
                <w:rFonts w:hint="default"/>
                <w:vertAlign w:val="baseline"/>
                <w:lang w:val="en-US"/>
              </w:rPr>
              <w:t>R17</w:t>
            </w:r>
          </w:p>
        </w:tc>
        <w:tc>
          <w:tcPr>
            <w:tcW w:w="4420" w:type="dxa"/>
          </w:tcPr>
          <w:p w14:paraId="0130C96E">
            <w:pPr>
              <w:rPr>
                <w:rFonts w:hint="default"/>
                <w:vertAlign w:val="baseline"/>
                <w:lang w:val="en-US"/>
              </w:rPr>
            </w:pPr>
            <w:r>
              <w:rPr>
                <w:rFonts w:hint="default"/>
                <w:vertAlign w:val="baseline"/>
                <w:lang w:val="en-US"/>
              </w:rPr>
              <w:t>cell death of senescent differentiated cells</w:t>
            </w:r>
          </w:p>
        </w:tc>
        <w:tc>
          <w:tcPr>
            <w:tcW w:w="8898" w:type="dxa"/>
          </w:tcPr>
          <w:p w14:paraId="2D635954">
            <w:pPr>
              <w:rPr>
                <w:vertAlign w:val="baseline"/>
              </w:rPr>
            </w:pPr>
            <w:r>
              <w:rPr>
                <w:rFonts w:hint="default"/>
                <w:vertAlign w:val="baseline"/>
                <w:lang w:val="en-US"/>
              </w:rPr>
              <w:t>crowding and unrepaired DNA damage could stimulate apoptosis, and immunosurveillance also contribute to clearing  of senescent differentiated cells</w:t>
            </w:r>
          </w:p>
        </w:tc>
      </w:tr>
    </w:tbl>
    <w:p w14:paraId="48412DD9">
      <w:pPr>
        <w:rPr>
          <w:rFonts w:hint="default"/>
          <w:lang w:val="en-US"/>
        </w:rPr>
      </w:pPr>
    </w:p>
    <w:p w14:paraId="19BCA2A0">
      <w:pPr>
        <w:rPr>
          <w:rFonts w:hint="default"/>
          <w:lang w:val="en-US"/>
        </w:rPr>
      </w:pPr>
    </w:p>
    <w:p w14:paraId="66DABBD2">
      <w:pPr>
        <w:rPr>
          <w:rFonts w:hint="default"/>
          <w:lang w:val="en-US"/>
        </w:rPr>
      </w:pPr>
    </w:p>
    <w:p w14:paraId="628BBA87">
      <w:pPr>
        <w:rPr>
          <w:rFonts w:hint="default"/>
          <w:lang w:val="en-US"/>
        </w:rPr>
      </w:pPr>
      <w:r>
        <w:rPr>
          <w:rFonts w:hint="default"/>
          <w:lang w:val="en-US"/>
        </w:rPr>
        <w:drawing>
          <wp:inline distT="0" distB="0" distL="114300" distR="114300">
            <wp:extent cx="7753985" cy="6151880"/>
            <wp:effectExtent l="0" t="0" r="18415" b="20320"/>
            <wp:docPr id="1" name="Picture 1" descr="Screenshot 2025-02-07 at 12.2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2-07 at 12.20.29"/>
                    <pic:cNvPicPr>
                      <a:picLocks noChangeAspect="1"/>
                    </pic:cNvPicPr>
                  </pic:nvPicPr>
                  <pic:blipFill>
                    <a:blip r:embed="rId4"/>
                    <a:stretch>
                      <a:fillRect/>
                    </a:stretch>
                  </pic:blipFill>
                  <pic:spPr>
                    <a:xfrm>
                      <a:off x="0" y="0"/>
                      <a:ext cx="7753985" cy="6151880"/>
                    </a:xfrm>
                    <a:prstGeom prst="rect">
                      <a:avLst/>
                    </a:prstGeom>
                  </pic:spPr>
                </pic:pic>
              </a:graphicData>
            </a:graphic>
          </wp:inline>
        </w:drawing>
      </w: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M0YWY0N2UxYjFjMDJhMDE1ZjljNjQwMTNiNzFmMDcifQ=="/>
  </w:docVars>
  <w:rsids>
    <w:rsidRoot w:val="FBDFD884"/>
    <w:rsid w:val="5977D8A9"/>
    <w:rsid w:val="FBDFD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35</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2025-02-07T12:18:00Z</dcterms:created>
  <dc:creator>Wu Kun</dc:creator>
  <cp:lastModifiedBy>Wu Kun</cp:lastModifiedBy>
  <dcterms:modified xsi:type="dcterms:W3CDTF">2025-02-11T00:54:24Z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1033-6.11.0.8885</vt:lpwstr>
  </property>
  <property fmtid="{D5CDD505-2E9C-101B-9397-08002B2CF9AE}" pid="3" name="ICV">
    <vt:lpwstr>C88188F40FA903997E89A567FA3754E5_41</vt:lpwstr>
  </property>
</Properties>
</file>