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8.png" ContentType="image/png"/>
  <Override PartName="/word/media/rId25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возможно-</w:t>
      </w:r>
      <w:r>
        <w:t xml:space="preserve"> </w:t>
      </w:r>
      <w:r>
        <w:t xml:space="preserve">стями</w:t>
      </w:r>
    </w:p>
    <w:bookmarkEnd w:id="20"/>
    <w:bookmarkStart w:id="11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реализация-подпрограмм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подпрограмм в NASM</w:t>
      </w:r>
    </w:p>
    <w:p>
      <w:pPr>
        <w:numPr>
          <w:ilvl w:val="0"/>
          <w:numId w:val="1001"/>
        </w:numPr>
      </w:pPr>
      <w:r>
        <w:t xml:space="preserve">создаю каталог для выполнения лабораторной работы №10, перехожу в него и создаю файл lab10-1.asm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внимательно изучаю текст программы, создаю исполняемый файл и проверяю его работу. так как файл не работал, вношу некоторые правки. (рис. 1)</w:t>
      </w:r>
    </w:p>
    <w:p>
      <w:pPr>
        <w:pStyle w:val="CaptionedFigure"/>
      </w:pPr>
      <w:bookmarkStart w:id="24" w:name="fig:001"/>
      <w:r>
        <w:drawing>
          <wp:inline>
            <wp:extent cx="5334000" cy="1353765"/>
            <wp:effectExtent b="0" l="0" r="0" t="0"/>
            <wp:docPr descr="Рис. 1: пример работы исправленной программы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пример работы исправленной программы</w:t>
      </w:r>
    </w:p>
    <w:p>
      <w:pPr>
        <w:numPr>
          <w:ilvl w:val="0"/>
          <w:numId w:val="1003"/>
        </w:numPr>
        <w:pStyle w:val="Compact"/>
      </w:pPr>
      <w:r>
        <w:t xml:space="preserve">меняю текст программы, добавив подпрограмму _subcalcul в подпрограмму _calcul, для вычисления выражения 𝑓(𝑔(𝑥)), где 𝑥 вводится с клавиатуры, 𝑓(𝑥) = 2𝑥 + 7, 𝑔(𝑥) = 3𝑥 − 1 (рис. 2)</w:t>
      </w:r>
    </w:p>
    <w:p>
      <w:pPr>
        <w:pStyle w:val="CaptionedFigure"/>
      </w:pPr>
      <w:bookmarkStart w:id="28" w:name="fig:002"/>
      <w:r>
        <w:drawing>
          <wp:inline>
            <wp:extent cx="5334000" cy="997085"/>
            <wp:effectExtent b="0" l="0" r="0" t="0"/>
            <wp:docPr descr="Рис. 2: работа программы для вычисления выражения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для вычисления выражения</w:t>
      </w:r>
    </w:p>
    <w:bookmarkEnd w:id="29"/>
    <w:bookmarkStart w:id="50" w:name="отладка-программ-с-помощью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Отладка программ с помощью GDB</w:t>
      </w:r>
    </w:p>
    <w:p>
      <w:pPr>
        <w:numPr>
          <w:ilvl w:val="0"/>
          <w:numId w:val="1004"/>
        </w:numPr>
        <w:pStyle w:val="Compact"/>
      </w:pPr>
      <w:r>
        <w:t xml:space="preserve">создаю файл lab10-2.asm с текстом программы из листинга 10.2, получаю исполняемый файл, добавляю отладочную информацию (рис. 3)</w:t>
      </w:r>
    </w:p>
    <w:p>
      <w:pPr>
        <w:pStyle w:val="CaptionedFigure"/>
      </w:pPr>
      <w:bookmarkStart w:id="33" w:name="fig:003"/>
      <w:r>
        <w:drawing>
          <wp:inline>
            <wp:extent cx="5334000" cy="632297"/>
            <wp:effectExtent b="0" l="0" r="0" t="0"/>
            <wp:docPr descr="Рис. 3: добавление отладочной информации, загрузка файла в отладчик" title="" id="31" name="Picture"/>
            <a:graphic>
              <a:graphicData uri="http://schemas.openxmlformats.org/drawingml/2006/picture">
                <pic:pic>
                  <pic:nvPicPr>
                    <pic:cNvPr descr="image/pic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добавление отладочной информации, загрузка файла в отладчик</w:t>
      </w:r>
    </w:p>
    <w:p>
      <w:pPr>
        <w:numPr>
          <w:ilvl w:val="0"/>
          <w:numId w:val="1005"/>
        </w:numPr>
        <w:pStyle w:val="Compact"/>
      </w:pPr>
      <w:r>
        <w:t xml:space="preserve">проверяю работу программы запустив её в оболочке GDB с помощью команды run (рис. 4)</w:t>
      </w:r>
    </w:p>
    <w:p>
      <w:pPr>
        <w:pStyle w:val="CaptionedFigure"/>
      </w:pPr>
      <w:bookmarkStart w:id="37" w:name="fig:004"/>
      <w:r>
        <w:drawing>
          <wp:inline>
            <wp:extent cx="5334000" cy="502595"/>
            <wp:effectExtent b="0" l="0" r="0" t="0"/>
            <wp:docPr descr="Рис. 4: проверка работы программы в оболочке GDB с помощью команды run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проверка работы программы в оболочке GDB с помощью команды run</w:t>
      </w:r>
    </w:p>
    <w:p>
      <w:pPr>
        <w:numPr>
          <w:ilvl w:val="0"/>
          <w:numId w:val="1006"/>
        </w:numPr>
        <w:pStyle w:val="Compact"/>
      </w:pPr>
      <w:r>
        <w:t xml:space="preserve">для более подробного анализа программы устанавливаю брейкпоинт на метку _start, запускаю её (рис. 5)</w:t>
      </w:r>
    </w:p>
    <w:p>
      <w:pPr>
        <w:pStyle w:val="CaptionedFigure"/>
      </w:pPr>
      <w:bookmarkStart w:id="41" w:name="fig:005"/>
      <w:r>
        <w:drawing>
          <wp:inline>
            <wp:extent cx="5334000" cy="1094361"/>
            <wp:effectExtent b="0" l="0" r="0" t="0"/>
            <wp:docPr descr="Рис. 5: пример работы программы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пример работы программы</w:t>
      </w:r>
    </w:p>
    <w:p>
      <w:pPr>
        <w:numPr>
          <w:ilvl w:val="0"/>
          <w:numId w:val="1007"/>
        </w:numPr>
        <w:pStyle w:val="Compact"/>
      </w:pPr>
      <w:r>
        <w:t xml:space="preserve">просматриваю дисассимилированный код программы с помощью команды disassemble (рис. 6)</w:t>
      </w:r>
    </w:p>
    <w:p>
      <w:pPr>
        <w:pStyle w:val="CaptionedFigure"/>
      </w:pPr>
      <w:bookmarkStart w:id="45" w:name="fig:006"/>
      <w:r>
        <w:drawing>
          <wp:inline>
            <wp:extent cx="5334000" cy="2383276"/>
            <wp:effectExtent b="0" l="0" r="0" t="0"/>
            <wp:docPr descr="Рис. 6: просмотр дисассимилированного кода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просмотр дисассимилированного кода</w:t>
      </w:r>
    </w:p>
    <w:p>
      <w:pPr>
        <w:numPr>
          <w:ilvl w:val="0"/>
          <w:numId w:val="1008"/>
        </w:numPr>
        <w:pStyle w:val="Compact"/>
      </w:pPr>
      <w:r>
        <w:t xml:space="preserve">переключаюсь на отображение команд с Intel’овским синтаксисом, введя команду set disassembly-flavor intel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). после смены интерфейса команды отображаются с привычным intel’ловским синтаксисом</w:t>
      </w:r>
      <w:r>
        <w:t xml:space="preserve"> </w:t>
      </w:r>
      <w:bookmarkStart w:id="49" w:name="fig:007"/>
      <w:r>
        <w:drawing>
          <wp:inline>
            <wp:extent cx="5334000" cy="2533447"/>
            <wp:effectExtent b="0" l="0" r="0" t="0"/>
            <wp:docPr descr="отображение команд с Intel’овским синтаксисом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3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59" w:name="добавление-точек-останов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Добавление точек останова</w:t>
      </w:r>
    </w:p>
    <w:p>
      <w:pPr>
        <w:numPr>
          <w:ilvl w:val="0"/>
          <w:numId w:val="1009"/>
        </w:numPr>
        <w:pStyle w:val="Compact"/>
      </w:pPr>
      <w:r>
        <w:t xml:space="preserve">проверяю была ли установлена точка останова с помощью команды info breakpoints (рис. 7)</w:t>
      </w:r>
    </w:p>
    <w:p>
      <w:pPr>
        <w:pStyle w:val="CaptionedFigure"/>
      </w:pPr>
      <w:bookmarkStart w:id="54" w:name="fig:008"/>
      <w:r>
        <w:drawing>
          <wp:inline>
            <wp:extent cx="5334000" cy="680230"/>
            <wp:effectExtent b="0" l="0" r="0" t="0"/>
            <wp:docPr descr="Рис. 7: проверка точки останова" title="" id="52" name="Picture"/>
            <a:graphic>
              <a:graphicData uri="http://schemas.openxmlformats.org/drawingml/2006/picture">
                <pic:pic>
                  <pic:nvPicPr>
                    <pic:cNvPr descr="image/pic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проверка точки останова</w:t>
      </w:r>
    </w:p>
    <w:p>
      <w:pPr>
        <w:numPr>
          <w:ilvl w:val="0"/>
          <w:numId w:val="1010"/>
        </w:numPr>
      </w:pPr>
      <w:r>
        <w:t xml:space="preserve">устанавливаю ещё одну точку останова по адресу инструкции с помощью команды break *</w:t>
      </w:r>
    </w:p>
    <w:p>
      <w:pPr>
        <w:numPr>
          <w:ilvl w:val="0"/>
          <w:numId w:val="1010"/>
        </w:numPr>
      </w:pPr>
      <w:r>
        <w:t xml:space="preserve">просматриваю информацию о всех установленных точках останова (рис. 8)</w:t>
      </w:r>
    </w:p>
    <w:p>
      <w:pPr>
        <w:pStyle w:val="CaptionedFigure"/>
      </w:pPr>
      <w:bookmarkStart w:id="58" w:name="fig:009"/>
      <w:r>
        <w:drawing>
          <wp:inline>
            <wp:extent cx="5334000" cy="662392"/>
            <wp:effectExtent b="0" l="0" r="0" t="0"/>
            <wp:docPr descr="Рис. 8: информация о всех установленных точках" title="" id="56" name="Picture"/>
            <a:graphic>
              <a:graphicData uri="http://schemas.openxmlformats.org/drawingml/2006/picture">
                <pic:pic>
                  <pic:nvPicPr>
                    <pic:cNvPr descr="image/pic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8: информация о всех установленных точках</w:t>
      </w:r>
    </w:p>
    <w:bookmarkEnd w:id="59"/>
    <w:bookmarkStart w:id="84" w:name="работа-с-данными-программы-в-gdb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Работа с данными программы в GDB</w:t>
      </w:r>
    </w:p>
    <w:p>
      <w:pPr>
        <w:numPr>
          <w:ilvl w:val="0"/>
          <w:numId w:val="1011"/>
        </w:numPr>
      </w:pPr>
      <w:r>
        <w:t xml:space="preserve">выполняю 5 инструкций с помощью команды stepi ,,,</w:t>
      </w:r>
    </w:p>
    <w:p>
      <w:pPr>
        <w:numPr>
          <w:ilvl w:val="0"/>
          <w:numId w:val="1011"/>
        </w:numPr>
      </w:pPr>
      <w:r>
        <w:t xml:space="preserve">просматриваю значение переменной msg1 по имени (рис. 9)</w:t>
      </w:r>
    </w:p>
    <w:p>
      <w:pPr>
        <w:pStyle w:val="CaptionedFigure"/>
      </w:pPr>
      <w:bookmarkStart w:id="63" w:name="fig:010"/>
      <w:r>
        <w:drawing>
          <wp:inline>
            <wp:extent cx="5334000" cy="354437"/>
            <wp:effectExtent b="0" l="0" r="0" t="0"/>
            <wp:docPr descr="Рис. 9: значение переменной msg1" title="" id="61" name="Picture"/>
            <a:graphic>
              <a:graphicData uri="http://schemas.openxmlformats.org/drawingml/2006/picture">
                <pic:pic>
                  <pic:nvPicPr>
                    <pic:cNvPr descr="image/pic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9: значение переменной msg1</w:t>
      </w:r>
    </w:p>
    <w:p>
      <w:pPr>
        <w:numPr>
          <w:ilvl w:val="0"/>
          <w:numId w:val="1012"/>
        </w:numPr>
        <w:pStyle w:val="Compact"/>
      </w:pPr>
      <w:r>
        <w:t xml:space="preserve">просматриваю значение переменной msg2 по адресу (рис. 10)</w:t>
      </w:r>
    </w:p>
    <w:p>
      <w:pPr>
        <w:pStyle w:val="CaptionedFigure"/>
      </w:pPr>
      <w:bookmarkStart w:id="67" w:name="fig:011"/>
      <w:r>
        <w:drawing>
          <wp:inline>
            <wp:extent cx="5334000" cy="354437"/>
            <wp:effectExtent b="0" l="0" r="0" t="0"/>
            <wp:docPr descr="Рис. 10: значение переменной msg2" title="" id="65" name="Picture"/>
            <a:graphic>
              <a:graphicData uri="http://schemas.openxmlformats.org/drawingml/2006/picture">
                <pic:pic>
                  <pic:nvPicPr>
                    <pic:cNvPr descr="image/pic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10: значение переменной msg2</w:t>
      </w:r>
    </w:p>
    <w:p>
      <w:pPr>
        <w:numPr>
          <w:ilvl w:val="0"/>
          <w:numId w:val="1013"/>
        </w:numPr>
      </w:pPr>
      <w:r>
        <w:t xml:space="preserve">просматриваю инструкцию mov ecx,msg2 которая записывает в регистр ecx адрес перемененной msg2</w:t>
      </w:r>
    </w:p>
    <w:p>
      <w:pPr>
        <w:numPr>
          <w:ilvl w:val="0"/>
          <w:numId w:val="1013"/>
        </w:numPr>
      </w:pPr>
      <w:r>
        <w:t xml:space="preserve">изменяю первый символ переменной msg1 (рис. 11)</w:t>
      </w:r>
    </w:p>
    <w:p>
      <w:pPr>
        <w:pStyle w:val="CaptionedFigure"/>
      </w:pPr>
      <w:bookmarkStart w:id="71" w:name="fig:012"/>
      <w:r>
        <w:drawing>
          <wp:inline>
            <wp:extent cx="4775200" cy="787400"/>
            <wp:effectExtent b="0" l="0" r="0" t="0"/>
            <wp:docPr descr="Рис. 11: изменение первого символа переменной msg1" title="" id="69" name="Picture"/>
            <a:graphic>
              <a:graphicData uri="http://schemas.openxmlformats.org/drawingml/2006/picture">
                <pic:pic>
                  <pic:nvPicPr>
                    <pic:cNvPr descr="image/pic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изменение первого символа переменной msg1</w:t>
      </w:r>
    </w:p>
    <w:p>
      <w:pPr>
        <w:numPr>
          <w:ilvl w:val="0"/>
          <w:numId w:val="1014"/>
        </w:numPr>
        <w:pStyle w:val="Compact"/>
      </w:pPr>
      <w:r>
        <w:t xml:space="preserve">заменяю символ во второй переменной msg2 с помощью команды set {char}0x804a009=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(рис. 12)</w:t>
      </w:r>
    </w:p>
    <w:p>
      <w:pPr>
        <w:pStyle w:val="CaptionedFigure"/>
      </w:pPr>
      <w:bookmarkStart w:id="75" w:name="fig:013"/>
      <w:r>
        <w:drawing>
          <wp:inline>
            <wp:extent cx="4902200" cy="546100"/>
            <wp:effectExtent b="0" l="0" r="0" t="0"/>
            <wp:docPr descr="Рис. 12: изменение второго символа переменной msg2" title="" id="73" name="Picture"/>
            <a:graphic>
              <a:graphicData uri="http://schemas.openxmlformats.org/drawingml/2006/picture">
                <pic:pic>
                  <pic:nvPicPr>
                    <pic:cNvPr descr="image/pic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12: изменение второго символа переменной msg2</w:t>
      </w:r>
    </w:p>
    <w:p>
      <w:pPr>
        <w:numPr>
          <w:ilvl w:val="0"/>
          <w:numId w:val="1015"/>
        </w:numPr>
        <w:pStyle w:val="Compact"/>
      </w:pPr>
      <w:r>
        <w:t xml:space="preserve">вывожу в различных форматах значение регистра edx (рис. 13).</w:t>
      </w:r>
    </w:p>
    <w:p>
      <w:pPr>
        <w:pStyle w:val="CaptionedFigure"/>
      </w:pPr>
      <w:bookmarkStart w:id="79" w:name="fig:014"/>
      <w:r>
        <w:drawing>
          <wp:inline>
            <wp:extent cx="4724400" cy="1460500"/>
            <wp:effectExtent b="0" l="0" r="0" t="0"/>
            <wp:docPr descr="Рис. 13: вывод при разных значениях регистра" title="" id="77" name="Picture"/>
            <a:graphic>
              <a:graphicData uri="http://schemas.openxmlformats.org/drawingml/2006/picture">
                <pic:pic>
                  <pic:nvPicPr>
                    <pic:cNvPr descr="image/pic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13: вывод при разных значениях регистра</w:t>
      </w:r>
    </w:p>
    <w:p>
      <w:pPr>
        <w:numPr>
          <w:ilvl w:val="0"/>
          <w:numId w:val="1016"/>
        </w:numPr>
        <w:pStyle w:val="Compact"/>
      </w:pPr>
      <w:r>
        <w:t xml:space="preserve">завершаю выполнение программы с помощью команды continue и выхожу из GDB с помощью команды</w:t>
      </w:r>
      <w:r>
        <w:t xml:space="preserve"> </w:t>
      </w:r>
      <w:r>
        <w:t xml:space="preserve">quit (рис. 14).</w:t>
      </w:r>
    </w:p>
    <w:p>
      <w:pPr>
        <w:pStyle w:val="CaptionedFigure"/>
      </w:pPr>
      <w:bookmarkStart w:id="83" w:name="fig:015"/>
      <w:r>
        <w:drawing>
          <wp:inline>
            <wp:extent cx="5334000" cy="5237674"/>
            <wp:effectExtent b="0" l="0" r="0" t="0"/>
            <wp:docPr descr="Рис. 14: вид после завершения" title="" id="81" name="Picture"/>
            <a:graphic>
              <a:graphicData uri="http://schemas.openxmlformats.org/drawingml/2006/picture">
                <pic:pic>
                  <pic:nvPicPr>
                    <pic:cNvPr descr="image/pic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14: вид после завершения</w:t>
      </w:r>
    </w:p>
    <w:bookmarkEnd w:id="84"/>
    <w:bookmarkStart w:id="97" w:name="X34484a9d02dddcc072527afae661c9b27116987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Обработка аргументов командной строки в GDB</w:t>
      </w:r>
    </w:p>
    <w:p>
      <w:pPr>
        <w:numPr>
          <w:ilvl w:val="0"/>
          <w:numId w:val="1017"/>
        </w:numPr>
        <w:pStyle w:val="Compact"/>
      </w:pPr>
      <w:r>
        <w:t xml:space="preserve">копирую файл lab9-2.asm, создаю исполняемый файл, загружаю файл в отладчик, указав аргументы (рис. 15).</w:t>
      </w:r>
    </w:p>
    <w:p>
      <w:pPr>
        <w:pStyle w:val="CaptionedFigure"/>
      </w:pPr>
      <w:bookmarkStart w:id="88" w:name="fig:016"/>
      <w:r>
        <w:drawing>
          <wp:inline>
            <wp:extent cx="5334000" cy="2908826"/>
            <wp:effectExtent b="0" l="0" r="0" t="0"/>
            <wp:docPr descr="Рис. 15: копирование, создание исполняемого файла. загрузка файла в отладчик с указанием аргументов" title="" id="86" name="Picture"/>
            <a:graphic>
              <a:graphicData uri="http://schemas.openxmlformats.org/drawingml/2006/picture">
                <pic:pic>
                  <pic:nvPicPr>
                    <pic:cNvPr descr="image/pic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15: копирование, создание исполняемого файла. загрузка файла в отладчик с указанием аргументов</w:t>
      </w:r>
    </w:p>
    <w:p>
      <w:pPr>
        <w:numPr>
          <w:ilvl w:val="0"/>
          <w:numId w:val="1018"/>
        </w:numPr>
        <w:pStyle w:val="Compact"/>
      </w:pPr>
      <w:r>
        <w:t xml:space="preserve">устанавливаю точку останова перед первой инструкцией и запуска её (рис. 16).</w:t>
      </w:r>
    </w:p>
    <w:p>
      <w:pPr>
        <w:pStyle w:val="CaptionedFigure"/>
      </w:pPr>
      <w:bookmarkStart w:id="92" w:name="fig:017"/>
      <w:r>
        <w:drawing>
          <wp:inline>
            <wp:extent cx="5334000" cy="1902656"/>
            <wp:effectExtent b="0" l="0" r="0" t="0"/>
            <wp:docPr descr="Рис. 16: пример работы" title="" id="90" name="Picture"/>
            <a:graphic>
              <a:graphicData uri="http://schemas.openxmlformats.org/drawingml/2006/picture">
                <pic:pic>
                  <pic:nvPicPr>
                    <pic:cNvPr descr="image/pic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16: пример работы</w:t>
      </w:r>
    </w:p>
    <w:p>
      <w:pPr>
        <w:numPr>
          <w:ilvl w:val="0"/>
          <w:numId w:val="1019"/>
        </w:numPr>
        <w:pStyle w:val="Compact"/>
      </w:pPr>
      <w:r>
        <w:t xml:space="preserve">смотрю позиции стека по их адресам. шаг изменения равен 4 т.к размер переменной 4 байта (рис. 17).</w:t>
      </w:r>
    </w:p>
    <w:p>
      <w:pPr>
        <w:pStyle w:val="CaptionedFigure"/>
      </w:pPr>
      <w:bookmarkStart w:id="96" w:name="fig:018"/>
      <w:r>
        <w:drawing>
          <wp:inline>
            <wp:extent cx="5334000" cy="2848356"/>
            <wp:effectExtent b="0" l="0" r="0" t="0"/>
            <wp:docPr descr="Рис. 17: позиции стека" title="" id="94" name="Picture"/>
            <a:graphic>
              <a:graphicData uri="http://schemas.openxmlformats.org/drawingml/2006/picture">
                <pic:pic>
                  <pic:nvPicPr>
                    <pic:cNvPr descr="image/pic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17: позиции стека</w:t>
      </w:r>
    </w:p>
    <w:bookmarkEnd w:id="97"/>
    <w:bookmarkStart w:id="11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20"/>
        </w:numPr>
        <w:pStyle w:val="Compact"/>
      </w:pPr>
      <w:r>
        <w:t xml:space="preserve">преобразование программы из лабораторной №9 с реализацией вычисления функции как подпрограммы (рис.</w:t>
      </w:r>
      <w:r>
        <w:t xml:space="preserve"> </w:t>
      </w:r>
      <w:r>
        <w:rPr>
          <w:bCs/>
          <w:b/>
        </w:rPr>
        <w:t xml:space="preserve">¿fig:019?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¿fig:020?</w:t>
      </w:r>
      <w:r>
        <w:t xml:space="preserve">) (работаю в файле samr-1)</w:t>
      </w:r>
    </w:p>
    <w:p>
      <w:pPr>
        <w:pStyle w:val="FirstParagraph"/>
      </w:pPr>
      <w:bookmarkStart w:id="101" w:name="fig:019"/>
      <w:r>
        <w:drawing>
          <wp:inline>
            <wp:extent cx="5334000" cy="9255394"/>
            <wp:effectExtent b="0" l="0" r="0" t="0"/>
            <wp:docPr descr="код программы" title="" id="99" name="Picture"/>
            <a:graphic>
              <a:graphicData uri="http://schemas.openxmlformats.org/drawingml/2006/picture">
                <pic:pic>
                  <pic:nvPicPr>
                    <pic:cNvPr descr="image/pic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5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  <w:r>
        <w:t xml:space="preserve"> </w:t>
      </w:r>
      <w:bookmarkStart w:id="105" w:name="fig:020"/>
      <w:r>
        <w:drawing>
          <wp:inline>
            <wp:extent cx="5334000" cy="636245"/>
            <wp:effectExtent b="0" l="0" r="0" t="0"/>
            <wp:docPr descr="пример работы программы" title="" id="103" name="Picture"/>
            <a:graphic>
              <a:graphicData uri="http://schemas.openxmlformats.org/drawingml/2006/picture">
                <pic:pic>
                  <pic:nvPicPr>
                    <pic:cNvPr descr="image/pic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numPr>
          <w:ilvl w:val="0"/>
          <w:numId w:val="1021"/>
        </w:numPr>
        <w:pStyle w:val="Compact"/>
      </w:pPr>
      <w:r>
        <w:t xml:space="preserve">создаю файл samr-2, ввожу текст программы листинга, открываю откладчик, отлаживаю код (рис.</w:t>
      </w:r>
      <w:r>
        <w:t xml:space="preserve"> </w:t>
      </w:r>
      <w:r>
        <w:rPr>
          <w:bCs/>
          <w:b/>
        </w:rPr>
        <w:t xml:space="preserve">¿fig:021?</w:t>
      </w:r>
      <w:r>
        <w:t xml:space="preserve">). в коде регистр edi копирует данные из еbx, а то время как копировать должен из eax, 5 должно прибавляться к eax, а также регистры ebx и eax перепутаны местами. (рис.</w:t>
      </w:r>
      <w:r>
        <w:t xml:space="preserve"> </w:t>
      </w:r>
      <w:r>
        <w:rPr>
          <w:bCs/>
          <w:b/>
        </w:rPr>
        <w:t xml:space="preserve">¿fig:022?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¿fig:023?</w:t>
      </w:r>
      <w:r>
        <w:t xml:space="preserve">)</w:t>
      </w:r>
    </w:p>
    <w:p>
      <w:pPr>
        <w:pStyle w:val="FirstParagraph"/>
      </w:pPr>
      <w:bookmarkStart w:id="109" w:name="fig:021"/>
      <w:r>
        <w:drawing>
          <wp:inline>
            <wp:extent cx="5334000" cy="4176676"/>
            <wp:effectExtent b="0" l="0" r="0" t="0"/>
            <wp:docPr descr="процесс отладки кода" title="" id="107" name="Picture"/>
            <a:graphic>
              <a:graphicData uri="http://schemas.openxmlformats.org/drawingml/2006/picture">
                <pic:pic>
                  <pic:nvPicPr>
                    <pic:cNvPr descr="image/pic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6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  <w:r>
        <w:t xml:space="preserve"> </w:t>
      </w:r>
      <w:bookmarkStart w:id="113" w:name="fig:022"/>
      <w:r>
        <w:drawing>
          <wp:inline>
            <wp:extent cx="5334000" cy="4263932"/>
            <wp:effectExtent b="0" l="0" r="0" t="0"/>
            <wp:docPr descr="отлаженный код" title="" id="111" name="Picture"/>
            <a:graphic>
              <a:graphicData uri="http://schemas.openxmlformats.org/drawingml/2006/picture">
                <pic:pic>
                  <pic:nvPicPr>
                    <pic:cNvPr descr="image/pic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  <w:r>
        <w:t xml:space="preserve"> </w:t>
      </w:r>
      <w:bookmarkStart w:id="117" w:name="fig:023"/>
      <w:r>
        <w:drawing>
          <wp:inline>
            <wp:extent cx="5334000" cy="811161"/>
            <wp:effectExtent b="0" l="0" r="0" t="0"/>
            <wp:docPr descr="пример работы отлаженного кода" title="" id="115" name="Picture"/>
            <a:graphic>
              <a:graphicData uri="http://schemas.openxmlformats.org/drawingml/2006/picture">
                <pic:pic>
                  <pic:nvPicPr>
                    <pic:cNvPr descr="image/pic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bookmarkEnd w:id="118"/>
    <w:bookmarkEnd w:id="119"/>
    <w:bookmarkStart w:id="12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научилась писать программы с использованием подпрограмм, а также попробовала переписать старую программу с использованием новой подпрограммы. узнала как пользоваться отладчиком и что такое отладка</w:t>
      </w:r>
    </w:p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5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6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7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8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9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8" Target="media/rId98.png" /><Relationship Type="http://schemas.openxmlformats.org/officeDocument/2006/relationships/image" Id="rId25" Target="media/rId25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Дикач Анна Олеговна</dc:creator>
  <dc:language>ru-RU</dc:language>
  <cp:keywords/>
  <dcterms:created xsi:type="dcterms:W3CDTF">2022-12-17T01:02:05Z</dcterms:created>
  <dcterms:modified xsi:type="dcterms:W3CDTF">2022-12-17T01:02:05Z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№10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