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205" w:rsidRPr="00351847" w:rsidRDefault="00E54324" w:rsidP="00E54324">
      <w:pPr>
        <w:pStyle w:val="a4"/>
        <w:numPr>
          <w:ilvl w:val="0"/>
          <w:numId w:val="1"/>
        </w:numPr>
        <w:rPr>
          <w:rFonts w:ascii="Times New Roman" w:hAnsi="Times New Roman" w:cs="Times New Roman"/>
          <w:color w:val="000000"/>
          <w:shd w:val="clear" w:color="auto" w:fill="FFFFFF"/>
        </w:rPr>
      </w:pPr>
      <w:r w:rsidRPr="00351847">
        <w:rPr>
          <w:rFonts w:ascii="Times New Roman" w:hAnsi="Times New Roman" w:cs="Times New Roman"/>
          <w:color w:val="000000"/>
          <w:shd w:val="clear" w:color="auto" w:fill="FFFFFF"/>
        </w:rPr>
        <w:t>Анализ аналогов</w:t>
      </w:r>
    </w:p>
    <w:tbl>
      <w:tblPr>
        <w:tblStyle w:val="a3"/>
        <w:tblW w:w="0" w:type="auto"/>
        <w:tblLook w:val="04A0" w:firstRow="1" w:lastRow="0" w:firstColumn="1" w:lastColumn="0" w:noHBand="0" w:noVBand="1"/>
      </w:tblPr>
      <w:tblGrid>
        <w:gridCol w:w="1838"/>
        <w:gridCol w:w="1985"/>
        <w:gridCol w:w="2126"/>
        <w:gridCol w:w="3396"/>
      </w:tblGrid>
      <w:tr w:rsidR="00501B97" w:rsidRPr="00351847" w:rsidTr="00E54324">
        <w:tc>
          <w:tcPr>
            <w:tcW w:w="1838" w:type="dxa"/>
          </w:tcPr>
          <w:p w:rsidR="00E54324" w:rsidRPr="00351847" w:rsidRDefault="00E54324">
            <w:pPr>
              <w:rPr>
                <w:rFonts w:ascii="Times New Roman" w:hAnsi="Times New Roman" w:cs="Times New Roman"/>
              </w:rPr>
            </w:pPr>
            <w:r w:rsidRPr="00351847">
              <w:rPr>
                <w:rFonts w:ascii="Times New Roman" w:hAnsi="Times New Roman" w:cs="Times New Roman"/>
              </w:rPr>
              <w:t>Программа</w:t>
            </w:r>
          </w:p>
        </w:tc>
        <w:tc>
          <w:tcPr>
            <w:tcW w:w="1985" w:type="dxa"/>
          </w:tcPr>
          <w:p w:rsidR="00E54324" w:rsidRPr="00351847" w:rsidRDefault="00E54324">
            <w:pPr>
              <w:rPr>
                <w:rFonts w:ascii="Times New Roman" w:hAnsi="Times New Roman" w:cs="Times New Roman"/>
              </w:rPr>
            </w:pPr>
            <w:r w:rsidRPr="00351847">
              <w:rPr>
                <w:rFonts w:ascii="Times New Roman" w:hAnsi="Times New Roman" w:cs="Times New Roman"/>
              </w:rPr>
              <w:t>Точность</w:t>
            </w:r>
            <w:r w:rsidR="00327E60">
              <w:rPr>
                <w:rFonts w:ascii="Times New Roman" w:hAnsi="Times New Roman" w:cs="Times New Roman"/>
              </w:rPr>
              <w:t>(из 5)</w:t>
            </w:r>
          </w:p>
        </w:tc>
        <w:tc>
          <w:tcPr>
            <w:tcW w:w="2126" w:type="dxa"/>
          </w:tcPr>
          <w:p w:rsidR="00E54324" w:rsidRPr="00351847" w:rsidRDefault="00E54324">
            <w:pPr>
              <w:rPr>
                <w:rFonts w:ascii="Times New Roman" w:hAnsi="Times New Roman" w:cs="Times New Roman"/>
              </w:rPr>
            </w:pPr>
            <w:r w:rsidRPr="00351847">
              <w:rPr>
                <w:rFonts w:ascii="Times New Roman" w:hAnsi="Times New Roman" w:cs="Times New Roman"/>
              </w:rPr>
              <w:t>Дизайн</w:t>
            </w:r>
            <w:r w:rsidR="00501B97">
              <w:rPr>
                <w:rFonts w:ascii="Times New Roman" w:hAnsi="Times New Roman" w:cs="Times New Roman"/>
              </w:rPr>
              <w:t xml:space="preserve"> (из 10)</w:t>
            </w:r>
          </w:p>
        </w:tc>
        <w:tc>
          <w:tcPr>
            <w:tcW w:w="3396" w:type="dxa"/>
          </w:tcPr>
          <w:p w:rsidR="00E54324" w:rsidRPr="00351847" w:rsidRDefault="00E54324">
            <w:pPr>
              <w:rPr>
                <w:rFonts w:ascii="Times New Roman" w:hAnsi="Times New Roman" w:cs="Times New Roman"/>
              </w:rPr>
            </w:pPr>
            <w:r w:rsidRPr="00351847">
              <w:rPr>
                <w:rFonts w:ascii="Times New Roman" w:hAnsi="Times New Roman" w:cs="Times New Roman"/>
              </w:rPr>
              <w:t>Финансовая составляющая</w:t>
            </w:r>
          </w:p>
        </w:tc>
      </w:tr>
      <w:tr w:rsidR="00501B97" w:rsidRPr="00351847" w:rsidTr="00E54324">
        <w:tc>
          <w:tcPr>
            <w:tcW w:w="1838" w:type="dxa"/>
          </w:tcPr>
          <w:p w:rsidR="00E54324" w:rsidRDefault="00327E60">
            <w:pPr>
              <w:rPr>
                <w:rFonts w:ascii="Times New Roman" w:hAnsi="Times New Roman" w:cs="Times New Roman"/>
              </w:rPr>
            </w:pPr>
            <w:r>
              <w:rPr>
                <w:rFonts w:ascii="Times New Roman" w:hAnsi="Times New Roman" w:cs="Times New Roman"/>
              </w:rPr>
              <w:t>«Курсы валют»</w:t>
            </w:r>
          </w:p>
          <w:p w:rsidR="00327E60" w:rsidRPr="00351847" w:rsidRDefault="00327E60">
            <w:pPr>
              <w:rPr>
                <w:rFonts w:ascii="Times New Roman" w:hAnsi="Times New Roman" w:cs="Times New Roman"/>
              </w:rPr>
            </w:pPr>
            <w:r>
              <w:rPr>
                <w:noProof/>
                <w:lang w:eastAsia="ru-RU"/>
              </w:rPr>
              <w:drawing>
                <wp:inline distT="0" distB="0" distL="0" distR="0" wp14:anchorId="40A2BB30" wp14:editId="7F480C44">
                  <wp:extent cx="647700" cy="259992"/>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283" cy="277085"/>
                          </a:xfrm>
                          <a:prstGeom prst="rect">
                            <a:avLst/>
                          </a:prstGeom>
                        </pic:spPr>
                      </pic:pic>
                    </a:graphicData>
                  </a:graphic>
                </wp:inline>
              </w:drawing>
            </w:r>
          </w:p>
        </w:tc>
        <w:tc>
          <w:tcPr>
            <w:tcW w:w="1985" w:type="dxa"/>
          </w:tcPr>
          <w:p w:rsidR="00E54324" w:rsidRPr="00351847" w:rsidRDefault="00327E60">
            <w:pPr>
              <w:rPr>
                <w:rFonts w:ascii="Times New Roman" w:hAnsi="Times New Roman" w:cs="Times New Roman"/>
              </w:rPr>
            </w:pPr>
            <w:r>
              <w:rPr>
                <w:rFonts w:ascii="Times New Roman" w:hAnsi="Times New Roman" w:cs="Times New Roman"/>
              </w:rPr>
              <w:t>4,4</w:t>
            </w:r>
            <w:r>
              <w:rPr>
                <w:noProof/>
                <w:lang w:eastAsia="ru-RU"/>
              </w:rPr>
              <w:drawing>
                <wp:inline distT="0" distB="0" distL="0" distR="0" wp14:anchorId="35AC2D29" wp14:editId="53A89C1D">
                  <wp:extent cx="904875" cy="2308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5143" cy="243692"/>
                          </a:xfrm>
                          <a:prstGeom prst="rect">
                            <a:avLst/>
                          </a:prstGeom>
                        </pic:spPr>
                      </pic:pic>
                    </a:graphicData>
                  </a:graphic>
                </wp:inline>
              </w:drawing>
            </w:r>
          </w:p>
        </w:tc>
        <w:tc>
          <w:tcPr>
            <w:tcW w:w="2126" w:type="dxa"/>
          </w:tcPr>
          <w:p w:rsidR="00E54324" w:rsidRPr="00351847" w:rsidRDefault="00501B97">
            <w:pPr>
              <w:rPr>
                <w:rFonts w:ascii="Times New Roman" w:hAnsi="Times New Roman" w:cs="Times New Roman"/>
              </w:rPr>
            </w:pPr>
            <w:r>
              <w:rPr>
                <w:rFonts w:ascii="Times New Roman" w:hAnsi="Times New Roman" w:cs="Times New Roman"/>
              </w:rPr>
              <w:t>6</w:t>
            </w:r>
          </w:p>
        </w:tc>
        <w:tc>
          <w:tcPr>
            <w:tcW w:w="3396" w:type="dxa"/>
          </w:tcPr>
          <w:p w:rsidR="00327E60" w:rsidRDefault="00501B97">
            <w:pPr>
              <w:rPr>
                <w:rFonts w:ascii="Times New Roman" w:hAnsi="Times New Roman" w:cs="Times New Roman"/>
              </w:rPr>
            </w:pPr>
            <w:r>
              <w:rPr>
                <w:rFonts w:ascii="Times New Roman" w:hAnsi="Times New Roman" w:cs="Times New Roman"/>
              </w:rPr>
              <w:t>Пробная версия бесплатная, доп. функции в отдельном платном приложении</w:t>
            </w:r>
          </w:p>
          <w:p w:rsidR="00E54324" w:rsidRPr="00351847" w:rsidRDefault="00327E60">
            <w:pPr>
              <w:rPr>
                <w:rFonts w:ascii="Times New Roman" w:hAnsi="Times New Roman" w:cs="Times New Roman"/>
              </w:rPr>
            </w:pPr>
            <w:r>
              <w:rPr>
                <w:noProof/>
                <w:lang w:eastAsia="ru-RU"/>
              </w:rPr>
              <w:drawing>
                <wp:inline distT="0" distB="0" distL="0" distR="0" wp14:anchorId="38A12CE8" wp14:editId="529D79AC">
                  <wp:extent cx="1828800" cy="8801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 cy="880110"/>
                          </a:xfrm>
                          <a:prstGeom prst="rect">
                            <a:avLst/>
                          </a:prstGeom>
                        </pic:spPr>
                      </pic:pic>
                    </a:graphicData>
                  </a:graphic>
                </wp:inline>
              </w:drawing>
            </w:r>
          </w:p>
        </w:tc>
      </w:tr>
      <w:tr w:rsidR="00501B97" w:rsidRPr="00351847" w:rsidTr="00E54324">
        <w:tc>
          <w:tcPr>
            <w:tcW w:w="1838" w:type="dxa"/>
          </w:tcPr>
          <w:p w:rsidR="00E54324" w:rsidRPr="00351847" w:rsidRDefault="00501B97">
            <w:pPr>
              <w:rPr>
                <w:rFonts w:ascii="Times New Roman" w:hAnsi="Times New Roman" w:cs="Times New Roman"/>
              </w:rPr>
            </w:pPr>
            <w:r>
              <w:rPr>
                <w:rFonts w:ascii="Times New Roman" w:hAnsi="Times New Roman" w:cs="Times New Roman"/>
              </w:rPr>
              <w:t>«Курс валют»</w:t>
            </w:r>
            <w:r>
              <w:rPr>
                <w:noProof/>
                <w:lang w:eastAsia="ru-RU"/>
              </w:rPr>
              <w:t xml:space="preserve"> </w:t>
            </w:r>
            <w:r>
              <w:rPr>
                <w:noProof/>
                <w:lang w:eastAsia="ru-RU"/>
              </w:rPr>
              <w:drawing>
                <wp:inline distT="0" distB="0" distL="0" distR="0" wp14:anchorId="745366AB" wp14:editId="7428D426">
                  <wp:extent cx="714375" cy="3247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0317" cy="327417"/>
                          </a:xfrm>
                          <a:prstGeom prst="rect">
                            <a:avLst/>
                          </a:prstGeom>
                        </pic:spPr>
                      </pic:pic>
                    </a:graphicData>
                  </a:graphic>
                </wp:inline>
              </w:drawing>
            </w:r>
          </w:p>
        </w:tc>
        <w:tc>
          <w:tcPr>
            <w:tcW w:w="1985" w:type="dxa"/>
          </w:tcPr>
          <w:p w:rsidR="00E54324" w:rsidRPr="00351847" w:rsidRDefault="00501B97">
            <w:pPr>
              <w:rPr>
                <w:rFonts w:ascii="Times New Roman" w:hAnsi="Times New Roman" w:cs="Times New Roman"/>
              </w:rPr>
            </w:pPr>
            <w:r>
              <w:rPr>
                <w:rFonts w:ascii="Times New Roman" w:hAnsi="Times New Roman" w:cs="Times New Roman"/>
              </w:rPr>
              <w:t>4,6</w:t>
            </w:r>
            <w:r>
              <w:rPr>
                <w:noProof/>
                <w:lang w:eastAsia="ru-RU"/>
              </w:rPr>
              <w:drawing>
                <wp:inline distT="0" distB="0" distL="0" distR="0" wp14:anchorId="54B54293" wp14:editId="351BD7BE">
                  <wp:extent cx="828675" cy="251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9732" cy="273283"/>
                          </a:xfrm>
                          <a:prstGeom prst="rect">
                            <a:avLst/>
                          </a:prstGeom>
                        </pic:spPr>
                      </pic:pic>
                    </a:graphicData>
                  </a:graphic>
                </wp:inline>
              </w:drawing>
            </w:r>
          </w:p>
        </w:tc>
        <w:tc>
          <w:tcPr>
            <w:tcW w:w="2126" w:type="dxa"/>
          </w:tcPr>
          <w:p w:rsidR="00E54324" w:rsidRPr="00351847" w:rsidRDefault="00501B97">
            <w:pPr>
              <w:rPr>
                <w:rFonts w:ascii="Times New Roman" w:hAnsi="Times New Roman" w:cs="Times New Roman"/>
              </w:rPr>
            </w:pPr>
            <w:r>
              <w:rPr>
                <w:rFonts w:ascii="Times New Roman" w:hAnsi="Times New Roman" w:cs="Times New Roman"/>
              </w:rPr>
              <w:t>7</w:t>
            </w:r>
          </w:p>
        </w:tc>
        <w:tc>
          <w:tcPr>
            <w:tcW w:w="3396" w:type="dxa"/>
          </w:tcPr>
          <w:p w:rsidR="00501B97" w:rsidRDefault="00501B97">
            <w:pPr>
              <w:rPr>
                <w:rFonts w:ascii="Times New Roman" w:hAnsi="Times New Roman" w:cs="Times New Roman"/>
              </w:rPr>
            </w:pPr>
            <w:r>
              <w:rPr>
                <w:rFonts w:ascii="Times New Roman" w:hAnsi="Times New Roman" w:cs="Times New Roman"/>
              </w:rPr>
              <w:t>Приложение-</w:t>
            </w:r>
            <w:proofErr w:type="spellStart"/>
            <w:r>
              <w:rPr>
                <w:rFonts w:ascii="Times New Roman" w:hAnsi="Times New Roman" w:cs="Times New Roman"/>
              </w:rPr>
              <w:t>виджет</w:t>
            </w:r>
            <w:proofErr w:type="spellEnd"/>
            <w:r>
              <w:rPr>
                <w:rFonts w:ascii="Times New Roman" w:hAnsi="Times New Roman" w:cs="Times New Roman"/>
              </w:rPr>
              <w:t>, бесплатное</w:t>
            </w:r>
          </w:p>
          <w:p w:rsidR="00E54324" w:rsidRPr="00351847" w:rsidRDefault="00501B97">
            <w:pPr>
              <w:rPr>
                <w:rFonts w:ascii="Times New Roman" w:hAnsi="Times New Roman" w:cs="Times New Roman"/>
              </w:rPr>
            </w:pPr>
            <w:r>
              <w:rPr>
                <w:noProof/>
                <w:lang w:eastAsia="ru-RU"/>
              </w:rPr>
              <w:drawing>
                <wp:inline distT="0" distB="0" distL="0" distR="0" wp14:anchorId="56C81B7A" wp14:editId="1B0CC5F4">
                  <wp:extent cx="1628775" cy="742793"/>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9100" cy="752062"/>
                          </a:xfrm>
                          <a:prstGeom prst="rect">
                            <a:avLst/>
                          </a:prstGeom>
                        </pic:spPr>
                      </pic:pic>
                    </a:graphicData>
                  </a:graphic>
                </wp:inline>
              </w:drawing>
            </w:r>
          </w:p>
        </w:tc>
      </w:tr>
      <w:tr w:rsidR="00501B97" w:rsidRPr="00351847" w:rsidTr="00E54324">
        <w:tc>
          <w:tcPr>
            <w:tcW w:w="1838" w:type="dxa"/>
          </w:tcPr>
          <w:p w:rsidR="00E54324" w:rsidRPr="00351847" w:rsidRDefault="00501B97">
            <w:pPr>
              <w:rPr>
                <w:rFonts w:ascii="Times New Roman" w:hAnsi="Times New Roman" w:cs="Times New Roman"/>
              </w:rPr>
            </w:pPr>
            <w:r>
              <w:rPr>
                <w:rFonts w:ascii="Times New Roman" w:hAnsi="Times New Roman" w:cs="Times New Roman"/>
              </w:rPr>
              <w:t>«Курсы валют»</w:t>
            </w:r>
            <w:r>
              <w:rPr>
                <w:noProof/>
                <w:lang w:eastAsia="ru-RU"/>
              </w:rPr>
              <w:t xml:space="preserve"> </w:t>
            </w:r>
            <w:r>
              <w:rPr>
                <w:noProof/>
                <w:lang w:eastAsia="ru-RU"/>
              </w:rPr>
              <w:drawing>
                <wp:inline distT="0" distB="0" distL="0" distR="0" wp14:anchorId="456F6207" wp14:editId="25FE4D63">
                  <wp:extent cx="800100" cy="281172"/>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7558" cy="287307"/>
                          </a:xfrm>
                          <a:prstGeom prst="rect">
                            <a:avLst/>
                          </a:prstGeom>
                        </pic:spPr>
                      </pic:pic>
                    </a:graphicData>
                  </a:graphic>
                </wp:inline>
              </w:drawing>
            </w:r>
          </w:p>
        </w:tc>
        <w:tc>
          <w:tcPr>
            <w:tcW w:w="1985" w:type="dxa"/>
          </w:tcPr>
          <w:p w:rsidR="00E54324" w:rsidRPr="00351847" w:rsidRDefault="00501B97">
            <w:pPr>
              <w:rPr>
                <w:rFonts w:ascii="Times New Roman" w:hAnsi="Times New Roman" w:cs="Times New Roman"/>
              </w:rPr>
            </w:pPr>
            <w:r>
              <w:rPr>
                <w:rFonts w:ascii="Times New Roman" w:hAnsi="Times New Roman" w:cs="Times New Roman"/>
              </w:rPr>
              <w:t>4,0</w:t>
            </w:r>
            <w:r>
              <w:rPr>
                <w:noProof/>
                <w:lang w:eastAsia="ru-RU"/>
              </w:rPr>
              <w:drawing>
                <wp:inline distT="0" distB="0" distL="0" distR="0" wp14:anchorId="30EEDDFE" wp14:editId="334E4DB7">
                  <wp:extent cx="688975" cy="200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4226" cy="207356"/>
                          </a:xfrm>
                          <a:prstGeom prst="rect">
                            <a:avLst/>
                          </a:prstGeom>
                        </pic:spPr>
                      </pic:pic>
                    </a:graphicData>
                  </a:graphic>
                </wp:inline>
              </w:drawing>
            </w:r>
          </w:p>
        </w:tc>
        <w:tc>
          <w:tcPr>
            <w:tcW w:w="2126" w:type="dxa"/>
          </w:tcPr>
          <w:p w:rsidR="00E54324" w:rsidRPr="00351847" w:rsidRDefault="00501B97">
            <w:pPr>
              <w:rPr>
                <w:rFonts w:ascii="Times New Roman" w:hAnsi="Times New Roman" w:cs="Times New Roman"/>
              </w:rPr>
            </w:pPr>
            <w:r>
              <w:rPr>
                <w:rFonts w:ascii="Times New Roman" w:hAnsi="Times New Roman" w:cs="Times New Roman"/>
              </w:rPr>
              <w:t>5</w:t>
            </w:r>
          </w:p>
        </w:tc>
        <w:tc>
          <w:tcPr>
            <w:tcW w:w="3396" w:type="dxa"/>
          </w:tcPr>
          <w:p w:rsidR="00501B97" w:rsidRDefault="00501B97">
            <w:pPr>
              <w:rPr>
                <w:rFonts w:ascii="Times New Roman" w:hAnsi="Times New Roman" w:cs="Times New Roman"/>
              </w:rPr>
            </w:pPr>
            <w:r>
              <w:rPr>
                <w:rFonts w:ascii="Times New Roman" w:hAnsi="Times New Roman" w:cs="Times New Roman"/>
              </w:rPr>
              <w:t>Бесплатное приложение</w:t>
            </w:r>
          </w:p>
          <w:p w:rsidR="00E54324" w:rsidRPr="00351847" w:rsidRDefault="00501B97">
            <w:pPr>
              <w:rPr>
                <w:rFonts w:ascii="Times New Roman" w:hAnsi="Times New Roman" w:cs="Times New Roman"/>
              </w:rPr>
            </w:pPr>
            <w:r>
              <w:rPr>
                <w:noProof/>
                <w:lang w:eastAsia="ru-RU"/>
              </w:rPr>
              <w:drawing>
                <wp:inline distT="0" distB="0" distL="0" distR="0" wp14:anchorId="3ACEA17A" wp14:editId="6332A880">
                  <wp:extent cx="1531620" cy="742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334" cy="747662"/>
                          </a:xfrm>
                          <a:prstGeom prst="rect">
                            <a:avLst/>
                          </a:prstGeom>
                        </pic:spPr>
                      </pic:pic>
                    </a:graphicData>
                  </a:graphic>
                </wp:inline>
              </w:drawing>
            </w:r>
          </w:p>
        </w:tc>
      </w:tr>
    </w:tbl>
    <w:p w:rsidR="00E54324" w:rsidRPr="00351847" w:rsidRDefault="00E54324">
      <w:pPr>
        <w:rPr>
          <w:rFonts w:ascii="Times New Roman" w:hAnsi="Times New Roman" w:cs="Times New Roman"/>
        </w:rPr>
      </w:pPr>
    </w:p>
    <w:p w:rsidR="00E54324" w:rsidRPr="00351847" w:rsidRDefault="00E54324" w:rsidP="00E54324">
      <w:pPr>
        <w:pStyle w:val="a4"/>
        <w:numPr>
          <w:ilvl w:val="0"/>
          <w:numId w:val="1"/>
        </w:numPr>
        <w:rPr>
          <w:rFonts w:ascii="Times New Roman" w:hAnsi="Times New Roman" w:cs="Times New Roman"/>
          <w:u w:val="single"/>
        </w:rPr>
      </w:pPr>
      <w:r w:rsidRPr="00351847">
        <w:rPr>
          <w:rFonts w:ascii="Times New Roman" w:hAnsi="Times New Roman" w:cs="Times New Roman"/>
          <w:u w:val="single"/>
        </w:rPr>
        <w:t>Методы прогнозирования курса валют</w:t>
      </w:r>
    </w:p>
    <w:p w:rsidR="00E54324" w:rsidRPr="00351847" w:rsidRDefault="0000049B" w:rsidP="0000049B">
      <w:pPr>
        <w:pStyle w:val="a4"/>
        <w:rPr>
          <w:rFonts w:ascii="Times New Roman" w:hAnsi="Times New Roman" w:cs="Times New Roman"/>
          <w:color w:val="000000"/>
          <w:shd w:val="clear" w:color="auto" w:fill="FFFFFF"/>
        </w:rPr>
      </w:pPr>
      <w:r w:rsidRPr="00351847">
        <w:rPr>
          <w:rFonts w:ascii="Times New Roman" w:hAnsi="Times New Roman" w:cs="Times New Roman"/>
          <w:color w:val="000000"/>
          <w:shd w:val="clear" w:color="auto" w:fill="FFFFFF"/>
        </w:rPr>
        <w:t>Для того, чтобы спрогнозировать дальнейшую динамику валютной пары разработано огромное количество методик. Тем не менее, количество не перешло в качество, и получить довольно эффективный прогноз – не самая простая задача. Рассмотрим четыре самых распространенных метода прогноза курсов валютных пар.</w:t>
      </w:r>
    </w:p>
    <w:p w:rsidR="0000049B" w:rsidRPr="00351847" w:rsidRDefault="0000049B" w:rsidP="0000049B">
      <w:pPr>
        <w:pStyle w:val="a4"/>
        <w:rPr>
          <w:rFonts w:ascii="Times New Roman" w:hAnsi="Times New Roman" w:cs="Times New Roman"/>
        </w:rPr>
      </w:pPr>
      <w:r w:rsidRPr="00351847">
        <w:rPr>
          <w:rFonts w:ascii="Times New Roman" w:hAnsi="Times New Roman" w:cs="Times New Roman"/>
          <w:noProof/>
          <w:color w:val="000000"/>
          <w:shd w:val="clear" w:color="auto" w:fill="FFFFFF"/>
          <w:lang w:eastAsia="ru-RU"/>
        </w:rPr>
        <w:drawing>
          <wp:inline distT="0" distB="0" distL="0" distR="0">
            <wp:extent cx="1952625" cy="1419225"/>
            <wp:effectExtent l="0" t="0" r="9525" b="9525"/>
            <wp:docPr id="9" name="Рисунок 9" descr="C:\Users\Женя\Desktop\666\chart-1141833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666\chart-1141833_6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625" cy="1419225"/>
                    </a:xfrm>
                    <a:prstGeom prst="rect">
                      <a:avLst/>
                    </a:prstGeom>
                    <a:noFill/>
                    <a:ln>
                      <a:noFill/>
                    </a:ln>
                  </pic:spPr>
                </pic:pic>
              </a:graphicData>
            </a:graphic>
          </wp:inline>
        </w:drawing>
      </w:r>
    </w:p>
    <w:p w:rsidR="0000049B" w:rsidRPr="00351847" w:rsidRDefault="0000049B" w:rsidP="0000049B">
      <w:pPr>
        <w:pStyle w:val="a4"/>
        <w:numPr>
          <w:ilvl w:val="0"/>
          <w:numId w:val="3"/>
        </w:numPr>
        <w:rPr>
          <w:rFonts w:ascii="Times New Roman" w:hAnsi="Times New Roman" w:cs="Times New Roman"/>
        </w:rPr>
      </w:pPr>
      <w:r w:rsidRPr="00351847">
        <w:rPr>
          <w:rFonts w:ascii="Times New Roman" w:hAnsi="Times New Roman" w:cs="Times New Roman"/>
        </w:rPr>
        <w:t>Теория паритета покупательной способности (ППС)</w:t>
      </w:r>
    </w:p>
    <w:p w:rsidR="0000049B" w:rsidRPr="00351847" w:rsidRDefault="0000049B" w:rsidP="0000049B">
      <w:pPr>
        <w:pStyle w:val="a5"/>
        <w:shd w:val="clear" w:color="auto" w:fill="FFFFFF"/>
        <w:spacing w:before="0" w:beforeAutospacing="0" w:after="225" w:afterAutospacing="0"/>
        <w:ind w:left="1440"/>
        <w:textAlignment w:val="top"/>
        <w:rPr>
          <w:color w:val="000000"/>
          <w:sz w:val="22"/>
          <w:szCs w:val="22"/>
        </w:rPr>
      </w:pPr>
      <w:r w:rsidRPr="00351847">
        <w:rPr>
          <w:color w:val="000000"/>
          <w:sz w:val="22"/>
          <w:szCs w:val="22"/>
        </w:rPr>
        <w:t xml:space="preserve">Паритет покупательной способности (ППС) – возможно, самый популярный метод. Он чаще остальных упоминается в учебниках по экономике. В основе теории ППС лежит принцип «закона одной цены», который утверждает, что стоимость идентичных товаров в разных странах должна быть одинаковой. Например, цена на шкаф в Канаде должна быть аналогичной цене на такой же шкаф в США, принимая в учет обменный курс и без учета транспортных и обменных затрат. То есть, для спекуляции повода быть не должно, чтобы дешево купит в одной стране и продать дороже в другой. </w:t>
      </w:r>
    </w:p>
    <w:p w:rsidR="0000049B" w:rsidRPr="00351847" w:rsidRDefault="0000049B" w:rsidP="0000049B">
      <w:pPr>
        <w:pStyle w:val="a5"/>
        <w:shd w:val="clear" w:color="auto" w:fill="FFFFFF"/>
        <w:spacing w:before="0" w:beforeAutospacing="0" w:after="225" w:afterAutospacing="0"/>
        <w:ind w:left="1440"/>
        <w:textAlignment w:val="top"/>
        <w:rPr>
          <w:color w:val="000000"/>
          <w:sz w:val="22"/>
          <w:szCs w:val="22"/>
        </w:rPr>
      </w:pPr>
      <w:r w:rsidRPr="00351847">
        <w:rPr>
          <w:color w:val="000000"/>
          <w:sz w:val="22"/>
          <w:szCs w:val="22"/>
          <w:shd w:val="clear" w:color="auto" w:fill="FFFFFF"/>
        </w:rPr>
        <w:t xml:space="preserve">Самым распространенным примером использования принципа ППС является индекс «Биг Мака», в основе которого лежит сравнение цены на него в разных странах, и который демонстрирует уровень </w:t>
      </w:r>
      <w:proofErr w:type="spellStart"/>
      <w:r w:rsidRPr="00351847">
        <w:rPr>
          <w:color w:val="000000"/>
          <w:sz w:val="22"/>
          <w:szCs w:val="22"/>
          <w:shd w:val="clear" w:color="auto" w:fill="FFFFFF"/>
        </w:rPr>
        <w:t>заниженности</w:t>
      </w:r>
      <w:proofErr w:type="spellEnd"/>
      <w:r w:rsidRPr="00351847">
        <w:rPr>
          <w:color w:val="000000"/>
          <w:sz w:val="22"/>
          <w:szCs w:val="22"/>
          <w:shd w:val="clear" w:color="auto" w:fill="FFFFFF"/>
        </w:rPr>
        <w:t xml:space="preserve"> и </w:t>
      </w:r>
      <w:proofErr w:type="spellStart"/>
      <w:r w:rsidRPr="00351847">
        <w:rPr>
          <w:color w:val="000000"/>
          <w:sz w:val="22"/>
          <w:szCs w:val="22"/>
          <w:shd w:val="clear" w:color="auto" w:fill="FFFFFF"/>
        </w:rPr>
        <w:t>завышенности</w:t>
      </w:r>
      <w:proofErr w:type="spellEnd"/>
      <w:r w:rsidRPr="00351847">
        <w:rPr>
          <w:color w:val="000000"/>
          <w:sz w:val="22"/>
          <w:szCs w:val="22"/>
          <w:shd w:val="clear" w:color="auto" w:fill="FFFFFF"/>
        </w:rPr>
        <w:t xml:space="preserve"> стоимости валюты.</w:t>
      </w:r>
    </w:p>
    <w:p w:rsidR="00E54324" w:rsidRPr="00351847" w:rsidRDefault="0000049B" w:rsidP="0000049B">
      <w:pPr>
        <w:pStyle w:val="a4"/>
        <w:numPr>
          <w:ilvl w:val="0"/>
          <w:numId w:val="3"/>
        </w:numPr>
        <w:rPr>
          <w:rFonts w:ascii="Times New Roman" w:hAnsi="Times New Roman" w:cs="Times New Roman"/>
        </w:rPr>
      </w:pPr>
      <w:r w:rsidRPr="00351847">
        <w:rPr>
          <w:rFonts w:ascii="Times New Roman" w:hAnsi="Times New Roman" w:cs="Times New Roman"/>
        </w:rPr>
        <w:t>Принцип относительной экономической стабильности</w:t>
      </w:r>
    </w:p>
    <w:p w:rsidR="0000049B" w:rsidRPr="00351847" w:rsidRDefault="0000049B" w:rsidP="0000049B">
      <w:pPr>
        <w:pStyle w:val="a4"/>
        <w:ind w:left="1440"/>
        <w:rPr>
          <w:rFonts w:ascii="Times New Roman" w:hAnsi="Times New Roman" w:cs="Times New Roman"/>
          <w:color w:val="000000"/>
          <w:shd w:val="clear" w:color="auto" w:fill="FFFFFF"/>
        </w:rPr>
      </w:pPr>
      <w:r w:rsidRPr="00351847">
        <w:rPr>
          <w:rFonts w:ascii="Times New Roman" w:hAnsi="Times New Roman" w:cs="Times New Roman"/>
          <w:color w:val="000000"/>
          <w:shd w:val="clear" w:color="auto" w:fill="FFFFFF"/>
        </w:rPr>
        <w:t xml:space="preserve">Методика этого похода описана в самом названии. В качестве основы берутся темпы роста экономики разных стран, которые дают возможность спрогнозировать </w:t>
      </w:r>
      <w:r w:rsidRPr="00351847">
        <w:rPr>
          <w:rFonts w:ascii="Times New Roman" w:hAnsi="Times New Roman" w:cs="Times New Roman"/>
          <w:color w:val="000000"/>
          <w:shd w:val="clear" w:color="auto" w:fill="FFFFFF"/>
        </w:rPr>
        <w:lastRenderedPageBreak/>
        <w:t>динамику обменного курса. Логично предположить, что стабильный экономический рост и здоровый бизнес климат будет привлекать больше иностранных инвестиций. Для инвестирования необходима покупка национальной валюты, что, соответственно, приводит к росту спроса на национальную валюту и ее последующее укрепление. Отличием принципа относительной экономической стабильности от теории ППС является то, что с его помощью невозможно сделать прогноз размера курса валюты. Он дает инвестору лишь общее представление о перспективах усиления или ослабления валюты и силе импульса. Чтобы получить более полную картину, принцип относительной экономической стабильности комбинируется с другими методами прогнозирования.</w:t>
      </w:r>
    </w:p>
    <w:p w:rsidR="0000049B" w:rsidRPr="00351847" w:rsidRDefault="0000049B" w:rsidP="0000049B">
      <w:pPr>
        <w:pStyle w:val="a4"/>
        <w:ind w:left="1440"/>
        <w:rPr>
          <w:rFonts w:ascii="Times New Roman" w:hAnsi="Times New Roman" w:cs="Times New Roman"/>
          <w:color w:val="000000"/>
          <w:shd w:val="clear" w:color="auto" w:fill="FFFFFF"/>
        </w:rPr>
      </w:pPr>
    </w:p>
    <w:p w:rsidR="0000049B" w:rsidRPr="00351847" w:rsidRDefault="0000049B" w:rsidP="0000049B">
      <w:pPr>
        <w:pStyle w:val="a4"/>
        <w:numPr>
          <w:ilvl w:val="0"/>
          <w:numId w:val="3"/>
        </w:numPr>
        <w:rPr>
          <w:rFonts w:ascii="Times New Roman" w:hAnsi="Times New Roman" w:cs="Times New Roman"/>
        </w:rPr>
      </w:pPr>
      <w:r w:rsidRPr="00351847">
        <w:rPr>
          <w:rFonts w:ascii="Times New Roman" w:hAnsi="Times New Roman" w:cs="Times New Roman"/>
        </w:rPr>
        <w:t>Построение эконометрической модели</w:t>
      </w:r>
    </w:p>
    <w:p w:rsidR="0000049B" w:rsidRPr="00351847" w:rsidRDefault="0000049B" w:rsidP="0000049B">
      <w:pPr>
        <w:pStyle w:val="a4"/>
        <w:ind w:left="1440"/>
        <w:rPr>
          <w:rFonts w:ascii="Times New Roman" w:hAnsi="Times New Roman" w:cs="Times New Roman"/>
          <w:color w:val="000000"/>
          <w:shd w:val="clear" w:color="auto" w:fill="FFFFFF"/>
        </w:rPr>
      </w:pPr>
      <w:r w:rsidRPr="00351847">
        <w:rPr>
          <w:rFonts w:ascii="Times New Roman" w:hAnsi="Times New Roman" w:cs="Times New Roman"/>
          <w:color w:val="000000"/>
          <w:shd w:val="clear" w:color="auto" w:fill="FFFFFF"/>
        </w:rPr>
        <w:t>Большой популярностью для прогнозирования курсов валют пользуется метод создания модели, описывающие связь курса обмена валюты с факторами, которые, по мнению инвестора или трейдера, влияют ее движение. При составлении эконометрической модели, как правило, применяют величины из экономической теории, однако при расчетах могут использоваться любые другие переменные, оказывающие на обменный курс существенное влияние.</w:t>
      </w:r>
    </w:p>
    <w:p w:rsidR="0000049B" w:rsidRPr="00351847" w:rsidRDefault="0000049B" w:rsidP="0000049B">
      <w:pPr>
        <w:pStyle w:val="a4"/>
        <w:ind w:left="1440"/>
        <w:rPr>
          <w:rFonts w:ascii="Times New Roman" w:hAnsi="Times New Roman" w:cs="Times New Roman"/>
        </w:rPr>
      </w:pPr>
    </w:p>
    <w:p w:rsidR="00E54324" w:rsidRPr="00351847" w:rsidRDefault="0000049B" w:rsidP="0000049B">
      <w:pPr>
        <w:pStyle w:val="a4"/>
        <w:numPr>
          <w:ilvl w:val="0"/>
          <w:numId w:val="3"/>
        </w:numPr>
        <w:rPr>
          <w:rFonts w:ascii="Times New Roman" w:hAnsi="Times New Roman" w:cs="Times New Roman"/>
        </w:rPr>
      </w:pPr>
      <w:r w:rsidRPr="00351847">
        <w:rPr>
          <w:rFonts w:ascii="Times New Roman" w:hAnsi="Times New Roman" w:cs="Times New Roman"/>
        </w:rPr>
        <w:t>Анализ временных рядов</w:t>
      </w:r>
    </w:p>
    <w:p w:rsidR="0000049B" w:rsidRPr="00351847" w:rsidRDefault="0000049B" w:rsidP="0000049B">
      <w:pPr>
        <w:pStyle w:val="a4"/>
        <w:ind w:left="1440"/>
        <w:rPr>
          <w:rFonts w:ascii="Times New Roman" w:hAnsi="Times New Roman" w:cs="Times New Roman"/>
          <w:color w:val="000000"/>
          <w:shd w:val="clear" w:color="auto" w:fill="FFFFFF"/>
        </w:rPr>
      </w:pPr>
      <w:r w:rsidRPr="00351847">
        <w:rPr>
          <w:rFonts w:ascii="Times New Roman" w:hAnsi="Times New Roman" w:cs="Times New Roman"/>
          <w:color w:val="000000"/>
          <w:shd w:val="clear" w:color="auto" w:fill="FFFFFF"/>
        </w:rPr>
        <w:t xml:space="preserve">Метод анализа временных рядов является исключительно техническим и не принимает в расчет экономическую теорию. Самой популярной моделью при анализе временных рядов является модель </w:t>
      </w:r>
      <w:proofErr w:type="spellStart"/>
      <w:r w:rsidRPr="00351847">
        <w:rPr>
          <w:rFonts w:ascii="Times New Roman" w:hAnsi="Times New Roman" w:cs="Times New Roman"/>
          <w:color w:val="000000"/>
          <w:shd w:val="clear" w:color="auto" w:fill="FFFFFF"/>
        </w:rPr>
        <w:t>авторегресионного</w:t>
      </w:r>
      <w:proofErr w:type="spellEnd"/>
      <w:r w:rsidRPr="00351847">
        <w:rPr>
          <w:rFonts w:ascii="Times New Roman" w:hAnsi="Times New Roman" w:cs="Times New Roman"/>
          <w:color w:val="000000"/>
          <w:shd w:val="clear" w:color="auto" w:fill="FFFFFF"/>
        </w:rPr>
        <w:t xml:space="preserve"> скользящего среднего (ARMA). В основе метода лежит принцип прогнозирования ценовых моделей валютной пары на основании прошлой динамики. Расчет проводится специальной компьютерной программой на основе введенных параметров временного ряда, результатом которого является создание индивидуальной ценовой модели конкретной валютной пары.</w:t>
      </w:r>
    </w:p>
    <w:p w:rsidR="0000049B" w:rsidRPr="00351847" w:rsidRDefault="0000049B" w:rsidP="0000049B">
      <w:pPr>
        <w:pStyle w:val="a4"/>
        <w:ind w:left="1440"/>
        <w:rPr>
          <w:rFonts w:ascii="Times New Roman" w:hAnsi="Times New Roman" w:cs="Times New Roman"/>
          <w:color w:val="000000"/>
          <w:shd w:val="clear" w:color="auto" w:fill="FFFFFF"/>
        </w:rPr>
      </w:pPr>
    </w:p>
    <w:p w:rsidR="0000049B" w:rsidRPr="00351847" w:rsidRDefault="0000049B" w:rsidP="0000049B">
      <w:pPr>
        <w:pStyle w:val="a4"/>
        <w:ind w:left="1440"/>
        <w:rPr>
          <w:rFonts w:ascii="Times New Roman" w:hAnsi="Times New Roman" w:cs="Times New Roman"/>
        </w:rPr>
      </w:pPr>
      <w:r w:rsidRPr="00351847">
        <w:rPr>
          <w:rFonts w:ascii="Times New Roman" w:hAnsi="Times New Roman" w:cs="Times New Roman"/>
          <w:color w:val="000000"/>
          <w:shd w:val="clear" w:color="auto" w:fill="FFFFFF"/>
        </w:rPr>
        <w:t>Несомненно, прогнозирование валютных курсов – задача крайне сложная. Многие инвесторы попросту предпочитают страховать валютные риски. Другие инвесторы осознают всю важность прогнозирования валютных курсов и стремятся к понимаю факторов, влияющих на них. Приведенные выше методы могут стать хорошим подспорьем именно для таких участников рынка.</w:t>
      </w:r>
    </w:p>
    <w:p w:rsidR="00E54324" w:rsidRPr="00351847" w:rsidRDefault="00BD1019" w:rsidP="00BD1019">
      <w:pPr>
        <w:tabs>
          <w:tab w:val="left" w:pos="1260"/>
        </w:tabs>
        <w:rPr>
          <w:rFonts w:ascii="Times New Roman" w:hAnsi="Times New Roman" w:cs="Times New Roman"/>
        </w:rPr>
      </w:pPr>
      <w:r>
        <w:rPr>
          <w:rFonts w:ascii="Times New Roman" w:hAnsi="Times New Roman" w:cs="Times New Roman"/>
        </w:rPr>
        <w:tab/>
      </w:r>
    </w:p>
    <w:p w:rsidR="00E54324" w:rsidRPr="00351847" w:rsidRDefault="00465031" w:rsidP="00E54324">
      <w:pPr>
        <w:pStyle w:val="a4"/>
        <w:numPr>
          <w:ilvl w:val="0"/>
          <w:numId w:val="1"/>
        </w:numPr>
        <w:rPr>
          <w:rFonts w:ascii="Times New Roman" w:hAnsi="Times New Roman" w:cs="Times New Roman"/>
        </w:rPr>
      </w:pPr>
      <w:r w:rsidRPr="00351847">
        <w:rPr>
          <w:rFonts w:ascii="Times New Roman" w:hAnsi="Times New Roman" w:cs="Times New Roman"/>
        </w:rPr>
        <w:t>Анализ факторов</w:t>
      </w:r>
      <w:bookmarkStart w:id="0" w:name="_GoBack"/>
      <w:bookmarkEnd w:id="0"/>
    </w:p>
    <w:p w:rsidR="00465031" w:rsidRPr="00351847" w:rsidRDefault="006A055B" w:rsidP="006A055B">
      <w:pPr>
        <w:pStyle w:val="a4"/>
        <w:rPr>
          <w:rFonts w:ascii="Times New Roman" w:hAnsi="Times New Roman" w:cs="Times New Roman"/>
        </w:rPr>
      </w:pPr>
      <w:r w:rsidRPr="00351847">
        <w:rPr>
          <w:rFonts w:ascii="Times New Roman" w:hAnsi="Times New Roman" w:cs="Times New Roman"/>
        </w:rPr>
        <w:t>В современных условиях глобального рынка валютный курс формируется под влиянием многочисленных факторов, а изучение динамики поведения валютного курса основывается на анализе воздействующих факторов. В качестве результата проведения анализа факторов, воздействующих на динамику валютного курса, была разработана авторская классификация факторов, которая показана на схеме 1</w:t>
      </w:r>
    </w:p>
    <w:p w:rsidR="006A055B" w:rsidRPr="00351847" w:rsidRDefault="006A055B" w:rsidP="006A055B">
      <w:pPr>
        <w:pStyle w:val="a4"/>
        <w:rPr>
          <w:rFonts w:ascii="Times New Roman" w:hAnsi="Times New Roman" w:cs="Times New Roman"/>
        </w:rPr>
      </w:pPr>
      <w:r w:rsidRPr="00351847">
        <w:rPr>
          <w:rFonts w:ascii="Times New Roman" w:hAnsi="Times New Roman" w:cs="Times New Roman"/>
        </w:rPr>
        <w:t>Данная классификация факторов отличается от существующих классификаций тем, что она является более полной и всеобъемлющей.</w:t>
      </w:r>
    </w:p>
    <w:p w:rsidR="006A055B" w:rsidRPr="00351847" w:rsidRDefault="006A055B" w:rsidP="006A055B">
      <w:pPr>
        <w:pStyle w:val="a4"/>
        <w:rPr>
          <w:rFonts w:ascii="Times New Roman" w:hAnsi="Times New Roman" w:cs="Times New Roman"/>
        </w:rPr>
      </w:pPr>
    </w:p>
    <w:p w:rsidR="006A055B" w:rsidRPr="00351847" w:rsidRDefault="006A055B" w:rsidP="0000049B">
      <w:pPr>
        <w:pStyle w:val="a4"/>
        <w:jc w:val="center"/>
        <w:rPr>
          <w:rFonts w:ascii="Times New Roman" w:hAnsi="Times New Roman" w:cs="Times New Roman"/>
        </w:rPr>
      </w:pPr>
      <w:r w:rsidRPr="00351847">
        <w:rPr>
          <w:rFonts w:ascii="Times New Roman" w:hAnsi="Times New Roman" w:cs="Times New Roman"/>
          <w:noProof/>
          <w:lang w:eastAsia="ru-RU"/>
        </w:rPr>
        <w:lastRenderedPageBreak/>
        <w:drawing>
          <wp:inline distT="0" distB="0" distL="0" distR="0" wp14:anchorId="472E45F7" wp14:editId="1572C5CA">
            <wp:extent cx="4981575" cy="1609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609725"/>
                    </a:xfrm>
                    <a:prstGeom prst="rect">
                      <a:avLst/>
                    </a:prstGeom>
                  </pic:spPr>
                </pic:pic>
              </a:graphicData>
            </a:graphic>
          </wp:inline>
        </w:drawing>
      </w:r>
    </w:p>
    <w:p w:rsidR="006A055B" w:rsidRPr="00351847" w:rsidRDefault="006A055B" w:rsidP="00BD1019">
      <w:pPr>
        <w:pStyle w:val="a4"/>
        <w:rPr>
          <w:rFonts w:ascii="Times New Roman" w:hAnsi="Times New Roman" w:cs="Times New Roman"/>
        </w:rPr>
      </w:pPr>
      <w:r w:rsidRPr="00351847">
        <w:rPr>
          <w:rFonts w:ascii="Times New Roman" w:hAnsi="Times New Roman" w:cs="Times New Roman"/>
        </w:rPr>
        <w:t>В целом, можно заключить, что доминирующее влияние на</w:t>
      </w:r>
      <w:r w:rsidRPr="00351847">
        <w:rPr>
          <w:rFonts w:ascii="Times New Roman" w:hAnsi="Times New Roman" w:cs="Times New Roman"/>
          <w:color w:val="000000"/>
          <w:shd w:val="clear" w:color="auto" w:fill="FFFCF2"/>
        </w:rPr>
        <w:t xml:space="preserve"> </w:t>
      </w:r>
      <w:r w:rsidRPr="00351847">
        <w:rPr>
          <w:rFonts w:ascii="Times New Roman" w:hAnsi="Times New Roman" w:cs="Times New Roman"/>
        </w:rPr>
        <w:t xml:space="preserve">поведение валютного курса оказывают следующие экономические факторы: дефициты торгового и платежного балансов, индексы инфляции, размер процентной ставки, динамика ВВП и золотовалютных резервов, данные по денежной массе. Помимо экономических факторов, на колебания валютного курса влияют политические факторы. Стоит отметить, что экономические и политические факторы тесно связаны между собой (см. схему 1). </w:t>
      </w:r>
    </w:p>
    <w:p w:rsidR="006A055B" w:rsidRDefault="006A055B" w:rsidP="006A055B">
      <w:pPr>
        <w:pStyle w:val="a4"/>
        <w:rPr>
          <w:rFonts w:ascii="Times New Roman" w:hAnsi="Times New Roman" w:cs="Times New Roman"/>
        </w:rPr>
      </w:pPr>
    </w:p>
    <w:p w:rsidR="00501B97" w:rsidRPr="00501B97" w:rsidRDefault="00501B97" w:rsidP="00501B97">
      <w:pPr>
        <w:pStyle w:val="a4"/>
        <w:rPr>
          <w:rFonts w:ascii="Times New Roman" w:hAnsi="Times New Roman" w:cs="Times New Roman"/>
        </w:rPr>
      </w:pPr>
      <w:r w:rsidRPr="00501B97">
        <w:rPr>
          <w:rFonts w:ascii="Times New Roman" w:hAnsi="Times New Roman" w:cs="Times New Roman"/>
        </w:rPr>
        <w:t>Специалистами выделяются следующие проблемы формирования и регулирования валютного курса в нашей стране, о</w:t>
      </w:r>
      <w:r>
        <w:rPr>
          <w:rFonts w:ascii="Times New Roman" w:hAnsi="Times New Roman" w:cs="Times New Roman"/>
        </w:rPr>
        <w:t>сновными из которых являются:</w:t>
      </w:r>
    </w:p>
    <w:p w:rsidR="00501B97" w:rsidRPr="00501B97" w:rsidRDefault="00501B97" w:rsidP="00501B97">
      <w:pPr>
        <w:pStyle w:val="a4"/>
        <w:rPr>
          <w:rFonts w:ascii="Times New Roman" w:hAnsi="Times New Roman" w:cs="Times New Roman"/>
        </w:rPr>
      </w:pPr>
      <w:r w:rsidRPr="00501B97">
        <w:rPr>
          <w:rFonts w:ascii="Times New Roman" w:hAnsi="Times New Roman" w:cs="Times New Roman"/>
        </w:rPr>
        <w:t>· определяющее влияние ценовой конъюнктуры на мировых сырьевых и товарных рынках на валютный курс;</w:t>
      </w:r>
    </w:p>
    <w:p w:rsidR="00501B97" w:rsidRPr="00501B97" w:rsidRDefault="00501B97" w:rsidP="00501B97">
      <w:pPr>
        <w:pStyle w:val="a4"/>
        <w:rPr>
          <w:rFonts w:ascii="Times New Roman" w:hAnsi="Times New Roman" w:cs="Times New Roman"/>
        </w:rPr>
      </w:pPr>
      <w:r w:rsidRPr="00501B97">
        <w:rPr>
          <w:rFonts w:ascii="Times New Roman" w:hAnsi="Times New Roman" w:cs="Times New Roman"/>
        </w:rPr>
        <w:t>· существенное отклонение расчетного курса рубля от официальных устанавливаемых значений;</w:t>
      </w:r>
    </w:p>
    <w:p w:rsidR="00501B97" w:rsidRPr="00501B97" w:rsidRDefault="00501B97" w:rsidP="00501B97">
      <w:pPr>
        <w:pStyle w:val="a4"/>
        <w:rPr>
          <w:rFonts w:ascii="Times New Roman" w:hAnsi="Times New Roman" w:cs="Times New Roman"/>
        </w:rPr>
      </w:pPr>
      <w:r w:rsidRPr="00501B97">
        <w:rPr>
          <w:rFonts w:ascii="Times New Roman" w:hAnsi="Times New Roman" w:cs="Times New Roman"/>
        </w:rPr>
        <w:t>· наличие «серого» валютного рынка;</w:t>
      </w:r>
    </w:p>
    <w:p w:rsidR="00501B97" w:rsidRPr="00351847" w:rsidRDefault="00501B97" w:rsidP="00501B97">
      <w:pPr>
        <w:pStyle w:val="a4"/>
        <w:rPr>
          <w:rFonts w:ascii="Times New Roman" w:hAnsi="Times New Roman" w:cs="Times New Roman"/>
        </w:rPr>
      </w:pPr>
      <w:r w:rsidRPr="00501B97">
        <w:rPr>
          <w:rFonts w:ascii="Times New Roman" w:hAnsi="Times New Roman" w:cs="Times New Roman"/>
        </w:rPr>
        <w:t>· преобладание доллара США в качестве основной расчетной валюты в экспортно-импортных операциях.</w:t>
      </w:r>
    </w:p>
    <w:sectPr w:rsidR="00501B97" w:rsidRPr="003518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10A74"/>
    <w:multiLevelType w:val="hybridMultilevel"/>
    <w:tmpl w:val="582ABC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7D8934E8"/>
    <w:multiLevelType w:val="hybridMultilevel"/>
    <w:tmpl w:val="D75ED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7D202C"/>
    <w:multiLevelType w:val="hybridMultilevel"/>
    <w:tmpl w:val="F00A42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D4"/>
    <w:rsid w:val="0000049B"/>
    <w:rsid w:val="00134205"/>
    <w:rsid w:val="002B0E9B"/>
    <w:rsid w:val="00327E60"/>
    <w:rsid w:val="00351847"/>
    <w:rsid w:val="003B7FD4"/>
    <w:rsid w:val="00451A61"/>
    <w:rsid w:val="00465031"/>
    <w:rsid w:val="00501B97"/>
    <w:rsid w:val="00571D8C"/>
    <w:rsid w:val="006A055B"/>
    <w:rsid w:val="00BD1019"/>
    <w:rsid w:val="00E54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39E8"/>
  <w15:chartTrackingRefBased/>
  <w15:docId w15:val="{8C96FE0C-BD17-46F2-8113-B1006932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54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54324"/>
    <w:pPr>
      <w:ind w:left="720"/>
      <w:contextualSpacing/>
    </w:pPr>
  </w:style>
  <w:style w:type="paragraph" w:styleId="a5">
    <w:name w:val="Normal (Web)"/>
    <w:basedOn w:val="a"/>
    <w:uiPriority w:val="99"/>
    <w:semiHidden/>
    <w:unhideWhenUsed/>
    <w:rsid w:val="006A055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82219">
      <w:bodyDiv w:val="1"/>
      <w:marLeft w:val="0"/>
      <w:marRight w:val="0"/>
      <w:marTop w:val="0"/>
      <w:marBottom w:val="0"/>
      <w:divBdr>
        <w:top w:val="none" w:sz="0" w:space="0" w:color="auto"/>
        <w:left w:val="none" w:sz="0" w:space="0" w:color="auto"/>
        <w:bottom w:val="none" w:sz="0" w:space="0" w:color="auto"/>
        <w:right w:val="none" w:sz="0" w:space="0" w:color="auto"/>
      </w:divBdr>
    </w:div>
    <w:div w:id="1195659058">
      <w:bodyDiv w:val="1"/>
      <w:marLeft w:val="0"/>
      <w:marRight w:val="0"/>
      <w:marTop w:val="0"/>
      <w:marBottom w:val="0"/>
      <w:divBdr>
        <w:top w:val="none" w:sz="0" w:space="0" w:color="auto"/>
        <w:left w:val="none" w:sz="0" w:space="0" w:color="auto"/>
        <w:bottom w:val="none" w:sz="0" w:space="0" w:color="auto"/>
        <w:right w:val="none" w:sz="0" w:space="0" w:color="auto"/>
      </w:divBdr>
    </w:div>
    <w:div w:id="1273434033">
      <w:bodyDiv w:val="1"/>
      <w:marLeft w:val="0"/>
      <w:marRight w:val="0"/>
      <w:marTop w:val="0"/>
      <w:marBottom w:val="0"/>
      <w:divBdr>
        <w:top w:val="none" w:sz="0" w:space="0" w:color="auto"/>
        <w:left w:val="none" w:sz="0" w:space="0" w:color="auto"/>
        <w:bottom w:val="none" w:sz="0" w:space="0" w:color="auto"/>
        <w:right w:val="none" w:sz="0" w:space="0" w:color="auto"/>
      </w:divBdr>
    </w:div>
    <w:div w:id="144724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768</Words>
  <Characters>4379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Дёгтева</dc:creator>
  <cp:keywords/>
  <dc:description/>
  <cp:lastModifiedBy>Евгения Дёгтева</cp:lastModifiedBy>
  <cp:revision>3</cp:revision>
  <dcterms:created xsi:type="dcterms:W3CDTF">2017-10-29T10:40:00Z</dcterms:created>
  <dcterms:modified xsi:type="dcterms:W3CDTF">2017-10-29T20:37:00Z</dcterms:modified>
</cp:coreProperties>
</file>