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20"/>
      </w:pPr>
      <w:r>
        <w:t xml:space="preserve"/>
      </w:r>
    </w:p>
    <w:p>
      <w:pPr>
        <w:spacing w:after="80" w:before="0"/>
        <w:jc w:val="center"/>
      </w:pPr>
      <w:r>
        <w:rPr>
          <w:rFonts w:ascii="Arial" w:cs="Arial" w:eastAsia="Arial" w:hAnsi="Arial"/>
          <w:b/>
          <w:bCs/>
          <w:color w:val="0F1F3D"/>
          <w:sz w:val="72"/>
          <w:szCs w:val="72"/>
        </w:rPr>
        <w:t xml:space="preserve">MyScholar</w:t>
      </w:r>
    </w:p>
    <w:p>
      <w:pPr>
        <w:spacing w:after="200" w:before="0"/>
        <w:jc w:val="center"/>
      </w:pPr>
      <w:r>
        <w:rPr>
          <w:rFonts w:ascii="Arial" w:cs="Arial" w:eastAsia="Arial" w:hAnsi="Arial"/>
          <w:color w:val="6B7280"/>
          <w:sz w:val="28"/>
          <w:szCs w:val="28"/>
        </w:rPr>
        <w:t xml:space="preserve">Product Requirements Document</w:t>
      </w:r>
    </w:p>
    <w:p>
      <w:pPr>
        <w:pBdr>
          <w:top w:val="single" w:color="E8551E" w:sz="6" w:space="12"/>
        </w:pBdr>
        <w:spacing w:after="80" w:before="0"/>
        <w:jc w:val="center"/>
      </w:pPr>
      <w:r>
        <w:rPr>
          <w:rFonts w:ascii="Arial" w:cs="Arial" w:eastAsia="Arial" w:hAnsi="Arial"/>
          <w:b/>
          <w:bCs/>
          <w:color w:val="E8551E"/>
          <w:sz w:val="24"/>
          <w:szCs w:val="24"/>
        </w:rPr>
        <w:t xml:space="preserve">myscholar.my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9E6" w:sz="1"/>
              <w:left w:val="single" w:color="D1D9E6" w:sz="1"/>
              <w:bottom w:val="single" w:color="D1D9E6" w:sz="1"/>
              <w:right w:val="single" w:color="D1D9E6" w:sz="1"/>
            </w:tcBorders>
            <w:shd w:fill="F0F4FA" w:val="clear"/>
            <w:tcMar>
              <w:top w:type="dxa" w:w="80"/>
              <w:left w:type="dxa" w:w="140"/>
              <w:bottom w:type="dxa" w:w="80"/>
              <w:right w:type="dxa" w:w="140"/>
            </w:tcMar>
          </w:tcPr>
          <w:p>
            <w:r>
              <w:rPr>
                <w:rFonts w:ascii="Arial" w:cs="Arial" w:eastAsia="Arial" w:hAnsi="Arial"/>
                <w:b/>
                <w:bCs/>
                <w:color w:val="1E3A6E"/>
                <w:sz w:val="20"/>
                <w:szCs w:val="20"/>
              </w:rPr>
              <w:t xml:space="preserve">Status</w:t>
            </w:r>
          </w:p>
        </w:tc>
        <w:tc>
          <w:tcPr>
            <w:tcW w:type="dxa" w:w="6360"/>
            <w:tcBorders>
              <w:top w:val="single" w:color="D1D9E6" w:sz="1"/>
              <w:left w:val="single" w:color="D1D9E6" w:sz="1"/>
              <w:bottom w:val="single" w:color="D1D9E6" w:sz="1"/>
              <w:right w:val="single" w:color="D1D9E6" w:sz="1"/>
            </w:tcBorders>
            <w:tcMar>
              <w:top w:type="dxa" w:w="80"/>
              <w:left w:type="dxa" w:w="140"/>
              <w:bottom w:type="dxa" w:w="80"/>
              <w:right w:type="dxa" w:w="140"/>
            </w:tcMar>
          </w:tcPr>
          <w:p>
            <w:r>
              <w:rPr>
                <w:rFonts w:ascii="Arial" w:cs="Arial" w:eastAsia="Arial" w:hAnsi="Arial"/>
                <w:color w:val="0F1F3D"/>
                <w:sz w:val="20"/>
                <w:szCs w:val="20"/>
              </w:rPr>
              <w:t xml:space="preserve">Live — Mature product</w:t>
            </w:r>
          </w:p>
        </w:tc>
      </w:tr>
      <w:tr>
        <w:tc>
          <w:tcPr>
            <w:tcW w:type="dxa" w:w="3000"/>
            <w:tcBorders>
              <w:top w:val="single" w:color="D1D9E6" w:sz="1"/>
              <w:left w:val="single" w:color="D1D9E6" w:sz="1"/>
              <w:bottom w:val="single" w:color="D1D9E6" w:sz="1"/>
              <w:right w:val="single" w:color="D1D9E6" w:sz="1"/>
            </w:tcBorders>
            <w:shd w:fill="F0F4FA" w:val="clear"/>
            <w:tcMar>
              <w:top w:type="dxa" w:w="80"/>
              <w:left w:type="dxa" w:w="140"/>
              <w:bottom w:type="dxa" w:w="80"/>
              <w:right w:type="dxa" w:w="140"/>
            </w:tcMar>
          </w:tcPr>
          <w:p>
            <w:r>
              <w:rPr>
                <w:rFonts w:ascii="Arial" w:cs="Arial" w:eastAsia="Arial" w:hAnsi="Arial"/>
                <w:b/>
                <w:bCs/>
                <w:color w:val="1E3A6E"/>
                <w:sz w:val="20"/>
                <w:szCs w:val="20"/>
              </w:rPr>
              <w:t xml:space="preserve">Phase</w:t>
            </w:r>
          </w:p>
        </w:tc>
        <w:tc>
          <w:tcPr>
            <w:tcW w:type="dxa" w:w="6360"/>
            <w:tcBorders>
              <w:top w:val="single" w:color="D1D9E6" w:sz="1"/>
              <w:left w:val="single" w:color="D1D9E6" w:sz="1"/>
              <w:bottom w:val="single" w:color="D1D9E6" w:sz="1"/>
              <w:right w:val="single" w:color="D1D9E6" w:sz="1"/>
            </w:tcBorders>
            <w:tcMar>
              <w:top w:type="dxa" w:w="80"/>
              <w:left w:type="dxa" w:w="140"/>
              <w:bottom w:type="dxa" w:w="80"/>
              <w:right w:type="dxa" w:w="140"/>
            </w:tcMar>
          </w:tcPr>
          <w:p>
            <w:r>
              <w:rPr>
                <w:rFonts w:ascii="Arial" w:cs="Arial" w:eastAsia="Arial" w:hAnsi="Arial"/>
                <w:color w:val="0F1F3D"/>
                <w:sz w:val="20"/>
                <w:szCs w:val="20"/>
              </w:rPr>
              <w:t xml:space="preserve">Stability, trust, and depth</w:t>
            </w:r>
          </w:p>
        </w:tc>
      </w:tr>
      <w:tr>
        <w:tc>
          <w:tcPr>
            <w:tcW w:type="dxa" w:w="3000"/>
            <w:tcBorders>
              <w:top w:val="single" w:color="D1D9E6" w:sz="1"/>
              <w:left w:val="single" w:color="D1D9E6" w:sz="1"/>
              <w:bottom w:val="single" w:color="D1D9E6" w:sz="1"/>
              <w:right w:val="single" w:color="D1D9E6" w:sz="1"/>
            </w:tcBorders>
            <w:shd w:fill="F0F4FA" w:val="clear"/>
            <w:tcMar>
              <w:top w:type="dxa" w:w="80"/>
              <w:left w:type="dxa" w:w="140"/>
              <w:bottom w:type="dxa" w:w="80"/>
              <w:right w:type="dxa" w:w="140"/>
            </w:tcMar>
          </w:tcPr>
          <w:p>
            <w:r>
              <w:rPr>
                <w:rFonts w:ascii="Arial" w:cs="Arial" w:eastAsia="Arial" w:hAnsi="Arial"/>
                <w:b/>
                <w:bCs/>
                <w:color w:val="1E3A6E"/>
                <w:sz w:val="20"/>
                <w:szCs w:val="20"/>
              </w:rPr>
              <w:t xml:space="preserve">Owner</w:t>
            </w:r>
          </w:p>
        </w:tc>
        <w:tc>
          <w:tcPr>
            <w:tcW w:type="dxa" w:w="6360"/>
            <w:tcBorders>
              <w:top w:val="single" w:color="D1D9E6" w:sz="1"/>
              <w:left w:val="single" w:color="D1D9E6" w:sz="1"/>
              <w:bottom w:val="single" w:color="D1D9E6" w:sz="1"/>
              <w:right w:val="single" w:color="D1D9E6" w:sz="1"/>
            </w:tcBorders>
            <w:tcMar>
              <w:top w:type="dxa" w:w="80"/>
              <w:left w:type="dxa" w:w="140"/>
              <w:bottom w:type="dxa" w:w="80"/>
              <w:right w:type="dxa" w:w="140"/>
            </w:tcMar>
          </w:tcPr>
          <w:p>
            <w:r>
              <w:rPr>
                <w:rFonts w:ascii="Arial" w:cs="Arial" w:eastAsia="Arial" w:hAnsi="Arial"/>
                <w:color w:val="0F1F3D"/>
                <w:sz w:val="20"/>
                <w:szCs w:val="20"/>
              </w:rPr>
              <w:t xml:space="preserve">ANRA (ANRACollective)</w:t>
            </w:r>
          </w:p>
        </w:tc>
      </w:tr>
      <w:tr>
        <w:tc>
          <w:tcPr>
            <w:tcW w:type="dxa" w:w="3000"/>
            <w:tcBorders>
              <w:top w:val="single" w:color="D1D9E6" w:sz="1"/>
              <w:left w:val="single" w:color="D1D9E6" w:sz="1"/>
              <w:bottom w:val="single" w:color="D1D9E6" w:sz="1"/>
              <w:right w:val="single" w:color="D1D9E6" w:sz="1"/>
            </w:tcBorders>
            <w:shd w:fill="F0F4FA" w:val="clear"/>
            <w:tcMar>
              <w:top w:type="dxa" w:w="80"/>
              <w:left w:type="dxa" w:w="140"/>
              <w:bottom w:type="dxa" w:w="80"/>
              <w:right w:type="dxa" w:w="140"/>
            </w:tcMar>
          </w:tcPr>
          <w:p>
            <w:r>
              <w:rPr>
                <w:rFonts w:ascii="Arial" w:cs="Arial" w:eastAsia="Arial" w:hAnsi="Arial"/>
                <w:b/>
                <w:bCs/>
                <w:color w:val="1E3A6E"/>
                <w:sz w:val="20"/>
                <w:szCs w:val="20"/>
              </w:rPr>
              <w:t xml:space="preserve">Last updated</w:t>
            </w:r>
          </w:p>
        </w:tc>
        <w:tc>
          <w:tcPr>
            <w:tcW w:type="dxa" w:w="6360"/>
            <w:tcBorders>
              <w:top w:val="single" w:color="D1D9E6" w:sz="1"/>
              <w:left w:val="single" w:color="D1D9E6" w:sz="1"/>
              <w:bottom w:val="single" w:color="D1D9E6" w:sz="1"/>
              <w:right w:val="single" w:color="D1D9E6" w:sz="1"/>
            </w:tcBorders>
            <w:tcMar>
              <w:top w:type="dxa" w:w="80"/>
              <w:left w:type="dxa" w:w="140"/>
              <w:bottom w:type="dxa" w:w="80"/>
              <w:right w:type="dxa" w:w="140"/>
            </w:tcMar>
          </w:tcPr>
          <w:p>
            <w:r>
              <w:rPr>
                <w:rFonts w:ascii="Arial" w:cs="Arial" w:eastAsia="Arial" w:hAnsi="Arial"/>
                <w:color w:val="0F1F3D"/>
                <w:sz w:val="20"/>
                <w:szCs w:val="20"/>
              </w:rPr>
              <w:t xml:space="preserve">April 2026</w:t>
            </w:r>
          </w:p>
        </w:tc>
      </w:tr>
      <w:tr>
        <w:tc>
          <w:tcPr>
            <w:tcW w:type="dxa" w:w="3000"/>
            <w:tcBorders>
              <w:top w:val="single" w:color="D1D9E6" w:sz="1"/>
              <w:left w:val="single" w:color="D1D9E6" w:sz="1"/>
              <w:bottom w:val="single" w:color="D1D9E6" w:sz="1"/>
              <w:right w:val="single" w:color="D1D9E6" w:sz="1"/>
            </w:tcBorders>
            <w:shd w:fill="F0F4FA" w:val="clear"/>
            <w:tcMar>
              <w:top w:type="dxa" w:w="80"/>
              <w:left w:type="dxa" w:w="140"/>
              <w:bottom w:type="dxa" w:w="80"/>
              <w:right w:type="dxa" w:w="140"/>
            </w:tcMar>
          </w:tcPr>
          <w:p>
            <w:r>
              <w:rPr>
                <w:rFonts w:ascii="Arial" w:cs="Arial" w:eastAsia="Arial" w:hAnsi="Arial"/>
                <w:b/>
                <w:bCs/>
                <w:color w:val="1E3A6E"/>
                <w:sz w:val="20"/>
                <w:szCs w:val="20"/>
              </w:rPr>
              <w:t xml:space="preserve">Version</w:t>
            </w:r>
          </w:p>
        </w:tc>
        <w:tc>
          <w:tcPr>
            <w:tcW w:type="dxa" w:w="6360"/>
            <w:tcBorders>
              <w:top w:val="single" w:color="D1D9E6" w:sz="1"/>
              <w:left w:val="single" w:color="D1D9E6" w:sz="1"/>
              <w:bottom w:val="single" w:color="D1D9E6" w:sz="1"/>
              <w:right w:val="single" w:color="D1D9E6" w:sz="1"/>
            </w:tcBorders>
            <w:tcMar>
              <w:top w:type="dxa" w:w="80"/>
              <w:left w:type="dxa" w:w="140"/>
              <w:bottom w:type="dxa" w:w="80"/>
              <w:right w:type="dxa" w:w="140"/>
            </w:tcMar>
          </w:tcPr>
          <w:p>
            <w:r>
              <w:rPr>
                <w:rFonts w:ascii="Arial" w:cs="Arial" w:eastAsia="Arial" w:hAnsi="Arial"/>
                <w:color w:val="0F1F3D"/>
                <w:sz w:val="20"/>
                <w:szCs w:val="20"/>
              </w:rPr>
              <w:t xml:space="preserve">1.0</w:t>
            </w:r>
          </w:p>
        </w:tc>
      </w:tr>
    </w:tbl>
    <w:p>
      <w:r>
        <w:br w:type="page"/>
      </w:r>
    </w:p>
    <w:p>
      <w:pPr>
        <w:pStyle w:val="Heading1"/>
        <w:spacing w:after="120" w:before="360"/>
      </w:pPr>
      <w:r>
        <w:rPr>
          <w:rFonts w:ascii="Arial" w:cs="Arial" w:eastAsia="Arial" w:hAnsi="Arial"/>
          <w:b/>
          <w:bCs/>
          <w:color w:val="0F1F3D"/>
          <w:sz w:val="34"/>
          <w:szCs w:val="34"/>
        </w:rPr>
        <w:t xml:space="preserve">1. Vision</w:t>
      </w:r>
    </w:p>
    <w:p>
      <w:pPr>
        <w:spacing w:after="100" w:before="60"/>
      </w:pPr>
      <w:r>
        <w:rPr>
          <w:rFonts w:ascii="Arial" w:cs="Arial" w:eastAsia="Arial" w:hAnsi="Arial"/>
          <w:color w:val="0F1F3D"/>
          <w:sz w:val="22"/>
          <w:szCs w:val="22"/>
        </w:rPr>
        <w:t xml:space="preserve">No student in Malaysia should miss out on a scholarship because they did not know it existed.</w:t>
      </w:r>
    </w:p>
    <w:p>
      <w:pPr>
        <w:spacing w:after="0" w:before="60"/>
      </w:pPr>
      <w:r>
        <w:t xml:space="preserve"/>
      </w:r>
    </w:p>
    <w:p>
      <w:pPr>
        <w:spacing w:after="100" w:before="60"/>
      </w:pPr>
      <w:r>
        <w:rPr>
          <w:rFonts w:ascii="Arial" w:cs="Arial" w:eastAsia="Arial" w:hAnsi="Arial"/>
          <w:color w:val="0F1F3D"/>
          <w:sz w:val="22"/>
          <w:szCs w:val="22"/>
        </w:rPr>
        <w:t xml:space="preserve">MyScholar is a free, filtered, verified scholarship directory for Malaysian students at every level — from SPM leavers to postgraduate researchers. It covers government, GLC, corporate, banking, state-level, international, and university scholarships.</w:t>
      </w:r>
    </w:p>
    <w:p>
      <w:pPr>
        <w:spacing w:after="0" w:before="60"/>
      </w:pPr>
      <w:r>
        <w:t xml:space="preserve"/>
      </w:r>
    </w:p>
    <w:p>
      <w:pPr>
        <w:spacing w:after="100" w:before="60"/>
      </w:pPr>
      <w:r>
        <w:rPr>
          <w:rFonts w:ascii="Arial" w:cs="Arial" w:eastAsia="Arial" w:hAnsi="Arial"/>
          <w:color w:val="0F1F3D"/>
          <w:sz w:val="22"/>
          <w:szCs w:val="22"/>
        </w:rPr>
        <w:t xml:space="preserve">The product is deliberately simple. No account required. No upsell. No paywalled filters. A student on a phone in rural Kelantan should be able to find a scholarship they qualify for in under two minutes.</w:t>
      </w:r>
    </w:p>
    <w:p>
      <w:pPr>
        <w:spacing w:after="0" w:before="40"/>
      </w:pPr>
      <w:r>
        <w:t xml:space="preserve"/>
      </w:r>
    </w:p>
    <w:p>
      <w:pPr>
        <w:pStyle w:val="Heading1"/>
        <w:spacing w:after="120" w:before="360"/>
      </w:pPr>
      <w:r>
        <w:rPr>
          <w:rFonts w:ascii="Arial" w:cs="Arial" w:eastAsia="Arial" w:hAnsi="Arial"/>
          <w:b/>
          <w:bCs/>
          <w:color w:val="0F1F3D"/>
          <w:sz w:val="34"/>
          <w:szCs w:val="34"/>
        </w:rPr>
        <w:t xml:space="preserve">2. Problem</w:t>
      </w:r>
    </w:p>
    <w:p>
      <w:pPr>
        <w:spacing w:after="100" w:before="60"/>
      </w:pPr>
      <w:r>
        <w:rPr>
          <w:rFonts w:ascii="Arial" w:cs="Arial" w:eastAsia="Arial" w:hAnsi="Arial"/>
          <w:color w:val="0F1F3D"/>
          <w:sz w:val="22"/>
          <w:szCs w:val="22"/>
        </w:rPr>
        <w:t xml:space="preserve">Scholarship information in Malaysia is scattered. Each provider has its own website, its own deadline format, and its own eligibility language. Students often find out about scholarships too late, or not at all.</w:t>
      </w:r>
    </w:p>
    <w:p>
      <w:pPr>
        <w:spacing w:after="0" w:before="60"/>
      </w:pPr>
      <w:r>
        <w:t xml:space="preserve"/>
      </w:r>
    </w:p>
    <w:p>
      <w:pPr>
        <w:spacing w:after="100" w:before="60"/>
      </w:pPr>
      <w:r>
        <w:rPr>
          <w:rFonts w:ascii="Arial" w:cs="Arial" w:eastAsia="Arial" w:hAnsi="Arial"/>
          <w:color w:val="0F1F3D"/>
          <w:sz w:val="22"/>
          <w:szCs w:val="22"/>
        </w:rPr>
        <w:t xml:space="preserve">Existing aggregators are either paywalled, ad-heavy, outdated, or built around institutional interests rather than student needs. Many list scholarships without verifying whether the URL or deadline is still valid.</w:t>
      </w:r>
    </w:p>
    <w:p>
      <w:pPr>
        <w:spacing w:after="0" w:before="60"/>
      </w:pPr>
      <w:r>
        <w:t xml:space="preserve"/>
      </w:r>
    </w:p>
    <w:p>
      <w:pPr>
        <w:spacing w:after="100" w:before="60"/>
      </w:pPr>
      <w:r>
        <w:rPr>
          <w:rFonts w:ascii="Arial" w:cs="Arial" w:eastAsia="Arial" w:hAnsi="Arial"/>
          <w:color w:val="0F1F3D"/>
          <w:sz w:val="22"/>
          <w:szCs w:val="22"/>
        </w:rPr>
        <w:t xml:space="preserve">The result: students from less-connected backgrounds miss opportunities that better-resourced peers find easily.</w:t>
      </w:r>
    </w:p>
    <w:p>
      <w:pPr>
        <w:spacing w:after="0" w:before="40"/>
      </w:pPr>
      <w:r>
        <w:t xml:space="preserve"/>
      </w:r>
    </w:p>
    <w:p>
      <w:pPr>
        <w:pStyle w:val="Heading1"/>
        <w:spacing w:after="120" w:before="360"/>
      </w:pPr>
      <w:r>
        <w:rPr>
          <w:rFonts w:ascii="Arial" w:cs="Arial" w:eastAsia="Arial" w:hAnsi="Arial"/>
          <w:b/>
          <w:bCs/>
          <w:color w:val="0F1F3D"/>
          <w:sz w:val="34"/>
          <w:szCs w:val="34"/>
        </w:rPr>
        <w:t xml:space="preserve">3. Who It Serves</w:t>
      </w:r>
    </w:p>
    <w:p>
      <w:pPr>
        <w:pStyle w:val="Heading3"/>
        <w:spacing w:after="80" w:before="200"/>
      </w:pPr>
      <w:r>
        <w:rPr>
          <w:rFonts w:ascii="Arial" w:cs="Arial" w:eastAsia="Arial" w:hAnsi="Arial"/>
          <w:b/>
          <w:bCs/>
          <w:color w:val="0F1F3D"/>
          <w:sz w:val="22"/>
          <w:szCs w:val="22"/>
        </w:rPr>
        <w:t xml:space="preserve">Primary — The student</w:t>
      </w:r>
    </w:p>
    <w:p>
      <w:pPr>
        <w:spacing w:after="100" w:before="60"/>
      </w:pPr>
      <w:r>
        <w:rPr>
          <w:rFonts w:ascii="Arial" w:cs="Arial" w:eastAsia="Arial" w:hAnsi="Arial"/>
          <w:color w:val="0F1F3D"/>
          <w:sz w:val="22"/>
          <w:szCs w:val="22"/>
        </w:rPr>
        <w:t xml:space="preserve">SPM leavers, STPM students, diploma holders, undergraduates, and postgraduate students. B40 and M40 households are the core target. 80%+ of traffic is mobile. Many are first-generation scholarship applicants with no guidance network.</w:t>
      </w:r>
    </w:p>
    <w:p>
      <w:pPr>
        <w:spacing w:after="0" w:before="60"/>
      </w:pPr>
      <w:r>
        <w:t xml:space="preserve"/>
      </w:r>
    </w:p>
    <w:p>
      <w:pPr>
        <w:pStyle w:val="Heading3"/>
        <w:spacing w:after="80" w:before="200"/>
      </w:pPr>
      <w:r>
        <w:rPr>
          <w:rFonts w:ascii="Arial" w:cs="Arial" w:eastAsia="Arial" w:hAnsi="Arial"/>
          <w:b/>
          <w:bCs/>
          <w:color w:val="0F1F3D"/>
          <w:sz w:val="22"/>
          <w:szCs w:val="22"/>
        </w:rPr>
        <w:t xml:space="preserve">Secondary — The parent</w:t>
      </w:r>
    </w:p>
    <w:p>
      <w:pPr>
        <w:spacing w:after="100" w:before="60"/>
      </w:pPr>
      <w:r>
        <w:rPr>
          <w:rFonts w:ascii="Arial" w:cs="Arial" w:eastAsia="Arial" w:hAnsi="Arial"/>
          <w:color w:val="0F1F3D"/>
          <w:sz w:val="22"/>
          <w:szCs w:val="22"/>
        </w:rPr>
        <w:t xml:space="preserve">Parents influence decisions and often share links. They want to know what is available and whether the source is trustworthy. A clean, professional presentation earns that trust.</w:t>
      </w:r>
    </w:p>
    <w:p>
      <w:pPr>
        <w:spacing w:after="0" w:before="60"/>
      </w:pPr>
      <w:r>
        <w:t xml:space="preserve"/>
      </w:r>
    </w:p>
    <w:p>
      <w:pPr>
        <w:pStyle w:val="Heading3"/>
        <w:spacing w:after="80" w:before="200"/>
      </w:pPr>
      <w:r>
        <w:rPr>
          <w:rFonts w:ascii="Arial" w:cs="Arial" w:eastAsia="Arial" w:hAnsi="Arial"/>
          <w:b/>
          <w:bCs/>
          <w:color w:val="0F1F3D"/>
          <w:sz w:val="22"/>
          <w:szCs w:val="22"/>
        </w:rPr>
        <w:t xml:space="preserve">Tertiary — The scholarship community</w:t>
      </w:r>
    </w:p>
    <w:p>
      <w:pPr>
        <w:spacing w:after="100" w:before="60"/>
      </w:pPr>
      <w:r>
        <w:rPr>
          <w:rFonts w:ascii="Arial" w:cs="Arial" w:eastAsia="Arial" w:hAnsi="Arial"/>
          <w:color w:val="0F1F3D"/>
          <w:sz w:val="22"/>
          <w:szCs w:val="22"/>
        </w:rPr>
        <w:t xml:space="preserve">Teachers, counselors, and community Facebook group admins who share resources. They amplify reach when content is easy to share and accurate.</w:t>
      </w:r>
    </w:p>
    <w:p>
      <w:pPr>
        <w:spacing w:after="0" w:before="40"/>
      </w:pPr>
      <w:r>
        <w:t xml:space="preserve"/>
      </w:r>
    </w:p>
    <w:p>
      <w:pPr>
        <w:pStyle w:val="Heading1"/>
        <w:spacing w:after="120" w:before="360"/>
      </w:pPr>
      <w:r>
        <w:rPr>
          <w:rFonts w:ascii="Arial" w:cs="Arial" w:eastAsia="Arial" w:hAnsi="Arial"/>
          <w:b/>
          <w:bCs/>
          <w:color w:val="0F1F3D"/>
          <w:sz w:val="34"/>
          <w:szCs w:val="34"/>
        </w:rPr>
        <w:t xml:space="preserve">4. What It Does Today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1400"/>
        <w:gridCol w:w="3460"/>
      </w:tblGrid>
      <w:tr>
        <w:trPr>
          <w:tblHeader/>
        </w:trPr>
        <w:tc>
          <w:tcPr>
            <w:tcW w:type="dxa" w:w="4500"/>
            <w:tcBorders>
              <w:top w:val="single" w:color="D1D9E6" w:sz="1"/>
              <w:left w:val="single" w:color="D1D9E6" w:sz="1"/>
              <w:bottom w:val="single" w:color="D1D9E6" w:sz="1"/>
              <w:right w:val="single" w:color="D1D9E6" w:sz="1"/>
            </w:tcBorders>
            <w:shd w:fill="1E3A6E" w:val="clear"/>
            <w:tcMar>
              <w:top w:type="dxa" w:w="80"/>
              <w:left w:type="dxa" w:w="140"/>
              <w:bottom w:type="dxa" w:w="80"/>
              <w:right w:type="dxa" w:w="140"/>
            </w:tcMar>
          </w:tcPr>
          <w:p>
            <w:r>
              <w:rPr>
                <w:rFonts w:ascii="Arial" w:cs="Arial" w:eastAsia="Arial" w:hAnsi="Arial"/>
                <w:b/>
                <w:bCs/>
                <w:color w:val="FFFFFF"/>
                <w:sz w:val="20"/>
                <w:szCs w:val="20"/>
              </w:rPr>
              <w:t xml:space="preserve">Feature</w:t>
            </w:r>
          </w:p>
        </w:tc>
        <w:tc>
          <w:tcPr>
            <w:tcW w:type="dxa" w:w="1400"/>
            <w:tcBorders>
              <w:top w:val="single" w:color="D1D9E6" w:sz="1"/>
              <w:left w:val="single" w:color="D1D9E6" w:sz="1"/>
              <w:bottom w:val="single" w:color="D1D9E6" w:sz="1"/>
              <w:right w:val="single" w:color="D1D9E6" w:sz="1"/>
            </w:tcBorders>
            <w:shd w:fill="1E3A6E" w:val="clear"/>
            <w:tcMar>
              <w:top w:type="dxa" w:w="80"/>
              <w:left w:type="dxa" w:w="140"/>
              <w:bottom w:type="dxa" w:w="80"/>
              <w:right w:type="dxa" w:w="140"/>
            </w:tcMar>
          </w:tcPr>
          <w:p>
            <w:r>
              <w:rPr>
                <w:rFonts w:ascii="Arial" w:cs="Arial" w:eastAsia="Arial" w:hAnsi="Arial"/>
                <w:b/>
                <w:bCs/>
                <w:color w:val="FFFFFF"/>
                <w:sz w:val="20"/>
                <w:szCs w:val="20"/>
              </w:rPr>
              <w:t xml:space="preserve">Status</w:t>
            </w:r>
          </w:p>
        </w:tc>
        <w:tc>
          <w:tcPr>
            <w:tcW w:type="dxa" w:w="3460"/>
            <w:tcBorders>
              <w:top w:val="single" w:color="D1D9E6" w:sz="1"/>
              <w:left w:val="single" w:color="D1D9E6" w:sz="1"/>
              <w:bottom w:val="single" w:color="D1D9E6" w:sz="1"/>
              <w:right w:val="single" w:color="D1D9E6" w:sz="1"/>
            </w:tcBorders>
            <w:shd w:fill="1E3A6E" w:val="clear"/>
            <w:tcMar>
              <w:top w:type="dxa" w:w="80"/>
              <w:left w:type="dxa" w:w="140"/>
              <w:bottom w:type="dxa" w:w="80"/>
              <w:right w:type="dxa" w:w="140"/>
            </w:tcMar>
          </w:tcPr>
          <w:p>
            <w:r>
              <w:rPr>
                <w:rFonts w:ascii="Arial" w:cs="Arial" w:eastAsia="Arial" w:hAnsi="Arial"/>
                <w:b/>
                <w:bCs/>
                <w:color w:val="FFFFFF"/>
                <w:sz w:val="20"/>
                <w:szCs w:val="20"/>
              </w:rPr>
              <w:t xml:space="preserve">Notes</w:t>
            </w:r>
          </w:p>
        </w:tc>
      </w:tr>
      <w:tr>
        <w:tc>
          <w:tcPr>
            <w:tcW w:type="dxa" w:w="4500"/>
            <w:tcBorders>
              <w:top w:val="single" w:color="D1D9E6" w:sz="1"/>
              <w:left w:val="single" w:color="D1D9E6" w:sz="1"/>
              <w:bottom w:val="single" w:color="D1D9E6" w:sz="1"/>
              <w:right w:val="single" w:color="D1D9E6" w:sz="1"/>
            </w:tcBorders>
            <w:tcMar>
              <w:top w:type="dxa" w:w="80"/>
              <w:left w:type="dxa" w:w="140"/>
              <w:bottom w:type="dxa" w:w="80"/>
              <w:right w:type="dxa" w:w="140"/>
            </w:tcMar>
          </w:tcPr>
          <w:p>
            <w:r>
              <w:rPr>
                <w:rFonts w:ascii="Arial" w:cs="Arial" w:eastAsia="Arial" w:hAnsi="Arial"/>
                <w:color w:val="0F1F3D"/>
                <w:sz w:val="20"/>
                <w:szCs w:val="20"/>
              </w:rPr>
              <w:t xml:space="preserve">Scholarship database (200+ programmes)</w:t>
            </w:r>
          </w:p>
        </w:tc>
        <w:tc>
          <w:tcPr>
            <w:tcW w:type="dxa" w:w="1400"/>
            <w:tcBorders>
              <w:top w:val="single" w:color="D1D9E6" w:sz="1"/>
              <w:left w:val="single" w:color="D1D9E6" w:sz="1"/>
              <w:bottom w:val="single" w:color="D1D9E6" w:sz="1"/>
              <w:right w:val="single" w:color="D1D9E6" w:sz="1"/>
            </w:tcBorders>
            <w:tcMar>
              <w:top w:type="dxa" w:w="80"/>
              <w:left w:type="dxa" w:w="140"/>
              <w:bottom w:type="dxa" w:w="80"/>
              <w:right w:type="dxa" w:w="140"/>
            </w:tcMar>
          </w:tcPr>
          <w:p>
            <w:r>
              <w:rPr>
                <w:rFonts w:ascii="Arial" w:cs="Arial" w:eastAsia="Arial" w:hAnsi="Arial"/>
                <w:b/>
                <w:bCs/>
                <w:color w:val="15803D"/>
                <w:sz w:val="20"/>
                <w:szCs w:val="20"/>
              </w:rPr>
              <w:t xml:space="preserve">Live</w:t>
            </w:r>
          </w:p>
        </w:tc>
        <w:tc>
          <w:tcPr>
            <w:tcW w:type="dxa" w:w="3460"/>
            <w:tcBorders>
              <w:top w:val="single" w:color="D1D9E6" w:sz="1"/>
              <w:left w:val="single" w:color="D1D9E6" w:sz="1"/>
              <w:bottom w:val="single" w:color="D1D9E6" w:sz="1"/>
              <w:right w:val="single" w:color="D1D9E6" w:sz="1"/>
            </w:tcBorders>
            <w:tcMar>
              <w:top w:type="dxa" w:w="80"/>
              <w:left w:type="dxa" w:w="140"/>
              <w:bottom w:type="dxa" w:w="80"/>
              <w:right w:type="dxa" w:w="140"/>
            </w:tcMar>
          </w:tcPr>
          <w:p>
            <w:r>
              <w:rPr>
                <w:rFonts w:ascii="Arial" w:cs="Arial" w:eastAsia="Arial" w:hAnsi="Arial"/>
                <w:color w:val="6B7280"/>
                <w:sz w:val="20"/>
                <w:szCs w:val="20"/>
              </w:rPr>
              <w:t xml:space="preserve">Sourced from official portals. Amirah agent adds new listings.</w:t>
            </w:r>
          </w:p>
        </w:tc>
      </w:tr>
      <w:tr>
        <w:tc>
          <w:tcPr>
            <w:tcW w:type="dxa" w:w="4500"/>
            <w:tcBorders>
              <w:top w:val="single" w:color="D1D9E6" w:sz="1"/>
              <w:left w:val="single" w:color="D1D9E6" w:sz="1"/>
              <w:bottom w:val="single" w:color="D1D9E6" w:sz="1"/>
              <w:right w:val="single" w:color="D1D9E6" w:sz="1"/>
            </w:tcBorders>
            <w:tcMar>
              <w:top w:type="dxa" w:w="80"/>
              <w:left w:type="dxa" w:w="140"/>
              <w:bottom w:type="dxa" w:w="80"/>
              <w:right w:type="dxa" w:w="140"/>
            </w:tcMar>
          </w:tcPr>
          <w:p>
            <w:r>
              <w:rPr>
                <w:rFonts w:ascii="Arial" w:cs="Arial" w:eastAsia="Arial" w:hAnsi="Arial"/>
                <w:color w:val="0F1F3D"/>
                <w:sz w:val="20"/>
                <w:szCs w:val="20"/>
              </w:rPr>
              <w:t xml:space="preserve">Keyword search</w:t>
            </w:r>
          </w:p>
        </w:tc>
        <w:tc>
          <w:tcPr>
            <w:tcW w:type="dxa" w:w="1400"/>
            <w:tcBorders>
              <w:top w:val="single" w:color="D1D9E6" w:sz="1"/>
              <w:left w:val="single" w:color="D1D9E6" w:sz="1"/>
              <w:bottom w:val="single" w:color="D1D9E6" w:sz="1"/>
              <w:right w:val="single" w:color="D1D9E6" w:sz="1"/>
            </w:tcBorders>
            <w:tcMar>
              <w:top w:type="dxa" w:w="80"/>
              <w:left w:type="dxa" w:w="140"/>
              <w:bottom w:type="dxa" w:w="80"/>
              <w:right w:type="dxa" w:w="140"/>
            </w:tcMar>
          </w:tcPr>
          <w:p>
            <w:r>
              <w:rPr>
                <w:rFonts w:ascii="Arial" w:cs="Arial" w:eastAsia="Arial" w:hAnsi="Arial"/>
                <w:b/>
                <w:bCs/>
                <w:color w:val="15803D"/>
                <w:sz w:val="20"/>
                <w:szCs w:val="20"/>
              </w:rPr>
              <w:t xml:space="preserve">Live</w:t>
            </w:r>
          </w:p>
        </w:tc>
        <w:tc>
          <w:tcPr>
            <w:tcW w:type="dxa" w:w="3460"/>
            <w:tcBorders>
              <w:top w:val="single" w:color="D1D9E6" w:sz="1"/>
              <w:left w:val="single" w:color="D1D9E6" w:sz="1"/>
              <w:bottom w:val="single" w:color="D1D9E6" w:sz="1"/>
              <w:right w:val="single" w:color="D1D9E6" w:sz="1"/>
            </w:tcBorders>
            <w:tcMar>
              <w:top w:type="dxa" w:w="80"/>
              <w:left w:type="dxa" w:w="140"/>
              <w:bottom w:type="dxa" w:w="80"/>
              <w:right w:type="dxa" w:w="140"/>
            </w:tcMar>
          </w:tcPr>
          <w:p>
            <w:r>
              <w:rPr>
                <w:rFonts w:ascii="Arial" w:cs="Arial" w:eastAsia="Arial" w:hAnsi="Arial"/>
                <w:color w:val="6B7280"/>
                <w:sz w:val="20"/>
                <w:szCs w:val="20"/>
              </w:rPr>
              <w:t xml:space="preserve">Search by name, provider, field, keyword</w:t>
            </w:r>
          </w:p>
        </w:tc>
      </w:tr>
      <w:tr>
        <w:tc>
          <w:tcPr>
            <w:tcW w:type="dxa" w:w="4500"/>
            <w:tcBorders>
              <w:top w:val="single" w:color="D1D9E6" w:sz="1"/>
              <w:left w:val="single" w:color="D1D9E6" w:sz="1"/>
              <w:bottom w:val="single" w:color="D1D9E6" w:sz="1"/>
              <w:right w:val="single" w:color="D1D9E6" w:sz="1"/>
            </w:tcBorders>
            <w:tcMar>
              <w:top w:type="dxa" w:w="80"/>
              <w:left w:type="dxa" w:w="140"/>
              <w:bottom w:type="dxa" w:w="80"/>
              <w:right w:type="dxa" w:w="140"/>
            </w:tcMar>
          </w:tcPr>
          <w:p>
            <w:r>
              <w:rPr>
                <w:rFonts w:ascii="Arial" w:cs="Arial" w:eastAsia="Arial" w:hAnsi="Arial"/>
                <w:color w:val="0F1F3D"/>
                <w:sz w:val="20"/>
                <w:szCs w:val="20"/>
              </w:rPr>
              <w:t xml:space="preserve">Filter — education level</w:t>
            </w:r>
          </w:p>
        </w:tc>
        <w:tc>
          <w:tcPr>
            <w:tcW w:type="dxa" w:w="1400"/>
            <w:tcBorders>
              <w:top w:val="single" w:color="D1D9E6" w:sz="1"/>
              <w:left w:val="single" w:color="D1D9E6" w:sz="1"/>
              <w:bottom w:val="single" w:color="D1D9E6" w:sz="1"/>
              <w:right w:val="single" w:color="D1D9E6" w:sz="1"/>
            </w:tcBorders>
            <w:tcMar>
              <w:top w:type="dxa" w:w="80"/>
              <w:left w:type="dxa" w:w="140"/>
              <w:bottom w:type="dxa" w:w="80"/>
              <w:right w:type="dxa" w:w="140"/>
            </w:tcMar>
          </w:tcPr>
          <w:p>
            <w:r>
              <w:rPr>
                <w:rFonts w:ascii="Arial" w:cs="Arial" w:eastAsia="Arial" w:hAnsi="Arial"/>
                <w:b/>
                <w:bCs/>
                <w:color w:val="15803D"/>
                <w:sz w:val="20"/>
                <w:szCs w:val="20"/>
              </w:rPr>
              <w:t xml:space="preserve">Live</w:t>
            </w:r>
          </w:p>
        </w:tc>
        <w:tc>
          <w:tcPr>
            <w:tcW w:type="dxa" w:w="3460"/>
            <w:tcBorders>
              <w:top w:val="single" w:color="D1D9E6" w:sz="1"/>
              <w:left w:val="single" w:color="D1D9E6" w:sz="1"/>
              <w:bottom w:val="single" w:color="D1D9E6" w:sz="1"/>
              <w:right w:val="single" w:color="D1D9E6" w:sz="1"/>
            </w:tcBorders>
            <w:tcMar>
              <w:top w:type="dxa" w:w="80"/>
              <w:left w:type="dxa" w:w="140"/>
              <w:bottom w:type="dxa" w:w="80"/>
              <w:right w:type="dxa" w:w="140"/>
            </w:tcMar>
          </w:tcPr>
          <w:p>
            <w:r>
              <w:rPr>
                <w:rFonts w:ascii="Arial" w:cs="Arial" w:eastAsia="Arial" w:hAnsi="Arial"/>
                <w:color w:val="6B7280"/>
                <w:sz w:val="20"/>
                <w:szCs w:val="20"/>
              </w:rPr>
              <w:t xml:space="preserve">PostSPM, PreU, Diploma, Undergraduate, Postgrad</w:t>
            </w:r>
          </w:p>
        </w:tc>
      </w:tr>
      <w:tr>
        <w:tc>
          <w:tcPr>
            <w:tcW w:type="dxa" w:w="4500"/>
            <w:tcBorders>
              <w:top w:val="single" w:color="D1D9E6" w:sz="1"/>
              <w:left w:val="single" w:color="D1D9E6" w:sz="1"/>
              <w:bottom w:val="single" w:color="D1D9E6" w:sz="1"/>
              <w:right w:val="single" w:color="D1D9E6" w:sz="1"/>
            </w:tcBorders>
            <w:tcMar>
              <w:top w:type="dxa" w:w="80"/>
              <w:left w:type="dxa" w:w="140"/>
              <w:bottom w:type="dxa" w:w="80"/>
              <w:right w:type="dxa" w:w="140"/>
            </w:tcMar>
          </w:tcPr>
          <w:p>
            <w:r>
              <w:rPr>
                <w:rFonts w:ascii="Arial" w:cs="Arial" w:eastAsia="Arial" w:hAnsi="Arial"/>
                <w:color w:val="0F1F3D"/>
                <w:sz w:val="20"/>
                <w:szCs w:val="20"/>
              </w:rPr>
              <w:t xml:space="preserve">Filter — funding type</w:t>
            </w:r>
          </w:p>
        </w:tc>
        <w:tc>
          <w:tcPr>
            <w:tcW w:type="dxa" w:w="1400"/>
            <w:tcBorders>
              <w:top w:val="single" w:color="D1D9E6" w:sz="1"/>
              <w:left w:val="single" w:color="D1D9E6" w:sz="1"/>
              <w:bottom w:val="single" w:color="D1D9E6" w:sz="1"/>
              <w:right w:val="single" w:color="D1D9E6" w:sz="1"/>
            </w:tcBorders>
            <w:tcMar>
              <w:top w:type="dxa" w:w="80"/>
              <w:left w:type="dxa" w:w="140"/>
              <w:bottom w:type="dxa" w:w="80"/>
              <w:right w:type="dxa" w:w="140"/>
            </w:tcMar>
          </w:tcPr>
          <w:p>
            <w:r>
              <w:rPr>
                <w:rFonts w:ascii="Arial" w:cs="Arial" w:eastAsia="Arial" w:hAnsi="Arial"/>
                <w:b/>
                <w:bCs/>
                <w:color w:val="15803D"/>
                <w:sz w:val="20"/>
                <w:szCs w:val="20"/>
              </w:rPr>
              <w:t xml:space="preserve">Live</w:t>
            </w:r>
          </w:p>
        </w:tc>
        <w:tc>
          <w:tcPr>
            <w:tcW w:type="dxa" w:w="3460"/>
            <w:tcBorders>
              <w:top w:val="single" w:color="D1D9E6" w:sz="1"/>
              <w:left w:val="single" w:color="D1D9E6" w:sz="1"/>
              <w:bottom w:val="single" w:color="D1D9E6" w:sz="1"/>
              <w:right w:val="single" w:color="D1D9E6" w:sz="1"/>
            </w:tcBorders>
            <w:tcMar>
              <w:top w:type="dxa" w:w="80"/>
              <w:left w:type="dxa" w:w="140"/>
              <w:bottom w:type="dxa" w:w="80"/>
              <w:right w:type="dxa" w:w="140"/>
            </w:tcMar>
          </w:tcPr>
          <w:p>
            <w:r>
              <w:rPr>
                <w:rFonts w:ascii="Arial" w:cs="Arial" w:eastAsia="Arial" w:hAnsi="Arial"/>
                <w:color w:val="6B7280"/>
                <w:sz w:val="20"/>
                <w:szCs w:val="20"/>
              </w:rPr>
              <w:t xml:space="preserve">Full, partial, allowance-based, loan-convertible</w:t>
            </w:r>
          </w:p>
        </w:tc>
      </w:tr>
      <w:tr>
        <w:tc>
          <w:tcPr>
            <w:tcW w:type="dxa" w:w="4500"/>
            <w:tcBorders>
              <w:top w:val="single" w:color="D1D9E6" w:sz="1"/>
              <w:left w:val="single" w:color="D1D9E6" w:sz="1"/>
              <w:bottom w:val="single" w:color="D1D9E6" w:sz="1"/>
              <w:right w:val="single" w:color="D1D9E6" w:sz="1"/>
            </w:tcBorders>
            <w:tcMar>
              <w:top w:type="dxa" w:w="80"/>
              <w:left w:type="dxa" w:w="140"/>
              <w:bottom w:type="dxa" w:w="80"/>
              <w:right w:type="dxa" w:w="140"/>
            </w:tcMar>
          </w:tcPr>
          <w:p>
            <w:r>
              <w:rPr>
                <w:rFonts w:ascii="Arial" w:cs="Arial" w:eastAsia="Arial" w:hAnsi="Arial"/>
                <w:color w:val="0F1F3D"/>
                <w:sz w:val="20"/>
                <w:szCs w:val="20"/>
              </w:rPr>
              <w:t xml:space="preserve">Filter — destination/scope</w:t>
            </w:r>
          </w:p>
        </w:tc>
        <w:tc>
          <w:tcPr>
            <w:tcW w:type="dxa" w:w="1400"/>
            <w:tcBorders>
              <w:top w:val="single" w:color="D1D9E6" w:sz="1"/>
              <w:left w:val="single" w:color="D1D9E6" w:sz="1"/>
              <w:bottom w:val="single" w:color="D1D9E6" w:sz="1"/>
              <w:right w:val="single" w:color="D1D9E6" w:sz="1"/>
            </w:tcBorders>
            <w:tcMar>
              <w:top w:type="dxa" w:w="80"/>
              <w:left w:type="dxa" w:w="140"/>
              <w:bottom w:type="dxa" w:w="80"/>
              <w:right w:type="dxa" w:w="140"/>
            </w:tcMar>
          </w:tcPr>
          <w:p>
            <w:r>
              <w:rPr>
                <w:rFonts w:ascii="Arial" w:cs="Arial" w:eastAsia="Arial" w:hAnsi="Arial"/>
                <w:b/>
                <w:bCs/>
                <w:color w:val="15803D"/>
                <w:sz w:val="20"/>
                <w:szCs w:val="20"/>
              </w:rPr>
              <w:t xml:space="preserve">Live</w:t>
            </w:r>
          </w:p>
        </w:tc>
        <w:tc>
          <w:tcPr>
            <w:tcW w:type="dxa" w:w="3460"/>
            <w:tcBorders>
              <w:top w:val="single" w:color="D1D9E6" w:sz="1"/>
              <w:left w:val="single" w:color="D1D9E6" w:sz="1"/>
              <w:bottom w:val="single" w:color="D1D9E6" w:sz="1"/>
              <w:right w:val="single" w:color="D1D9E6" w:sz="1"/>
            </w:tcBorders>
            <w:tcMar>
              <w:top w:type="dxa" w:w="80"/>
              <w:left w:type="dxa" w:w="140"/>
              <w:bottom w:type="dxa" w:w="80"/>
              <w:right w:type="dxa" w:w="140"/>
            </w:tcMar>
          </w:tcPr>
          <w:p>
            <w:r>
              <w:rPr>
                <w:rFonts w:ascii="Arial" w:cs="Arial" w:eastAsia="Arial" w:hAnsi="Arial"/>
                <w:color w:val="6B7280"/>
                <w:sz w:val="20"/>
                <w:szCs w:val="20"/>
              </w:rPr>
              <w:t xml:space="preserve">Local, overseas, open</w:t>
            </w:r>
          </w:p>
        </w:tc>
      </w:tr>
      <w:tr>
        <w:tc>
          <w:tcPr>
            <w:tcW w:type="dxa" w:w="4500"/>
            <w:tcBorders>
              <w:top w:val="single" w:color="D1D9E6" w:sz="1"/>
              <w:left w:val="single" w:color="D1D9E6" w:sz="1"/>
              <w:bottom w:val="single" w:color="D1D9E6" w:sz="1"/>
              <w:right w:val="single" w:color="D1D9E6" w:sz="1"/>
            </w:tcBorders>
            <w:tcMar>
              <w:top w:type="dxa" w:w="80"/>
              <w:left w:type="dxa" w:w="140"/>
              <w:bottom w:type="dxa" w:w="80"/>
              <w:right w:type="dxa" w:w="140"/>
            </w:tcMar>
          </w:tcPr>
          <w:p>
            <w:r>
              <w:rPr>
                <w:rFonts w:ascii="Arial" w:cs="Arial" w:eastAsia="Arial" w:hAnsi="Arial"/>
                <w:color w:val="0F1F3D"/>
                <w:sz w:val="20"/>
                <w:szCs w:val="20"/>
              </w:rPr>
              <w:t xml:space="preserve">Filter — field of study</w:t>
            </w:r>
          </w:p>
        </w:tc>
        <w:tc>
          <w:tcPr>
            <w:tcW w:type="dxa" w:w="1400"/>
            <w:tcBorders>
              <w:top w:val="single" w:color="D1D9E6" w:sz="1"/>
              <w:left w:val="single" w:color="D1D9E6" w:sz="1"/>
              <w:bottom w:val="single" w:color="D1D9E6" w:sz="1"/>
              <w:right w:val="single" w:color="D1D9E6" w:sz="1"/>
            </w:tcBorders>
            <w:tcMar>
              <w:top w:type="dxa" w:w="80"/>
              <w:left w:type="dxa" w:w="140"/>
              <w:bottom w:type="dxa" w:w="80"/>
              <w:right w:type="dxa" w:w="140"/>
            </w:tcMar>
          </w:tcPr>
          <w:p>
            <w:r>
              <w:rPr>
                <w:rFonts w:ascii="Arial" w:cs="Arial" w:eastAsia="Arial" w:hAnsi="Arial"/>
                <w:b/>
                <w:bCs/>
                <w:color w:val="15803D"/>
                <w:sz w:val="20"/>
                <w:szCs w:val="20"/>
              </w:rPr>
              <w:t xml:space="preserve">Live</w:t>
            </w:r>
          </w:p>
        </w:tc>
        <w:tc>
          <w:tcPr>
            <w:tcW w:type="dxa" w:w="3460"/>
            <w:tcBorders>
              <w:top w:val="single" w:color="D1D9E6" w:sz="1"/>
              <w:left w:val="single" w:color="D1D9E6" w:sz="1"/>
              <w:bottom w:val="single" w:color="D1D9E6" w:sz="1"/>
              <w:right w:val="single" w:color="D1D9E6" w:sz="1"/>
            </w:tcBorders>
            <w:tcMar>
              <w:top w:type="dxa" w:w="80"/>
              <w:left w:type="dxa" w:w="140"/>
              <w:bottom w:type="dxa" w:w="80"/>
              <w:right w:type="dxa" w:w="140"/>
            </w:tcMar>
          </w:tcPr>
          <w:p>
            <w:r>
              <w:rPr>
                <w:rFonts w:ascii="Arial" w:cs="Arial" w:eastAsia="Arial" w:hAnsi="Arial"/>
                <w:color w:val="6B7280"/>
                <w:sz w:val="20"/>
                <w:szCs w:val="20"/>
              </w:rPr>
              <w:t xml:space="preserve">Engineering, IT, Medicine, Business, Arts, etc.</w:t>
            </w:r>
          </w:p>
        </w:tc>
      </w:tr>
      <w:tr>
        <w:tc>
          <w:tcPr>
            <w:tcW w:type="dxa" w:w="4500"/>
            <w:tcBorders>
              <w:top w:val="single" w:color="D1D9E6" w:sz="1"/>
              <w:left w:val="single" w:color="D1D9E6" w:sz="1"/>
              <w:bottom w:val="single" w:color="D1D9E6" w:sz="1"/>
              <w:right w:val="single" w:color="D1D9E6" w:sz="1"/>
            </w:tcBorders>
            <w:tcMar>
              <w:top w:type="dxa" w:w="80"/>
              <w:left w:type="dxa" w:w="140"/>
              <w:bottom w:type="dxa" w:w="80"/>
              <w:right w:type="dxa" w:w="140"/>
            </w:tcMar>
          </w:tcPr>
          <w:p>
            <w:r>
              <w:rPr>
                <w:rFonts w:ascii="Arial" w:cs="Arial" w:eastAsia="Arial" w:hAnsi="Arial"/>
                <w:color w:val="0F1F3D"/>
                <w:sz w:val="20"/>
                <w:szCs w:val="20"/>
              </w:rPr>
              <w:t xml:space="preserve">Filter — minimum grade</w:t>
            </w:r>
          </w:p>
        </w:tc>
        <w:tc>
          <w:tcPr>
            <w:tcW w:type="dxa" w:w="1400"/>
            <w:tcBorders>
              <w:top w:val="single" w:color="D1D9E6" w:sz="1"/>
              <w:left w:val="single" w:color="D1D9E6" w:sz="1"/>
              <w:bottom w:val="single" w:color="D1D9E6" w:sz="1"/>
              <w:right w:val="single" w:color="D1D9E6" w:sz="1"/>
            </w:tcBorders>
            <w:tcMar>
              <w:top w:type="dxa" w:w="80"/>
              <w:left w:type="dxa" w:w="140"/>
              <w:bottom w:type="dxa" w:w="80"/>
              <w:right w:type="dxa" w:w="140"/>
            </w:tcMar>
          </w:tcPr>
          <w:p>
            <w:r>
              <w:rPr>
                <w:rFonts w:ascii="Arial" w:cs="Arial" w:eastAsia="Arial" w:hAnsi="Arial"/>
                <w:b/>
                <w:bCs/>
                <w:color w:val="15803D"/>
                <w:sz w:val="20"/>
                <w:szCs w:val="20"/>
              </w:rPr>
              <w:t xml:space="preserve">Live</w:t>
            </w:r>
          </w:p>
        </w:tc>
        <w:tc>
          <w:tcPr>
            <w:tcW w:type="dxa" w:w="3460"/>
            <w:tcBorders>
              <w:top w:val="single" w:color="D1D9E6" w:sz="1"/>
              <w:left w:val="single" w:color="D1D9E6" w:sz="1"/>
              <w:bottom w:val="single" w:color="D1D9E6" w:sz="1"/>
              <w:right w:val="single" w:color="D1D9E6" w:sz="1"/>
            </w:tcBorders>
            <w:tcMar>
              <w:top w:type="dxa" w:w="80"/>
              <w:left w:type="dxa" w:w="140"/>
              <w:bottom w:type="dxa" w:w="80"/>
              <w:right w:type="dxa" w:w="140"/>
            </w:tcMar>
          </w:tcPr>
          <w:p>
            <w:r>
              <w:rPr>
                <w:rFonts w:ascii="Arial" w:cs="Arial" w:eastAsia="Arial" w:hAnsi="Arial"/>
                <w:color w:val="6B7280"/>
                <w:sz w:val="20"/>
                <w:szCs w:val="20"/>
              </w:rPr>
              <w:t xml:space="preserve">Straight As, 7As, 5As, Any</w:t>
            </w:r>
          </w:p>
        </w:tc>
      </w:tr>
      <w:tr>
        <w:tc>
          <w:tcPr>
            <w:tcW w:type="dxa" w:w="4500"/>
            <w:tcBorders>
              <w:top w:val="single" w:color="D1D9E6" w:sz="1"/>
              <w:left w:val="single" w:color="D1D9E6" w:sz="1"/>
              <w:bottom w:val="single" w:color="D1D9E6" w:sz="1"/>
              <w:right w:val="single" w:color="D1D9E6" w:sz="1"/>
            </w:tcBorders>
            <w:tcMar>
              <w:top w:type="dxa" w:w="80"/>
              <w:left w:type="dxa" w:w="140"/>
              <w:bottom w:type="dxa" w:w="80"/>
              <w:right w:type="dxa" w:w="140"/>
            </w:tcMar>
          </w:tcPr>
          <w:p>
            <w:r>
              <w:rPr>
                <w:rFonts w:ascii="Arial" w:cs="Arial" w:eastAsia="Arial" w:hAnsi="Arial"/>
                <w:color w:val="0F1F3D"/>
                <w:sz w:val="20"/>
                <w:szCs w:val="20"/>
              </w:rPr>
              <w:t xml:space="preserve">Filter — eligibility</w:t>
            </w:r>
          </w:p>
        </w:tc>
        <w:tc>
          <w:tcPr>
            <w:tcW w:type="dxa" w:w="1400"/>
            <w:tcBorders>
              <w:top w:val="single" w:color="D1D9E6" w:sz="1"/>
              <w:left w:val="single" w:color="D1D9E6" w:sz="1"/>
              <w:bottom w:val="single" w:color="D1D9E6" w:sz="1"/>
              <w:right w:val="single" w:color="D1D9E6" w:sz="1"/>
            </w:tcBorders>
            <w:tcMar>
              <w:top w:type="dxa" w:w="80"/>
              <w:left w:type="dxa" w:w="140"/>
              <w:bottom w:type="dxa" w:w="80"/>
              <w:right w:type="dxa" w:w="140"/>
            </w:tcMar>
          </w:tcPr>
          <w:p>
            <w:r>
              <w:rPr>
                <w:rFonts w:ascii="Arial" w:cs="Arial" w:eastAsia="Arial" w:hAnsi="Arial"/>
                <w:b/>
                <w:bCs/>
                <w:color w:val="15803D"/>
                <w:sz w:val="20"/>
                <w:szCs w:val="20"/>
              </w:rPr>
              <w:t xml:space="preserve">Live</w:t>
            </w:r>
          </w:p>
        </w:tc>
        <w:tc>
          <w:tcPr>
            <w:tcW w:type="dxa" w:w="3460"/>
            <w:tcBorders>
              <w:top w:val="single" w:color="D1D9E6" w:sz="1"/>
              <w:left w:val="single" w:color="D1D9E6" w:sz="1"/>
              <w:bottom w:val="single" w:color="D1D9E6" w:sz="1"/>
              <w:right w:val="single" w:color="D1D9E6" w:sz="1"/>
            </w:tcBorders>
            <w:tcMar>
              <w:top w:type="dxa" w:w="80"/>
              <w:left w:type="dxa" w:w="140"/>
              <w:bottom w:type="dxa" w:w="80"/>
              <w:right w:type="dxa" w:w="140"/>
            </w:tcMar>
          </w:tcPr>
          <w:p>
            <w:r>
              <w:rPr>
                <w:rFonts w:ascii="Arial" w:cs="Arial" w:eastAsia="Arial" w:hAnsi="Arial"/>
                <w:color w:val="6B7280"/>
                <w:sz w:val="20"/>
                <w:szCs w:val="20"/>
              </w:rPr>
              <w:t xml:space="preserve">Open, Bumiputera, B40, Non-Bumi, etc.</w:t>
            </w:r>
          </w:p>
        </w:tc>
      </w:tr>
      <w:tr>
        <w:tc>
          <w:tcPr>
            <w:tcW w:type="dxa" w:w="4500"/>
            <w:tcBorders>
              <w:top w:val="single" w:color="D1D9E6" w:sz="1"/>
              <w:left w:val="single" w:color="D1D9E6" w:sz="1"/>
              <w:bottom w:val="single" w:color="D1D9E6" w:sz="1"/>
              <w:right w:val="single" w:color="D1D9E6" w:sz="1"/>
            </w:tcBorders>
            <w:tcMar>
              <w:top w:type="dxa" w:w="80"/>
              <w:left w:type="dxa" w:w="140"/>
              <w:bottom w:type="dxa" w:w="80"/>
              <w:right w:type="dxa" w:w="140"/>
            </w:tcMar>
          </w:tcPr>
          <w:p>
            <w:r>
              <w:rPr>
                <w:rFonts w:ascii="Arial" w:cs="Arial" w:eastAsia="Arial" w:hAnsi="Arial"/>
                <w:color w:val="0F1F3D"/>
                <w:sz w:val="20"/>
                <w:szCs w:val="20"/>
              </w:rPr>
              <w:t xml:space="preserve">60-day deadline urgency display</w:t>
            </w:r>
          </w:p>
        </w:tc>
        <w:tc>
          <w:tcPr>
            <w:tcW w:type="dxa" w:w="1400"/>
            <w:tcBorders>
              <w:top w:val="single" w:color="D1D9E6" w:sz="1"/>
              <w:left w:val="single" w:color="D1D9E6" w:sz="1"/>
              <w:bottom w:val="single" w:color="D1D9E6" w:sz="1"/>
              <w:right w:val="single" w:color="D1D9E6" w:sz="1"/>
            </w:tcBorders>
            <w:tcMar>
              <w:top w:type="dxa" w:w="80"/>
              <w:left w:type="dxa" w:w="140"/>
              <w:bottom w:type="dxa" w:w="80"/>
              <w:right w:type="dxa" w:w="140"/>
            </w:tcMar>
          </w:tcPr>
          <w:p>
            <w:r>
              <w:rPr>
                <w:rFonts w:ascii="Arial" w:cs="Arial" w:eastAsia="Arial" w:hAnsi="Arial"/>
                <w:b/>
                <w:bCs/>
                <w:color w:val="15803D"/>
                <w:sz w:val="20"/>
                <w:szCs w:val="20"/>
              </w:rPr>
              <w:t xml:space="preserve">Live</w:t>
            </w:r>
          </w:p>
        </w:tc>
        <w:tc>
          <w:tcPr>
            <w:tcW w:type="dxa" w:w="3460"/>
            <w:tcBorders>
              <w:top w:val="single" w:color="D1D9E6" w:sz="1"/>
              <w:left w:val="single" w:color="D1D9E6" w:sz="1"/>
              <w:bottom w:val="single" w:color="D1D9E6" w:sz="1"/>
              <w:right w:val="single" w:color="D1D9E6" w:sz="1"/>
            </w:tcBorders>
            <w:tcMar>
              <w:top w:type="dxa" w:w="80"/>
              <w:left w:type="dxa" w:w="140"/>
              <w:bottom w:type="dxa" w:w="80"/>
              <w:right w:type="dxa" w:w="140"/>
            </w:tcMar>
          </w:tcPr>
          <w:p>
            <w:r>
              <w:rPr>
                <w:rFonts w:ascii="Arial" w:cs="Arial" w:eastAsia="Arial" w:hAnsi="Arial"/>
                <w:color w:val="6B7280"/>
                <w:sz w:val="20"/>
                <w:szCs w:val="20"/>
              </w:rPr>
              <w:t xml:space="preserve">Urgent deadlines highlighted in red</w:t>
            </w:r>
          </w:p>
        </w:tc>
      </w:tr>
      <w:tr>
        <w:tc>
          <w:tcPr>
            <w:tcW w:type="dxa" w:w="4500"/>
            <w:tcBorders>
              <w:top w:val="single" w:color="D1D9E6" w:sz="1"/>
              <w:left w:val="single" w:color="D1D9E6" w:sz="1"/>
              <w:bottom w:val="single" w:color="D1D9E6" w:sz="1"/>
              <w:right w:val="single" w:color="D1D9E6" w:sz="1"/>
            </w:tcBorders>
            <w:tcMar>
              <w:top w:type="dxa" w:w="80"/>
              <w:left w:type="dxa" w:w="140"/>
              <w:bottom w:type="dxa" w:w="80"/>
              <w:right w:type="dxa" w:w="140"/>
            </w:tcMar>
          </w:tcPr>
          <w:p>
            <w:r>
              <w:rPr>
                <w:rFonts w:ascii="Arial" w:cs="Arial" w:eastAsia="Arial" w:hAnsi="Arial"/>
                <w:color w:val="0F1F3D"/>
                <w:sz w:val="20"/>
                <w:szCs w:val="20"/>
              </w:rPr>
              <w:t xml:space="preserve">Sort options</w:t>
            </w:r>
          </w:p>
        </w:tc>
        <w:tc>
          <w:tcPr>
            <w:tcW w:type="dxa" w:w="1400"/>
            <w:tcBorders>
              <w:top w:val="single" w:color="D1D9E6" w:sz="1"/>
              <w:left w:val="single" w:color="D1D9E6" w:sz="1"/>
              <w:bottom w:val="single" w:color="D1D9E6" w:sz="1"/>
              <w:right w:val="single" w:color="D1D9E6" w:sz="1"/>
            </w:tcBorders>
            <w:tcMar>
              <w:top w:type="dxa" w:w="80"/>
              <w:left w:type="dxa" w:w="140"/>
              <w:bottom w:type="dxa" w:w="80"/>
              <w:right w:type="dxa" w:w="140"/>
            </w:tcMar>
          </w:tcPr>
          <w:p>
            <w:r>
              <w:rPr>
                <w:rFonts w:ascii="Arial" w:cs="Arial" w:eastAsia="Arial" w:hAnsi="Arial"/>
                <w:b/>
                <w:bCs/>
                <w:color w:val="15803D"/>
                <w:sz w:val="20"/>
                <w:szCs w:val="20"/>
              </w:rPr>
              <w:t xml:space="preserve">Live</w:t>
            </w:r>
          </w:p>
        </w:tc>
        <w:tc>
          <w:tcPr>
            <w:tcW w:type="dxa" w:w="3460"/>
            <w:tcBorders>
              <w:top w:val="single" w:color="D1D9E6" w:sz="1"/>
              <w:left w:val="single" w:color="D1D9E6" w:sz="1"/>
              <w:bottom w:val="single" w:color="D1D9E6" w:sz="1"/>
              <w:right w:val="single" w:color="D1D9E6" w:sz="1"/>
            </w:tcBorders>
            <w:tcMar>
              <w:top w:type="dxa" w:w="80"/>
              <w:left w:type="dxa" w:w="140"/>
              <w:bottom w:type="dxa" w:w="80"/>
              <w:right w:type="dxa" w:w="140"/>
            </w:tcMar>
          </w:tcPr>
          <w:p>
            <w:r>
              <w:rPr>
                <w:rFonts w:ascii="Arial" w:cs="Arial" w:eastAsia="Arial" w:hAnsi="Arial"/>
                <w:color w:val="6B7280"/>
                <w:sz w:val="20"/>
                <w:szCs w:val="20"/>
              </w:rPr>
              <w:t xml:space="preserve">Closing soon, Newly added, A-Z, Saved first</w:t>
            </w:r>
          </w:p>
        </w:tc>
      </w:tr>
      <w:tr>
        <w:tc>
          <w:tcPr>
            <w:tcW w:type="dxa" w:w="4500"/>
            <w:tcBorders>
              <w:top w:val="single" w:color="D1D9E6" w:sz="1"/>
              <w:left w:val="single" w:color="D1D9E6" w:sz="1"/>
              <w:bottom w:val="single" w:color="D1D9E6" w:sz="1"/>
              <w:right w:val="single" w:color="D1D9E6" w:sz="1"/>
            </w:tcBorders>
            <w:tcMar>
              <w:top w:type="dxa" w:w="80"/>
              <w:left w:type="dxa" w:w="140"/>
              <w:bottom w:type="dxa" w:w="80"/>
              <w:right w:type="dxa" w:w="140"/>
            </w:tcMar>
          </w:tcPr>
          <w:p>
            <w:r>
              <w:rPr>
                <w:rFonts w:ascii="Arial" w:cs="Arial" w:eastAsia="Arial" w:hAnsi="Arial"/>
                <w:color w:val="0F1F3D"/>
                <w:sz w:val="20"/>
                <w:szCs w:val="20"/>
              </w:rPr>
              <w:t xml:space="preserve">Eligibility quiz (5-step matcher)</w:t>
            </w:r>
          </w:p>
        </w:tc>
        <w:tc>
          <w:tcPr>
            <w:tcW w:type="dxa" w:w="1400"/>
            <w:tcBorders>
              <w:top w:val="single" w:color="D1D9E6" w:sz="1"/>
              <w:left w:val="single" w:color="D1D9E6" w:sz="1"/>
              <w:bottom w:val="single" w:color="D1D9E6" w:sz="1"/>
              <w:right w:val="single" w:color="D1D9E6" w:sz="1"/>
            </w:tcBorders>
            <w:tcMar>
              <w:top w:type="dxa" w:w="80"/>
              <w:left w:type="dxa" w:w="140"/>
              <w:bottom w:type="dxa" w:w="80"/>
              <w:right w:type="dxa" w:w="140"/>
            </w:tcMar>
          </w:tcPr>
          <w:p>
            <w:r>
              <w:rPr>
                <w:rFonts w:ascii="Arial" w:cs="Arial" w:eastAsia="Arial" w:hAnsi="Arial"/>
                <w:b/>
                <w:bCs/>
                <w:color w:val="15803D"/>
                <w:sz w:val="20"/>
                <w:szCs w:val="20"/>
              </w:rPr>
              <w:t xml:space="preserve">Live</w:t>
            </w:r>
          </w:p>
        </w:tc>
        <w:tc>
          <w:tcPr>
            <w:tcW w:type="dxa" w:w="3460"/>
            <w:tcBorders>
              <w:top w:val="single" w:color="D1D9E6" w:sz="1"/>
              <w:left w:val="single" w:color="D1D9E6" w:sz="1"/>
              <w:bottom w:val="single" w:color="D1D9E6" w:sz="1"/>
              <w:right w:val="single" w:color="D1D9E6" w:sz="1"/>
            </w:tcBorders>
            <w:tcMar>
              <w:top w:type="dxa" w:w="80"/>
              <w:left w:type="dxa" w:w="140"/>
              <w:bottom w:type="dxa" w:w="80"/>
              <w:right w:type="dxa" w:w="140"/>
            </w:tcMar>
          </w:tcPr>
          <w:p>
            <w:r>
              <w:rPr>
                <w:rFonts w:ascii="Arial" w:cs="Arial" w:eastAsia="Arial" w:hAnsi="Arial"/>
                <w:color w:val="6B7280"/>
                <w:sz w:val="20"/>
                <w:szCs w:val="20"/>
              </w:rPr>
              <w:t xml:space="preserve">Level, grade, field, eligibility, interests — surfaces matched results</w:t>
            </w:r>
          </w:p>
        </w:tc>
      </w:tr>
      <w:tr>
        <w:tc>
          <w:tcPr>
            <w:tcW w:type="dxa" w:w="4500"/>
            <w:tcBorders>
              <w:top w:val="single" w:color="D1D9E6" w:sz="1"/>
              <w:left w:val="single" w:color="D1D9E6" w:sz="1"/>
              <w:bottom w:val="single" w:color="D1D9E6" w:sz="1"/>
              <w:right w:val="single" w:color="D1D9E6" w:sz="1"/>
            </w:tcBorders>
            <w:tcMar>
              <w:top w:type="dxa" w:w="80"/>
              <w:left w:type="dxa" w:w="140"/>
              <w:bottom w:type="dxa" w:w="80"/>
              <w:right w:type="dxa" w:w="140"/>
            </w:tcMar>
          </w:tcPr>
          <w:p>
            <w:r>
              <w:rPr>
                <w:rFonts w:ascii="Arial" w:cs="Arial" w:eastAsia="Arial" w:hAnsi="Arial"/>
                <w:color w:val="0F1F3D"/>
                <w:sz w:val="20"/>
                <w:szCs w:val="20"/>
              </w:rPr>
              <w:t xml:space="preserve">Scholarship comparison (up to 3)</w:t>
            </w:r>
          </w:p>
        </w:tc>
        <w:tc>
          <w:tcPr>
            <w:tcW w:type="dxa" w:w="1400"/>
            <w:tcBorders>
              <w:top w:val="single" w:color="D1D9E6" w:sz="1"/>
              <w:left w:val="single" w:color="D1D9E6" w:sz="1"/>
              <w:bottom w:val="single" w:color="D1D9E6" w:sz="1"/>
              <w:right w:val="single" w:color="D1D9E6" w:sz="1"/>
            </w:tcBorders>
            <w:tcMar>
              <w:top w:type="dxa" w:w="80"/>
              <w:left w:type="dxa" w:w="140"/>
              <w:bottom w:type="dxa" w:w="80"/>
              <w:right w:type="dxa" w:w="140"/>
            </w:tcMar>
          </w:tcPr>
          <w:p>
            <w:r>
              <w:rPr>
                <w:rFonts w:ascii="Arial" w:cs="Arial" w:eastAsia="Arial" w:hAnsi="Arial"/>
                <w:b/>
                <w:bCs/>
                <w:color w:val="15803D"/>
                <w:sz w:val="20"/>
                <w:szCs w:val="20"/>
              </w:rPr>
              <w:t xml:space="preserve">Live</w:t>
            </w:r>
          </w:p>
        </w:tc>
        <w:tc>
          <w:tcPr>
            <w:tcW w:type="dxa" w:w="3460"/>
            <w:tcBorders>
              <w:top w:val="single" w:color="D1D9E6" w:sz="1"/>
              <w:left w:val="single" w:color="D1D9E6" w:sz="1"/>
              <w:bottom w:val="single" w:color="D1D9E6" w:sz="1"/>
              <w:right w:val="single" w:color="D1D9E6" w:sz="1"/>
            </w:tcBorders>
            <w:tcMar>
              <w:top w:type="dxa" w:w="80"/>
              <w:left w:type="dxa" w:w="140"/>
              <w:bottom w:type="dxa" w:w="80"/>
              <w:right w:type="dxa" w:w="140"/>
            </w:tcMar>
          </w:tcPr>
          <w:p>
            <w:r>
              <w:rPr>
                <w:rFonts w:ascii="Arial" w:cs="Arial" w:eastAsia="Arial" w:hAnsi="Arial"/>
                <w:color w:val="6B7280"/>
                <w:sz w:val="20"/>
                <w:szCs w:val="20"/>
              </w:rPr>
              <w:t xml:space="preserve">Side-by-side comparison modal</w:t>
            </w:r>
          </w:p>
        </w:tc>
      </w:tr>
      <w:tr>
        <w:tc>
          <w:tcPr>
            <w:tcW w:type="dxa" w:w="4500"/>
            <w:tcBorders>
              <w:top w:val="single" w:color="D1D9E6" w:sz="1"/>
              <w:left w:val="single" w:color="D1D9E6" w:sz="1"/>
              <w:bottom w:val="single" w:color="D1D9E6" w:sz="1"/>
              <w:right w:val="single" w:color="D1D9E6" w:sz="1"/>
            </w:tcBorders>
            <w:tcMar>
              <w:top w:type="dxa" w:w="80"/>
              <w:left w:type="dxa" w:w="140"/>
              <w:bottom w:type="dxa" w:w="80"/>
              <w:right w:type="dxa" w:w="140"/>
            </w:tcMar>
          </w:tcPr>
          <w:p>
            <w:r>
              <w:rPr>
                <w:rFonts w:ascii="Arial" w:cs="Arial" w:eastAsia="Arial" w:hAnsi="Arial"/>
                <w:color w:val="0F1F3D"/>
                <w:sz w:val="20"/>
                <w:szCs w:val="20"/>
              </w:rPr>
              <w:t xml:space="preserve">Bookmark / Save (localStorage)</w:t>
            </w:r>
          </w:p>
        </w:tc>
        <w:tc>
          <w:tcPr>
            <w:tcW w:type="dxa" w:w="1400"/>
            <w:tcBorders>
              <w:top w:val="single" w:color="D1D9E6" w:sz="1"/>
              <w:left w:val="single" w:color="D1D9E6" w:sz="1"/>
              <w:bottom w:val="single" w:color="D1D9E6" w:sz="1"/>
              <w:right w:val="single" w:color="D1D9E6" w:sz="1"/>
            </w:tcBorders>
            <w:tcMar>
              <w:top w:type="dxa" w:w="80"/>
              <w:left w:type="dxa" w:w="140"/>
              <w:bottom w:type="dxa" w:w="80"/>
              <w:right w:type="dxa" w:w="140"/>
            </w:tcMar>
          </w:tcPr>
          <w:p>
            <w:r>
              <w:rPr>
                <w:rFonts w:ascii="Arial" w:cs="Arial" w:eastAsia="Arial" w:hAnsi="Arial"/>
                <w:b/>
                <w:bCs/>
                <w:color w:val="15803D"/>
                <w:sz w:val="20"/>
                <w:szCs w:val="20"/>
              </w:rPr>
              <w:t xml:space="preserve">Live</w:t>
            </w:r>
          </w:p>
        </w:tc>
        <w:tc>
          <w:tcPr>
            <w:tcW w:type="dxa" w:w="3460"/>
            <w:tcBorders>
              <w:top w:val="single" w:color="D1D9E6" w:sz="1"/>
              <w:left w:val="single" w:color="D1D9E6" w:sz="1"/>
              <w:bottom w:val="single" w:color="D1D9E6" w:sz="1"/>
              <w:right w:val="single" w:color="D1D9E6" w:sz="1"/>
            </w:tcBorders>
            <w:tcMar>
              <w:top w:type="dxa" w:w="80"/>
              <w:left w:type="dxa" w:w="140"/>
              <w:bottom w:type="dxa" w:w="80"/>
              <w:right w:type="dxa" w:w="140"/>
            </w:tcMar>
          </w:tcPr>
          <w:p>
            <w:r>
              <w:rPr>
                <w:rFonts w:ascii="Arial" w:cs="Arial" w:eastAsia="Arial" w:hAnsi="Arial"/>
                <w:color w:val="6B7280"/>
                <w:sz w:val="20"/>
                <w:szCs w:val="20"/>
              </w:rPr>
              <w:t xml:space="preserve">No login required — saved in browser</w:t>
            </w:r>
          </w:p>
        </w:tc>
      </w:tr>
      <w:tr>
        <w:tc>
          <w:tcPr>
            <w:tcW w:type="dxa" w:w="4500"/>
            <w:tcBorders>
              <w:top w:val="single" w:color="D1D9E6" w:sz="1"/>
              <w:left w:val="single" w:color="D1D9E6" w:sz="1"/>
              <w:bottom w:val="single" w:color="D1D9E6" w:sz="1"/>
              <w:right w:val="single" w:color="D1D9E6" w:sz="1"/>
            </w:tcBorders>
            <w:tcMar>
              <w:top w:type="dxa" w:w="80"/>
              <w:left w:type="dxa" w:w="140"/>
              <w:bottom w:type="dxa" w:w="80"/>
              <w:right w:type="dxa" w:w="140"/>
            </w:tcMar>
          </w:tcPr>
          <w:p>
            <w:r>
              <w:rPr>
                <w:rFonts w:ascii="Arial" w:cs="Arial" w:eastAsia="Arial" w:hAnsi="Arial"/>
                <w:color w:val="0F1F3D"/>
                <w:sz w:val="20"/>
                <w:szCs w:val="20"/>
              </w:rPr>
              <w:t xml:space="preserve">EN / BM language toggle</w:t>
            </w:r>
          </w:p>
        </w:tc>
        <w:tc>
          <w:tcPr>
            <w:tcW w:type="dxa" w:w="1400"/>
            <w:tcBorders>
              <w:top w:val="single" w:color="D1D9E6" w:sz="1"/>
              <w:left w:val="single" w:color="D1D9E6" w:sz="1"/>
              <w:bottom w:val="single" w:color="D1D9E6" w:sz="1"/>
              <w:right w:val="single" w:color="D1D9E6" w:sz="1"/>
            </w:tcBorders>
            <w:tcMar>
              <w:top w:type="dxa" w:w="80"/>
              <w:left w:type="dxa" w:w="140"/>
              <w:bottom w:type="dxa" w:w="80"/>
              <w:right w:type="dxa" w:w="140"/>
            </w:tcMar>
          </w:tcPr>
          <w:p>
            <w:r>
              <w:rPr>
                <w:rFonts w:ascii="Arial" w:cs="Arial" w:eastAsia="Arial" w:hAnsi="Arial"/>
                <w:b/>
                <w:bCs/>
                <w:color w:val="15803D"/>
                <w:sz w:val="20"/>
                <w:szCs w:val="20"/>
              </w:rPr>
              <w:t xml:space="preserve">Live</w:t>
            </w:r>
          </w:p>
        </w:tc>
        <w:tc>
          <w:tcPr>
            <w:tcW w:type="dxa" w:w="3460"/>
            <w:tcBorders>
              <w:top w:val="single" w:color="D1D9E6" w:sz="1"/>
              <w:left w:val="single" w:color="D1D9E6" w:sz="1"/>
              <w:bottom w:val="single" w:color="D1D9E6" w:sz="1"/>
              <w:right w:val="single" w:color="D1D9E6" w:sz="1"/>
            </w:tcBorders>
            <w:tcMar>
              <w:top w:type="dxa" w:w="80"/>
              <w:left w:type="dxa" w:w="140"/>
              <w:bottom w:type="dxa" w:w="80"/>
              <w:right w:type="dxa" w:w="140"/>
            </w:tcMar>
          </w:tcPr>
          <w:p>
            <w:r>
              <w:rPr>
                <w:rFonts w:ascii="Arial" w:cs="Arial" w:eastAsia="Arial" w:hAnsi="Arial"/>
                <w:color w:val="6B7280"/>
                <w:sz w:val="20"/>
                <w:szCs w:val="20"/>
              </w:rPr>
              <w:t xml:space="preserve">UI switches between English and Bahasa Malaysia</w:t>
            </w:r>
          </w:p>
        </w:tc>
      </w:tr>
      <w:tr>
        <w:tc>
          <w:tcPr>
            <w:tcW w:type="dxa" w:w="4500"/>
            <w:tcBorders>
              <w:top w:val="single" w:color="D1D9E6" w:sz="1"/>
              <w:left w:val="single" w:color="D1D9E6" w:sz="1"/>
              <w:bottom w:val="single" w:color="D1D9E6" w:sz="1"/>
              <w:right w:val="single" w:color="D1D9E6" w:sz="1"/>
            </w:tcBorders>
            <w:tcMar>
              <w:top w:type="dxa" w:w="80"/>
              <w:left w:type="dxa" w:w="140"/>
              <w:bottom w:type="dxa" w:w="80"/>
              <w:right w:type="dxa" w:w="140"/>
            </w:tcMar>
          </w:tcPr>
          <w:p>
            <w:r>
              <w:rPr>
                <w:rFonts w:ascii="Arial" w:cs="Arial" w:eastAsia="Arial" w:hAnsi="Arial"/>
                <w:color w:val="0F1F3D"/>
                <w:sz w:val="20"/>
                <w:szCs w:val="20"/>
              </w:rPr>
              <w:t xml:space="preserve">Correction submission form</w:t>
            </w:r>
          </w:p>
        </w:tc>
        <w:tc>
          <w:tcPr>
            <w:tcW w:type="dxa" w:w="1400"/>
            <w:tcBorders>
              <w:top w:val="single" w:color="D1D9E6" w:sz="1"/>
              <w:left w:val="single" w:color="D1D9E6" w:sz="1"/>
              <w:bottom w:val="single" w:color="D1D9E6" w:sz="1"/>
              <w:right w:val="single" w:color="D1D9E6" w:sz="1"/>
            </w:tcBorders>
            <w:tcMar>
              <w:top w:type="dxa" w:w="80"/>
              <w:left w:type="dxa" w:w="140"/>
              <w:bottom w:type="dxa" w:w="80"/>
              <w:right w:type="dxa" w:w="140"/>
            </w:tcMar>
          </w:tcPr>
          <w:p>
            <w:r>
              <w:rPr>
                <w:rFonts w:ascii="Arial" w:cs="Arial" w:eastAsia="Arial" w:hAnsi="Arial"/>
                <w:b/>
                <w:bCs/>
                <w:color w:val="15803D"/>
                <w:sz w:val="20"/>
                <w:szCs w:val="20"/>
              </w:rPr>
              <w:t xml:space="preserve">Live</w:t>
            </w:r>
          </w:p>
        </w:tc>
        <w:tc>
          <w:tcPr>
            <w:tcW w:type="dxa" w:w="3460"/>
            <w:tcBorders>
              <w:top w:val="single" w:color="D1D9E6" w:sz="1"/>
              <w:left w:val="single" w:color="D1D9E6" w:sz="1"/>
              <w:bottom w:val="single" w:color="D1D9E6" w:sz="1"/>
              <w:right w:val="single" w:color="D1D9E6" w:sz="1"/>
            </w:tcBorders>
            <w:tcMar>
              <w:top w:type="dxa" w:w="80"/>
              <w:left w:type="dxa" w:w="140"/>
              <w:bottom w:type="dxa" w:w="80"/>
              <w:right w:type="dxa" w:w="140"/>
            </w:tcMar>
          </w:tcPr>
          <w:p>
            <w:r>
              <w:rPr>
                <w:rFonts w:ascii="Arial" w:cs="Arial" w:eastAsia="Arial" w:hAnsi="Arial"/>
                <w:color w:val="6B7280"/>
                <w:sz w:val="20"/>
                <w:szCs w:val="20"/>
              </w:rPr>
              <w:t xml:space="preserve">Students can flag errors — builds trust</w:t>
            </w:r>
          </w:p>
        </w:tc>
      </w:tr>
      <w:tr>
        <w:tc>
          <w:tcPr>
            <w:tcW w:type="dxa" w:w="4500"/>
            <w:tcBorders>
              <w:top w:val="single" w:color="D1D9E6" w:sz="1"/>
              <w:left w:val="single" w:color="D1D9E6" w:sz="1"/>
              <w:bottom w:val="single" w:color="D1D9E6" w:sz="1"/>
              <w:right w:val="single" w:color="D1D9E6" w:sz="1"/>
            </w:tcBorders>
            <w:tcMar>
              <w:top w:type="dxa" w:w="80"/>
              <w:left w:type="dxa" w:w="140"/>
              <w:bottom w:type="dxa" w:w="80"/>
              <w:right w:type="dxa" w:w="140"/>
            </w:tcMar>
          </w:tcPr>
          <w:p>
            <w:r>
              <w:rPr>
                <w:rFonts w:ascii="Arial" w:cs="Arial" w:eastAsia="Arial" w:hAnsi="Arial"/>
                <w:color w:val="0F1F3D"/>
                <w:sz w:val="20"/>
                <w:szCs w:val="20"/>
              </w:rPr>
              <w:t xml:space="preserve">Email signup with interest tagging</w:t>
            </w:r>
          </w:p>
        </w:tc>
        <w:tc>
          <w:tcPr>
            <w:tcW w:type="dxa" w:w="1400"/>
            <w:tcBorders>
              <w:top w:val="single" w:color="D1D9E6" w:sz="1"/>
              <w:left w:val="single" w:color="D1D9E6" w:sz="1"/>
              <w:bottom w:val="single" w:color="D1D9E6" w:sz="1"/>
              <w:right w:val="single" w:color="D1D9E6" w:sz="1"/>
            </w:tcBorders>
            <w:tcMar>
              <w:top w:type="dxa" w:w="80"/>
              <w:left w:type="dxa" w:w="140"/>
              <w:bottom w:type="dxa" w:w="80"/>
              <w:right w:type="dxa" w:w="140"/>
            </w:tcMar>
          </w:tcPr>
          <w:p>
            <w:r>
              <w:rPr>
                <w:rFonts w:ascii="Arial" w:cs="Arial" w:eastAsia="Arial" w:hAnsi="Arial"/>
                <w:b/>
                <w:bCs/>
                <w:color w:val="15803D"/>
                <w:sz w:val="20"/>
                <w:szCs w:val="20"/>
              </w:rPr>
              <w:t xml:space="preserve">Live</w:t>
            </w:r>
          </w:p>
        </w:tc>
        <w:tc>
          <w:tcPr>
            <w:tcW w:type="dxa" w:w="3460"/>
            <w:tcBorders>
              <w:top w:val="single" w:color="D1D9E6" w:sz="1"/>
              <w:left w:val="single" w:color="D1D9E6" w:sz="1"/>
              <w:bottom w:val="single" w:color="D1D9E6" w:sz="1"/>
              <w:right w:val="single" w:color="D1D9E6" w:sz="1"/>
            </w:tcBorders>
            <w:tcMar>
              <w:top w:type="dxa" w:w="80"/>
              <w:left w:type="dxa" w:w="140"/>
              <w:bottom w:type="dxa" w:w="80"/>
              <w:right w:type="dxa" w:w="140"/>
            </w:tcMar>
          </w:tcPr>
          <w:p>
            <w:r>
              <w:rPr>
                <w:rFonts w:ascii="Arial" w:cs="Arial" w:eastAsia="Arial" w:hAnsi="Arial"/>
                <w:color w:val="6B7280"/>
                <w:sz w:val="20"/>
                <w:szCs w:val="20"/>
              </w:rPr>
              <w:t xml:space="preserve">Subscribers can signal interest in MyIntern and MyTuition</w:t>
            </w:r>
          </w:p>
        </w:tc>
      </w:tr>
      <w:tr>
        <w:tc>
          <w:tcPr>
            <w:tcW w:type="dxa" w:w="4500"/>
            <w:tcBorders>
              <w:top w:val="single" w:color="D1D9E6" w:sz="1"/>
              <w:left w:val="single" w:color="D1D9E6" w:sz="1"/>
              <w:bottom w:val="single" w:color="D1D9E6" w:sz="1"/>
              <w:right w:val="single" w:color="D1D9E6" w:sz="1"/>
            </w:tcBorders>
            <w:tcMar>
              <w:top w:type="dxa" w:w="80"/>
              <w:left w:type="dxa" w:w="140"/>
              <w:bottom w:type="dxa" w:w="80"/>
              <w:right w:type="dxa" w:w="140"/>
            </w:tcMar>
          </w:tcPr>
          <w:p>
            <w:r>
              <w:rPr>
                <w:rFonts w:ascii="Arial" w:cs="Arial" w:eastAsia="Arial" w:hAnsi="Arial"/>
                <w:color w:val="0F1F3D"/>
                <w:sz w:val="20"/>
                <w:szCs w:val="20"/>
              </w:rPr>
              <w:t xml:space="preserve">Link health checker (admin)</w:t>
            </w:r>
          </w:p>
        </w:tc>
        <w:tc>
          <w:tcPr>
            <w:tcW w:type="dxa" w:w="1400"/>
            <w:tcBorders>
              <w:top w:val="single" w:color="D1D9E6" w:sz="1"/>
              <w:left w:val="single" w:color="D1D9E6" w:sz="1"/>
              <w:bottom w:val="single" w:color="D1D9E6" w:sz="1"/>
              <w:right w:val="single" w:color="D1D9E6" w:sz="1"/>
            </w:tcBorders>
            <w:tcMar>
              <w:top w:type="dxa" w:w="80"/>
              <w:left w:type="dxa" w:w="140"/>
              <w:bottom w:type="dxa" w:w="80"/>
              <w:right w:type="dxa" w:w="140"/>
            </w:tcMar>
          </w:tcPr>
          <w:p>
            <w:r>
              <w:rPr>
                <w:rFonts w:ascii="Arial" w:cs="Arial" w:eastAsia="Arial" w:hAnsi="Arial"/>
                <w:b/>
                <w:bCs/>
                <w:color w:val="15803D"/>
                <w:sz w:val="20"/>
                <w:szCs w:val="20"/>
              </w:rPr>
              <w:t xml:space="preserve">Live</w:t>
            </w:r>
          </w:p>
        </w:tc>
        <w:tc>
          <w:tcPr>
            <w:tcW w:type="dxa" w:w="3460"/>
            <w:tcBorders>
              <w:top w:val="single" w:color="D1D9E6" w:sz="1"/>
              <w:left w:val="single" w:color="D1D9E6" w:sz="1"/>
              <w:bottom w:val="single" w:color="D1D9E6" w:sz="1"/>
              <w:right w:val="single" w:color="D1D9E6" w:sz="1"/>
            </w:tcBorders>
            <w:tcMar>
              <w:top w:type="dxa" w:w="80"/>
              <w:left w:type="dxa" w:w="140"/>
              <w:bottom w:type="dxa" w:w="80"/>
              <w:right w:type="dxa" w:w="140"/>
            </w:tcMar>
          </w:tcPr>
          <w:p>
            <w:r>
              <w:rPr>
                <w:rFonts w:ascii="Arial" w:cs="Arial" w:eastAsia="Arial" w:hAnsi="Arial"/>
                <w:color w:val="6B7280"/>
                <w:sz w:val="20"/>
                <w:szCs w:val="20"/>
              </w:rPr>
              <w:t xml:space="preserve">Supabase pg_net cron — weekly URL audit</w:t>
            </w:r>
          </w:p>
        </w:tc>
      </w:tr>
      <w:tr>
        <w:tc>
          <w:tcPr>
            <w:tcW w:type="dxa" w:w="4500"/>
            <w:tcBorders>
              <w:top w:val="single" w:color="D1D9E6" w:sz="1"/>
              <w:left w:val="single" w:color="D1D9E6" w:sz="1"/>
              <w:bottom w:val="single" w:color="D1D9E6" w:sz="1"/>
              <w:right w:val="single" w:color="D1D9E6" w:sz="1"/>
            </w:tcBorders>
            <w:tcMar>
              <w:top w:type="dxa" w:w="80"/>
              <w:left w:type="dxa" w:w="140"/>
              <w:bottom w:type="dxa" w:w="80"/>
              <w:right w:type="dxa" w:w="140"/>
            </w:tcMar>
          </w:tcPr>
          <w:p>
            <w:r>
              <w:rPr>
                <w:rFonts w:ascii="Arial" w:cs="Arial" w:eastAsia="Arial" w:hAnsi="Arial"/>
                <w:color w:val="0F1F3D"/>
                <w:sz w:val="20"/>
                <w:szCs w:val="20"/>
              </w:rPr>
              <w:t xml:space="preserve">GA4 analytics (4 events)</w:t>
            </w:r>
          </w:p>
        </w:tc>
        <w:tc>
          <w:tcPr>
            <w:tcW w:type="dxa" w:w="1400"/>
            <w:tcBorders>
              <w:top w:val="single" w:color="D1D9E6" w:sz="1"/>
              <w:left w:val="single" w:color="D1D9E6" w:sz="1"/>
              <w:bottom w:val="single" w:color="D1D9E6" w:sz="1"/>
              <w:right w:val="single" w:color="D1D9E6" w:sz="1"/>
            </w:tcBorders>
            <w:tcMar>
              <w:top w:type="dxa" w:w="80"/>
              <w:left w:type="dxa" w:w="140"/>
              <w:bottom w:type="dxa" w:w="80"/>
              <w:right w:type="dxa" w:w="140"/>
            </w:tcMar>
          </w:tcPr>
          <w:p>
            <w:r>
              <w:rPr>
                <w:rFonts w:ascii="Arial" w:cs="Arial" w:eastAsia="Arial" w:hAnsi="Arial"/>
                <w:b/>
                <w:bCs/>
                <w:color w:val="15803D"/>
                <w:sz w:val="20"/>
                <w:szCs w:val="20"/>
              </w:rPr>
              <w:t xml:space="preserve">Live</w:t>
            </w:r>
          </w:p>
        </w:tc>
        <w:tc>
          <w:tcPr>
            <w:tcW w:type="dxa" w:w="3460"/>
            <w:tcBorders>
              <w:top w:val="single" w:color="D1D9E6" w:sz="1"/>
              <w:left w:val="single" w:color="D1D9E6" w:sz="1"/>
              <w:bottom w:val="single" w:color="D1D9E6" w:sz="1"/>
              <w:right w:val="single" w:color="D1D9E6" w:sz="1"/>
            </w:tcBorders>
            <w:tcMar>
              <w:top w:type="dxa" w:w="80"/>
              <w:left w:type="dxa" w:w="140"/>
              <w:bottom w:type="dxa" w:w="80"/>
              <w:right w:type="dxa" w:w="140"/>
            </w:tcMar>
          </w:tcPr>
          <w:p>
            <w:r>
              <w:rPr>
                <w:rFonts w:ascii="Arial" w:cs="Arial" w:eastAsia="Arial" w:hAnsi="Arial"/>
                <w:color w:val="6B7280"/>
                <w:sz w:val="20"/>
                <w:szCs w:val="20"/>
              </w:rPr>
              <w:t xml:space="preserve">search_query, filter_applied, correction_submitted, quiz_completed</w:t>
            </w:r>
          </w:p>
        </w:tc>
      </w:tr>
      <w:tr>
        <w:tc>
          <w:tcPr>
            <w:tcW w:type="dxa" w:w="4500"/>
            <w:tcBorders>
              <w:top w:val="single" w:color="D1D9E6" w:sz="1"/>
              <w:left w:val="single" w:color="D1D9E6" w:sz="1"/>
              <w:bottom w:val="single" w:color="D1D9E6" w:sz="1"/>
              <w:right w:val="single" w:color="D1D9E6" w:sz="1"/>
            </w:tcBorders>
            <w:tcMar>
              <w:top w:type="dxa" w:w="80"/>
              <w:left w:type="dxa" w:w="140"/>
              <w:bottom w:type="dxa" w:w="80"/>
              <w:right w:type="dxa" w:w="140"/>
            </w:tcMar>
          </w:tcPr>
          <w:p>
            <w:r>
              <w:rPr>
                <w:rFonts w:ascii="Arial" w:cs="Arial" w:eastAsia="Arial" w:hAnsi="Arial"/>
                <w:color w:val="0F1F3D"/>
                <w:sz w:val="20"/>
                <w:szCs w:val="20"/>
              </w:rPr>
              <w:t xml:space="preserve">SEO landing pages (177+)</w:t>
            </w:r>
          </w:p>
        </w:tc>
        <w:tc>
          <w:tcPr>
            <w:tcW w:type="dxa" w:w="1400"/>
            <w:tcBorders>
              <w:top w:val="single" w:color="D1D9E6" w:sz="1"/>
              <w:left w:val="single" w:color="D1D9E6" w:sz="1"/>
              <w:bottom w:val="single" w:color="D1D9E6" w:sz="1"/>
              <w:right w:val="single" w:color="D1D9E6" w:sz="1"/>
            </w:tcBorders>
            <w:tcMar>
              <w:top w:type="dxa" w:w="80"/>
              <w:left w:type="dxa" w:w="140"/>
              <w:bottom w:type="dxa" w:w="80"/>
              <w:right w:type="dxa" w:w="140"/>
            </w:tcMar>
          </w:tcPr>
          <w:p>
            <w:r>
              <w:rPr>
                <w:rFonts w:ascii="Arial" w:cs="Arial" w:eastAsia="Arial" w:hAnsi="Arial"/>
                <w:b/>
                <w:bCs/>
                <w:color w:val="15803D"/>
                <w:sz w:val="20"/>
                <w:szCs w:val="20"/>
              </w:rPr>
              <w:t xml:space="preserve">Live</w:t>
            </w:r>
          </w:p>
        </w:tc>
        <w:tc>
          <w:tcPr>
            <w:tcW w:type="dxa" w:w="3460"/>
            <w:tcBorders>
              <w:top w:val="single" w:color="D1D9E6" w:sz="1"/>
              <w:left w:val="single" w:color="D1D9E6" w:sz="1"/>
              <w:bottom w:val="single" w:color="D1D9E6" w:sz="1"/>
              <w:right w:val="single" w:color="D1D9E6" w:sz="1"/>
            </w:tcBorders>
            <w:tcMar>
              <w:top w:type="dxa" w:w="80"/>
              <w:left w:type="dxa" w:w="140"/>
              <w:bottom w:type="dxa" w:w="80"/>
              <w:right w:type="dxa" w:w="140"/>
            </w:tcMar>
          </w:tcPr>
          <w:p>
            <w:r>
              <w:rPr>
                <w:rFonts w:ascii="Arial" w:cs="Arial" w:eastAsia="Arial" w:hAnsi="Arial"/>
                <w:color w:val="6B7280"/>
                <w:sz w:val="20"/>
                <w:szCs w:val="20"/>
              </w:rPr>
              <w:t xml:space="preserve">JACK-generated pages covering keyword clusters</w:t>
            </w:r>
          </w:p>
        </w:tc>
      </w:tr>
      <w:tr>
        <w:tc>
          <w:tcPr>
            <w:tcW w:type="dxa" w:w="4500"/>
            <w:tcBorders>
              <w:top w:val="single" w:color="D1D9E6" w:sz="1"/>
              <w:left w:val="single" w:color="D1D9E6" w:sz="1"/>
              <w:bottom w:val="single" w:color="D1D9E6" w:sz="1"/>
              <w:right w:val="single" w:color="D1D9E6" w:sz="1"/>
            </w:tcBorders>
            <w:tcMar>
              <w:top w:type="dxa" w:w="80"/>
              <w:left w:type="dxa" w:w="140"/>
              <w:bottom w:type="dxa" w:w="80"/>
              <w:right w:type="dxa" w:w="140"/>
            </w:tcMar>
          </w:tcPr>
          <w:p>
            <w:r>
              <w:rPr>
                <w:rFonts w:ascii="Arial" w:cs="Arial" w:eastAsia="Arial" w:hAnsi="Arial"/>
                <w:color w:val="0F1F3D"/>
                <w:sz w:val="20"/>
                <w:szCs w:val="20"/>
              </w:rPr>
              <w:t xml:space="preserve">Products dropdown nav</w:t>
            </w:r>
          </w:p>
        </w:tc>
        <w:tc>
          <w:tcPr>
            <w:tcW w:type="dxa" w:w="1400"/>
            <w:tcBorders>
              <w:top w:val="single" w:color="D1D9E6" w:sz="1"/>
              <w:left w:val="single" w:color="D1D9E6" w:sz="1"/>
              <w:bottom w:val="single" w:color="D1D9E6" w:sz="1"/>
              <w:right w:val="single" w:color="D1D9E6" w:sz="1"/>
            </w:tcBorders>
            <w:tcMar>
              <w:top w:type="dxa" w:w="80"/>
              <w:left w:type="dxa" w:w="140"/>
              <w:bottom w:type="dxa" w:w="80"/>
              <w:right w:type="dxa" w:w="140"/>
            </w:tcMar>
          </w:tcPr>
          <w:p>
            <w:r>
              <w:rPr>
                <w:rFonts w:ascii="Arial" w:cs="Arial" w:eastAsia="Arial" w:hAnsi="Arial"/>
                <w:b/>
                <w:bCs/>
                <w:color w:val="15803D"/>
                <w:sz w:val="20"/>
                <w:szCs w:val="20"/>
              </w:rPr>
              <w:t xml:space="preserve">Live</w:t>
            </w:r>
          </w:p>
        </w:tc>
        <w:tc>
          <w:tcPr>
            <w:tcW w:type="dxa" w:w="3460"/>
            <w:tcBorders>
              <w:top w:val="single" w:color="D1D9E6" w:sz="1"/>
              <w:left w:val="single" w:color="D1D9E6" w:sz="1"/>
              <w:bottom w:val="single" w:color="D1D9E6" w:sz="1"/>
              <w:right w:val="single" w:color="D1D9E6" w:sz="1"/>
            </w:tcBorders>
            <w:tcMar>
              <w:top w:type="dxa" w:w="80"/>
              <w:left w:type="dxa" w:w="140"/>
              <w:bottom w:type="dxa" w:w="80"/>
              <w:right w:type="dxa" w:w="140"/>
            </w:tcMar>
          </w:tcPr>
          <w:p>
            <w:r>
              <w:rPr>
                <w:rFonts w:ascii="Arial" w:cs="Arial" w:eastAsia="Arial" w:hAnsi="Arial"/>
                <w:color w:val="6B7280"/>
                <w:sz w:val="20"/>
                <w:szCs w:val="20"/>
              </w:rPr>
              <w:t xml:space="preserve">Links to MyIntern and MyTuition from main nav</w:t>
            </w:r>
          </w:p>
        </w:tc>
      </w:tr>
    </w:tbl>
    <w:p>
      <w:pPr>
        <w:spacing w:after="0" w:before="40"/>
      </w:pPr>
      <w:r>
        <w:t xml:space="preserve"/>
      </w:r>
    </w:p>
    <w:p>
      <w:pPr>
        <w:pStyle w:val="Heading1"/>
        <w:spacing w:after="120" w:before="360"/>
      </w:pPr>
      <w:r>
        <w:rPr>
          <w:rFonts w:ascii="Arial" w:cs="Arial" w:eastAsia="Arial" w:hAnsi="Arial"/>
          <w:b/>
          <w:bCs/>
          <w:color w:val="0F1F3D"/>
          <w:sz w:val="34"/>
          <w:szCs w:val="34"/>
        </w:rPr>
        <w:t xml:space="preserve">5. Data Model</w:t>
      </w:r>
    </w:p>
    <w:p>
      <w:pPr>
        <w:spacing w:after="100" w:before="60"/>
      </w:pPr>
      <w:r>
        <w:rPr>
          <w:rFonts w:ascii="Arial" w:cs="Arial" w:eastAsia="Arial" w:hAnsi="Arial"/>
          <w:color w:val="0F1F3D"/>
          <w:sz w:val="22"/>
          <w:szCs w:val="22"/>
        </w:rPr>
        <w:t xml:space="preserve">Each scholarship record in Supabase contains:</w:t>
      </w:r>
    </w:p>
    <w:p>
      <w:pPr>
        <w:spacing w:after="0" w:before="60"/>
      </w:pPr>
      <w:r>
        <w:t xml:space="preserve"/>
      </w:r>
    </w:p>
    <w:p>
      <w:pPr>
        <w:pStyle w:val="ListParagraph"/>
        <w:numPr>
          <w:ilvl w:val="0"/>
          <w:numId w:val="2"/>
        </w:numPr>
        <w:spacing w:after="40" w:before="40"/>
      </w:pPr>
      <w:r>
        <w:rPr>
          <w:rFonts w:ascii="Arial" w:cs="Arial" w:eastAsia="Arial" w:hAnsi="Arial"/>
          <w:color w:val="0F1F3D"/>
          <w:sz w:val="22"/>
          <w:szCs w:val="22"/>
        </w:rPr>
        <w:t xml:space="preserve">name — scholarship name</w:t>
      </w:r>
    </w:p>
    <w:p>
      <w:pPr>
        <w:pStyle w:val="ListParagraph"/>
        <w:numPr>
          <w:ilvl w:val="0"/>
          <w:numId w:val="2"/>
        </w:numPr>
        <w:spacing w:after="40" w:before="40"/>
      </w:pPr>
      <w:r>
        <w:rPr>
          <w:rFonts w:ascii="Arial" w:cs="Arial" w:eastAsia="Arial" w:hAnsi="Arial"/>
          <w:color w:val="0F1F3D"/>
          <w:sz w:val="22"/>
          <w:szCs w:val="22"/>
        </w:rPr>
        <w:t xml:space="preserve">provider — awarding organisation</w:t>
      </w:r>
    </w:p>
    <w:p>
      <w:pPr>
        <w:pStyle w:val="ListParagraph"/>
        <w:numPr>
          <w:ilvl w:val="0"/>
          <w:numId w:val="2"/>
        </w:numPr>
        <w:spacing w:after="40" w:before="40"/>
      </w:pPr>
      <w:r>
        <w:rPr>
          <w:rFonts w:ascii="Arial" w:cs="Arial" w:eastAsia="Arial" w:hAnsi="Arial"/>
          <w:color w:val="0F1F3D"/>
          <w:sz w:val="22"/>
          <w:szCs w:val="22"/>
        </w:rPr>
        <w:t xml:space="preserve">category — Government, GLC, Corporate, Banking, International, University, State</w:t>
      </w:r>
    </w:p>
    <w:p>
      <w:pPr>
        <w:pStyle w:val="ListParagraph"/>
        <w:numPr>
          <w:ilvl w:val="0"/>
          <w:numId w:val="2"/>
        </w:numPr>
        <w:spacing w:after="40" w:before="40"/>
      </w:pPr>
      <w:r>
        <w:rPr>
          <w:rFonts w:ascii="Arial" w:cs="Arial" w:eastAsia="Arial" w:hAnsi="Arial"/>
          <w:color w:val="0F1F3D"/>
          <w:sz w:val="22"/>
          <w:szCs w:val="22"/>
        </w:rPr>
        <w:t xml:space="preserve">level — PostSPM, PreU, Diploma, Undergrad, Postgrad (can be multiple)</w:t>
      </w:r>
    </w:p>
    <w:p>
      <w:pPr>
        <w:pStyle w:val="ListParagraph"/>
        <w:numPr>
          <w:ilvl w:val="0"/>
          <w:numId w:val="2"/>
        </w:numPr>
        <w:spacing w:after="40" w:before="40"/>
      </w:pPr>
      <w:r>
        <w:rPr>
          <w:rFonts w:ascii="Arial" w:cs="Arial" w:eastAsia="Arial" w:hAnsi="Arial"/>
          <w:color w:val="0F1F3D"/>
          <w:sz w:val="22"/>
          <w:szCs w:val="22"/>
        </w:rPr>
        <w:t xml:space="preserve">coverage — funding scope (full, partial, allowance, loan-convertible)</w:t>
      </w:r>
    </w:p>
    <w:p>
      <w:pPr>
        <w:pStyle w:val="ListParagraph"/>
        <w:numPr>
          <w:ilvl w:val="0"/>
          <w:numId w:val="2"/>
        </w:numPr>
        <w:spacing w:after="40" w:before="40"/>
      </w:pPr>
      <w:r>
        <w:rPr>
          <w:rFonts w:ascii="Arial" w:cs="Arial" w:eastAsia="Arial" w:hAnsi="Arial"/>
          <w:color w:val="0F1F3D"/>
          <w:sz w:val="22"/>
          <w:szCs w:val="22"/>
        </w:rPr>
        <w:t xml:space="preserve">scope — local, overseas, or both</w:t>
      </w:r>
    </w:p>
    <w:p>
      <w:pPr>
        <w:pStyle w:val="ListParagraph"/>
        <w:numPr>
          <w:ilvl w:val="0"/>
          <w:numId w:val="2"/>
        </w:numPr>
        <w:spacing w:after="40" w:before="40"/>
      </w:pPr>
      <w:r>
        <w:rPr>
          <w:rFonts w:ascii="Arial" w:cs="Arial" w:eastAsia="Arial" w:hAnsi="Arial"/>
          <w:color w:val="0F1F3D"/>
          <w:sz w:val="22"/>
          <w:szCs w:val="22"/>
        </w:rPr>
        <w:t xml:space="preserve">field_of_study — eligible fields (can be multiple or "any")</w:t>
      </w:r>
    </w:p>
    <w:p>
      <w:pPr>
        <w:pStyle w:val="ListParagraph"/>
        <w:numPr>
          <w:ilvl w:val="0"/>
          <w:numId w:val="2"/>
        </w:numPr>
        <w:spacing w:after="40" w:before="40"/>
      </w:pPr>
      <w:r>
        <w:rPr>
          <w:rFonts w:ascii="Arial" w:cs="Arial" w:eastAsia="Arial" w:hAnsi="Arial"/>
          <w:color w:val="0F1F3D"/>
          <w:sz w:val="22"/>
          <w:szCs w:val="22"/>
        </w:rPr>
        <w:t xml:space="preserve">eligibility — open, Bumiputera, B40, Non-Bumi, etc.</w:t>
      </w:r>
    </w:p>
    <w:p>
      <w:pPr>
        <w:pStyle w:val="ListParagraph"/>
        <w:numPr>
          <w:ilvl w:val="0"/>
          <w:numId w:val="2"/>
        </w:numPr>
        <w:spacing w:after="40" w:before="40"/>
      </w:pPr>
      <w:r>
        <w:rPr>
          <w:rFonts w:ascii="Arial" w:cs="Arial" w:eastAsia="Arial" w:hAnsi="Arial"/>
          <w:color w:val="0F1F3D"/>
          <w:sz w:val="22"/>
          <w:szCs w:val="22"/>
        </w:rPr>
        <w:t xml:space="preserve">amount_display — human-readable value string</w:t>
      </w:r>
    </w:p>
    <w:p>
      <w:pPr>
        <w:pStyle w:val="ListParagraph"/>
        <w:numPr>
          <w:ilvl w:val="0"/>
          <w:numId w:val="2"/>
        </w:numPr>
        <w:spacing w:after="40" w:before="40"/>
      </w:pPr>
      <w:r>
        <w:rPr>
          <w:rFonts w:ascii="Arial" w:cs="Arial" w:eastAsia="Arial" w:hAnsi="Arial"/>
          <w:color w:val="0F1F3D"/>
          <w:sz w:val="22"/>
          <w:szCs w:val="22"/>
        </w:rPr>
        <w:t xml:space="preserve">deadline_display — human-readable deadline</w:t>
      </w:r>
    </w:p>
    <w:p>
      <w:pPr>
        <w:pStyle w:val="ListParagraph"/>
        <w:numPr>
          <w:ilvl w:val="0"/>
          <w:numId w:val="2"/>
        </w:numPr>
        <w:spacing w:after="40" w:before="40"/>
      </w:pPr>
      <w:r>
        <w:rPr>
          <w:rFonts w:ascii="Arial" w:cs="Arial" w:eastAsia="Arial" w:hAnsi="Arial"/>
          <w:color w:val="0F1F3D"/>
          <w:sz w:val="22"/>
          <w:szCs w:val="22"/>
        </w:rPr>
        <w:t xml:space="preserve">deadline_date — machine-readable date for sorting and urgency logic</w:t>
      </w:r>
    </w:p>
    <w:p>
      <w:pPr>
        <w:pStyle w:val="ListParagraph"/>
        <w:numPr>
          <w:ilvl w:val="0"/>
          <w:numId w:val="2"/>
        </w:numPr>
        <w:spacing w:after="40" w:before="40"/>
      </w:pPr>
      <w:r>
        <w:rPr>
          <w:rFonts w:ascii="Arial" w:cs="Arial" w:eastAsia="Arial" w:hAnsi="Arial"/>
          <w:color w:val="0F1F3D"/>
          <w:sz w:val="22"/>
          <w:szCs w:val="22"/>
        </w:rPr>
        <w:t xml:space="preserve">url — official application link</w:t>
      </w:r>
    </w:p>
    <w:p>
      <w:pPr>
        <w:pStyle w:val="ListParagraph"/>
        <w:numPr>
          <w:ilvl w:val="0"/>
          <w:numId w:val="2"/>
        </w:numPr>
        <w:spacing w:after="40" w:before="40"/>
      </w:pPr>
      <w:r>
        <w:rPr>
          <w:rFonts w:ascii="Arial" w:cs="Arial" w:eastAsia="Arial" w:hAnsi="Arial"/>
          <w:color w:val="0F1F3D"/>
          <w:sz w:val="22"/>
          <w:szCs w:val="22"/>
        </w:rPr>
        <w:t xml:space="preserve">url_status — ok, suspected, broken (never mark 403 as broken)</w:t>
      </w:r>
    </w:p>
    <w:p>
      <w:pPr>
        <w:pStyle w:val="ListParagraph"/>
        <w:numPr>
          <w:ilvl w:val="0"/>
          <w:numId w:val="2"/>
        </w:numPr>
        <w:spacing w:after="40" w:before="40"/>
      </w:pPr>
      <w:r>
        <w:rPr>
          <w:rFonts w:ascii="Arial" w:cs="Arial" w:eastAsia="Arial" w:hAnsi="Arial"/>
          <w:color w:val="0F1F3D"/>
          <w:sz w:val="22"/>
          <w:szCs w:val="22"/>
        </w:rPr>
        <w:t xml:space="preserve">is_active — whether the scholarship appears in results</w:t>
      </w:r>
    </w:p>
    <w:p>
      <w:pPr>
        <w:pStyle w:val="ListParagraph"/>
        <w:numPr>
          <w:ilvl w:val="0"/>
          <w:numId w:val="2"/>
        </w:numPr>
        <w:spacing w:after="40" w:before="40"/>
      </w:pPr>
      <w:r>
        <w:rPr>
          <w:rFonts w:ascii="Arial" w:cs="Arial" w:eastAsia="Arial" w:hAnsi="Arial"/>
          <w:color w:val="0F1F3D"/>
          <w:sz w:val="22"/>
          <w:szCs w:val="22"/>
        </w:rPr>
        <w:t xml:space="preserve">notes — additional context shown in detail modal</w:t>
      </w:r>
    </w:p>
    <w:p>
      <w:pPr>
        <w:pStyle w:val="ListParagraph"/>
        <w:numPr>
          <w:ilvl w:val="0"/>
          <w:numId w:val="2"/>
        </w:numPr>
        <w:spacing w:after="40" w:before="40"/>
      </w:pPr>
      <w:r>
        <w:rPr>
          <w:rFonts w:ascii="Arial" w:cs="Arial" w:eastAsia="Arial" w:hAnsi="Arial"/>
          <w:color w:val="0F1F3D"/>
          <w:sz w:val="22"/>
          <w:szCs w:val="22"/>
        </w:rPr>
        <w:t xml:space="preserve">last_updated — date of last data review</w:t>
      </w:r>
    </w:p>
    <w:p>
      <w:pPr>
        <w:spacing w:after="0" w:before="60"/>
      </w:pPr>
      <w:r>
        <w:t xml:space="preserve"/>
      </w:r>
    </w:p>
    <w:p>
      <w:pPr>
        <w:spacing w:after="80" w:before="40"/>
      </w:pPr>
      <w:r>
        <w:rPr>
          <w:rFonts w:ascii="Arial" w:cs="Arial" w:eastAsia="Arial" w:hAnsi="Arial"/>
          <w:i/>
          <w:iCs/>
          <w:color w:val="6B7280"/>
          <w:sz w:val="20"/>
          <w:szCs w:val="20"/>
        </w:rPr>
        <w:t xml:space="preserve">IDs are not auto-increment. Always assign explicit integer IDs. Next available as of April 2026: 303.</w:t>
      </w:r>
    </w:p>
    <w:p>
      <w:pPr>
        <w:spacing w:after="0" w:before="40"/>
      </w:pPr>
      <w:r>
        <w:t xml:space="preserve"/>
      </w:r>
    </w:p>
    <w:p>
      <w:pPr>
        <w:pStyle w:val="Heading1"/>
        <w:spacing w:after="120" w:before="360"/>
      </w:pPr>
      <w:r>
        <w:rPr>
          <w:rFonts w:ascii="Arial" w:cs="Arial" w:eastAsia="Arial" w:hAnsi="Arial"/>
          <w:b/>
          <w:bCs/>
          <w:color w:val="0F1F3D"/>
          <w:sz w:val="34"/>
          <w:szCs w:val="34"/>
        </w:rPr>
        <w:t xml:space="preserve">6. Design</w:t>
      </w:r>
    </w:p>
    <w:p>
      <w:pPr>
        <w:spacing w:after="100" w:before="60"/>
      </w:pPr>
      <w:r>
        <w:rPr>
          <w:rFonts w:ascii="Arial" w:cs="Arial" w:eastAsia="Arial" w:hAnsi="Arial"/>
          <w:color w:val="0F1F3D"/>
          <w:sz w:val="22"/>
          <w:szCs w:val="22"/>
        </w:rPr>
        <w:t xml:space="preserve">MyScholar uses a light/ice aesthetic. White backgrounds, navy and midnight typography, coral accents for urgency and CTAs. The design is fixed — do not mix it with the dark glass (MyIntern) or warm linen (MyTuition) languages.</w:t>
      </w:r>
    </w:p>
    <w:p>
      <w:pPr>
        <w:spacing w:after="0" w:before="60"/>
      </w:pPr>
      <w:r>
        <w:t xml:space="preserve"/>
      </w:r>
    </w:p>
    <w:p>
      <w:pPr>
        <w:spacing w:after="100" w:before="60"/>
      </w:pPr>
      <w:r>
        <w:rPr>
          <w:rFonts w:ascii="Arial" w:cs="Arial" w:eastAsia="Arial" w:hAnsi="Arial"/>
          <w:color w:val="0F1F3D"/>
          <w:sz w:val="22"/>
          <w:szCs w:val="22"/>
        </w:rPr>
        <w:t xml:space="preserve">Cards show: scholarship name, provider, amount/value, up to 3 chips (category, coverage, scope), and deadline. No deadline chip — urgency is conveyed through text colour alone. Card actions: bookmark and view detail.</w:t>
      </w:r>
    </w:p>
    <w:p>
      <w:pPr>
        <w:spacing w:after="0" w:before="60"/>
      </w:pPr>
      <w:r>
        <w:t xml:space="preserve"/>
      </w:r>
    </w:p>
    <w:p>
      <w:pPr>
        <w:spacing w:after="100" w:before="60"/>
      </w:pPr>
      <w:r>
        <w:rPr>
          <w:rFonts w:ascii="Arial" w:cs="Arial" w:eastAsia="Arial" w:hAnsi="Arial"/>
          <w:color w:val="0F1F3D"/>
          <w:sz w:val="22"/>
          <w:szCs w:val="22"/>
        </w:rPr>
        <w:t xml:space="preserve">Mobile-first. 80%+ of users are on phones. Every layout decision is tested mentally at 390px first.</w:t>
      </w:r>
    </w:p>
    <w:p>
      <w:pPr>
        <w:spacing w:after="0" w:before="40"/>
      </w:pPr>
      <w:r>
        <w:t xml:space="preserve"/>
      </w:r>
    </w:p>
    <w:p>
      <w:pPr>
        <w:pStyle w:val="Heading1"/>
        <w:spacing w:after="120" w:before="360"/>
      </w:pPr>
      <w:r>
        <w:rPr>
          <w:rFonts w:ascii="Arial" w:cs="Arial" w:eastAsia="Arial" w:hAnsi="Arial"/>
          <w:b/>
          <w:bCs/>
          <w:color w:val="0F1F3D"/>
          <w:sz w:val="34"/>
          <w:szCs w:val="34"/>
        </w:rPr>
        <w:t xml:space="preserve">7. Roadmap</w:t>
      </w:r>
    </w:p>
    <w:p>
      <w:pPr>
        <w:pStyle w:val="Heading3"/>
        <w:spacing w:after="80" w:before="200"/>
      </w:pPr>
      <w:r>
        <w:rPr>
          <w:rFonts w:ascii="Arial" w:cs="Arial" w:eastAsia="Arial" w:hAnsi="Arial"/>
          <w:b/>
          <w:bCs/>
          <w:color w:val="0F1F3D"/>
          <w:sz w:val="22"/>
          <w:szCs w:val="22"/>
        </w:rPr>
        <w:t xml:space="preserve">Near-term (within 3 months)</w:t>
      </w:r>
    </w:p>
    <w:p>
      <w:pPr>
        <w:pStyle w:val="ListParagraph"/>
        <w:numPr>
          <w:ilvl w:val="0"/>
          <w:numId w:val="2"/>
        </w:numPr>
        <w:spacing w:after="40" w:before="40"/>
      </w:pPr>
      <w:r>
        <w:rPr>
          <w:rFonts w:ascii="Arial" w:cs="Arial" w:eastAsia="Arial" w:hAnsi="Arial"/>
          <w:color w:val="0F1F3D"/>
          <w:sz w:val="22"/>
          <w:szCs w:val="22"/>
        </w:rPr>
        <w:t xml:space="preserve">Review and restore or retire the 21 hidden scholarships (broken URL audit backlog)</w:t>
      </w:r>
    </w:p>
    <w:p>
      <w:pPr>
        <w:pStyle w:val="ListParagraph"/>
        <w:numPr>
          <w:ilvl w:val="0"/>
          <w:numId w:val="2"/>
        </w:numPr>
        <w:spacing w:after="40" w:before="40"/>
      </w:pPr>
      <w:r>
        <w:rPr>
          <w:rFonts w:ascii="Arial" w:cs="Arial" w:eastAsia="Arial" w:hAnsi="Arial"/>
          <w:color w:val="0F1F3D"/>
          <w:sz w:val="22"/>
          <w:szCs w:val="22"/>
        </w:rPr>
        <w:t xml:space="preserve">Add BM translations for all card copy to complete the language toggle</w:t>
      </w:r>
    </w:p>
    <w:p>
      <w:pPr>
        <w:pStyle w:val="ListParagraph"/>
        <w:numPr>
          <w:ilvl w:val="0"/>
          <w:numId w:val="2"/>
        </w:numPr>
        <w:spacing w:after="40" w:before="40"/>
      </w:pPr>
      <w:r>
        <w:rPr>
          <w:rFonts w:ascii="Arial" w:cs="Arial" w:eastAsia="Arial" w:hAnsi="Arial"/>
          <w:color w:val="0F1F3D"/>
          <w:sz w:val="22"/>
          <w:szCs w:val="22"/>
        </w:rPr>
        <w:t xml:space="preserve">SPM pathways guide — a simple explainer of which qualifications unlock which scholarships</w:t>
      </w:r>
    </w:p>
    <w:p>
      <w:pPr>
        <w:spacing w:after="0" w:before="60"/>
      </w:pPr>
      <w:r>
        <w:t xml:space="preserve"/>
      </w:r>
    </w:p>
    <w:p>
      <w:pPr>
        <w:pStyle w:val="Heading3"/>
        <w:spacing w:after="80" w:before="200"/>
      </w:pPr>
      <w:r>
        <w:rPr>
          <w:rFonts w:ascii="Arial" w:cs="Arial" w:eastAsia="Arial" w:hAnsi="Arial"/>
          <w:b/>
          <w:bCs/>
          <w:color w:val="0F1F3D"/>
          <w:sz w:val="22"/>
          <w:szCs w:val="22"/>
        </w:rPr>
        <w:t xml:space="preserve">Medium-term</w:t>
      </w:r>
    </w:p>
    <w:p>
      <w:pPr>
        <w:pStyle w:val="ListParagraph"/>
        <w:numPr>
          <w:ilvl w:val="0"/>
          <w:numId w:val="2"/>
        </w:numPr>
        <w:spacing w:after="40" w:before="40"/>
      </w:pPr>
      <w:r>
        <w:rPr>
          <w:rFonts w:ascii="Arial" w:cs="Arial" w:eastAsia="Arial" w:hAnsi="Arial"/>
          <w:color w:val="0F1F3D"/>
          <w:sz w:val="22"/>
          <w:szCs w:val="22"/>
        </w:rPr>
        <w:t xml:space="preserve">PTPTN calculator — B40/M40/T20 repayment estimate tool</w:t>
      </w:r>
    </w:p>
    <w:p>
      <w:pPr>
        <w:pStyle w:val="ListParagraph"/>
        <w:numPr>
          <w:ilvl w:val="0"/>
          <w:numId w:val="2"/>
        </w:numPr>
        <w:spacing w:after="40" w:before="40"/>
      </w:pPr>
      <w:r>
        <w:rPr>
          <w:rFonts w:ascii="Arial" w:cs="Arial" w:eastAsia="Arial" w:hAnsi="Arial"/>
          <w:color w:val="0F1F3D"/>
          <w:sz w:val="22"/>
          <w:szCs w:val="22"/>
        </w:rPr>
        <w:t xml:space="preserve">Application timeline view — calendar showing closing deadlines in the next 90 days</w:t>
      </w:r>
    </w:p>
    <w:p>
      <w:pPr>
        <w:pStyle w:val="ListParagraph"/>
        <w:numPr>
          <w:ilvl w:val="0"/>
          <w:numId w:val="2"/>
        </w:numPr>
        <w:spacing w:after="40" w:before="40"/>
      </w:pPr>
      <w:r>
        <w:rPr>
          <w:rFonts w:ascii="Arial" w:cs="Arial" w:eastAsia="Arial" w:hAnsi="Arial"/>
          <w:color w:val="0F1F3D"/>
          <w:sz w:val="22"/>
          <w:szCs w:val="22"/>
        </w:rPr>
        <w:t xml:space="preserve">"Closing soon" email digest — weekly email to subscribers listing scholarships closing in 14 days (requires review of subscriber infrastructure)</w:t>
      </w:r>
    </w:p>
    <w:p>
      <w:pPr>
        <w:spacing w:after="0" w:before="60"/>
      </w:pPr>
      <w:r>
        <w:t xml:space="preserve"/>
      </w:r>
    </w:p>
    <w:p>
      <w:pPr>
        <w:pStyle w:val="Heading3"/>
        <w:spacing w:after="80" w:before="200"/>
      </w:pPr>
      <w:r>
        <w:rPr>
          <w:rFonts w:ascii="Arial" w:cs="Arial" w:eastAsia="Arial" w:hAnsi="Arial"/>
          <w:b/>
          <w:bCs/>
          <w:color w:val="0F1F3D"/>
          <w:sz w:val="22"/>
          <w:szCs w:val="22"/>
        </w:rPr>
        <w:t xml:space="preserve">Longer-term</w:t>
      </w:r>
    </w:p>
    <w:p>
      <w:pPr>
        <w:pStyle w:val="ListParagraph"/>
        <w:numPr>
          <w:ilvl w:val="0"/>
          <w:numId w:val="2"/>
        </w:numPr>
        <w:spacing w:after="40" w:before="40"/>
      </w:pPr>
      <w:r>
        <w:rPr>
          <w:rFonts w:ascii="Arial" w:cs="Arial" w:eastAsia="Arial" w:hAnsi="Arial"/>
          <w:color w:val="0F1F3D"/>
          <w:sz w:val="22"/>
          <w:szCs w:val="22"/>
        </w:rPr>
        <w:t xml:space="preserve">User accounts — opt-in, unlocks saved history across devices and personalised alerts</w:t>
      </w:r>
    </w:p>
    <w:p>
      <w:pPr>
        <w:pStyle w:val="ListParagraph"/>
        <w:numPr>
          <w:ilvl w:val="0"/>
          <w:numId w:val="2"/>
        </w:numPr>
        <w:spacing w:after="40" w:before="40"/>
      </w:pPr>
      <w:r>
        <w:rPr>
          <w:rFonts w:ascii="Arial" w:cs="Arial" w:eastAsia="Arial" w:hAnsi="Arial"/>
          <w:color w:val="0F1F3D"/>
          <w:sz w:val="22"/>
          <w:szCs w:val="22"/>
        </w:rPr>
        <w:t xml:space="preserve">Success stories — verified outcomes from scholarship recipients (trust signal and SEO)</w:t>
      </w:r>
    </w:p>
    <w:p>
      <w:pPr>
        <w:pStyle w:val="ListParagraph"/>
        <w:numPr>
          <w:ilvl w:val="0"/>
          <w:numId w:val="2"/>
        </w:numPr>
        <w:spacing w:after="40" w:before="40"/>
      </w:pPr>
      <w:r>
        <w:rPr>
          <w:rFonts w:ascii="Arial" w:cs="Arial" w:eastAsia="Arial" w:hAnsi="Arial"/>
          <w:color w:val="0F1F3D"/>
          <w:sz w:val="22"/>
          <w:szCs w:val="22"/>
        </w:rPr>
        <w:t xml:space="preserve">Provider dashboards — self-service listing management for scholarship providers (monetisation path)</w:t>
      </w:r>
    </w:p>
    <w:p>
      <w:pPr>
        <w:pStyle w:val="ListParagraph"/>
        <w:numPr>
          <w:ilvl w:val="0"/>
          <w:numId w:val="2"/>
        </w:numPr>
        <w:spacing w:after="40" w:before="40"/>
      </w:pPr>
      <w:r>
        <w:rPr>
          <w:rFonts w:ascii="Arial" w:cs="Arial" w:eastAsia="Arial" w:hAnsi="Arial"/>
          <w:color w:val="0F1F3D"/>
          <w:sz w:val="22"/>
          <w:szCs w:val="22"/>
        </w:rPr>
        <w:t xml:space="preserve">Cross-platform identity — if user has used MyIntern or MyTuition, surface relevant scholarships based on stated interests</w:t>
      </w:r>
    </w:p>
    <w:p>
      <w:pPr>
        <w:spacing w:after="0" w:before="40"/>
      </w:pPr>
      <w:r>
        <w:t xml:space="preserve"/>
      </w:r>
    </w:p>
    <w:p>
      <w:pPr>
        <w:pStyle w:val="Heading1"/>
        <w:spacing w:after="120" w:before="360"/>
      </w:pPr>
      <w:r>
        <w:rPr>
          <w:rFonts w:ascii="Arial" w:cs="Arial" w:eastAsia="Arial" w:hAnsi="Arial"/>
          <w:b/>
          <w:bCs/>
          <w:color w:val="0F1F3D"/>
          <w:sz w:val="34"/>
          <w:szCs w:val="34"/>
        </w:rPr>
        <w:t xml:space="preserve">8. Agent Team</w:t>
      </w:r>
    </w:p>
    <w:p>
      <w:pPr>
        <w:spacing w:after="100" w:before="60"/>
      </w:pPr>
      <w:r>
        <w:rPr>
          <w:rFonts w:ascii="Arial" w:cs="Arial" w:eastAsia="Arial" w:hAnsi="Arial"/>
          <w:color w:val="0F1F3D"/>
          <w:sz w:val="22"/>
          <w:szCs w:val="22"/>
        </w:rPr>
        <w:t xml:space="preserve">MyScholar is maintained by a small team of Claude agents, each with a defined scope: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9E6" w:sz="1"/>
              <w:left w:val="single" w:color="D1D9E6" w:sz="1"/>
              <w:bottom w:val="single" w:color="D1D9E6" w:sz="1"/>
              <w:right w:val="single" w:color="D1D9E6" w:sz="1"/>
            </w:tcBorders>
            <w:shd w:fill="F0F4FA" w:val="clear"/>
            <w:tcMar>
              <w:top w:type="dxa" w:w="80"/>
              <w:left w:type="dxa" w:w="140"/>
              <w:bottom w:type="dxa" w:w="80"/>
              <w:right w:type="dxa" w:w="140"/>
            </w:tcMar>
          </w:tcPr>
          <w:p>
            <w:r>
              <w:rPr>
                <w:rFonts w:ascii="Arial" w:cs="Arial" w:eastAsia="Arial" w:hAnsi="Arial"/>
                <w:b/>
                <w:bCs/>
                <w:color w:val="1E3A6E"/>
                <w:sz w:val="20"/>
                <w:szCs w:val="20"/>
              </w:rPr>
              <w:t xml:space="preserve">Amirah</w:t>
            </w:r>
          </w:p>
        </w:tc>
        <w:tc>
          <w:tcPr>
            <w:tcW w:type="dxa" w:w="6360"/>
            <w:tcBorders>
              <w:top w:val="single" w:color="D1D9E6" w:sz="1"/>
              <w:left w:val="single" w:color="D1D9E6" w:sz="1"/>
              <w:bottom w:val="single" w:color="D1D9E6" w:sz="1"/>
              <w:right w:val="single" w:color="D1D9E6" w:sz="1"/>
            </w:tcBorders>
            <w:tcMar>
              <w:top w:type="dxa" w:w="80"/>
              <w:left w:type="dxa" w:w="140"/>
              <w:bottom w:type="dxa" w:w="80"/>
              <w:right w:type="dxa" w:w="140"/>
            </w:tcMar>
          </w:tcPr>
          <w:p>
            <w:r>
              <w:rPr>
                <w:rFonts w:ascii="Arial" w:cs="Arial" w:eastAsia="Arial" w:hAnsi="Arial"/>
                <w:color w:val="0F1F3D"/>
                <w:sz w:val="20"/>
                <w:szCs w:val="20"/>
              </w:rPr>
              <w:t xml:space="preserve">Scholarship researcher. Finds new programmes, verifies eligibility, prepares database inserts.</w:t>
            </w:r>
          </w:p>
        </w:tc>
      </w:tr>
      <w:tr>
        <w:tc>
          <w:tcPr>
            <w:tcW w:type="dxa" w:w="3000"/>
            <w:tcBorders>
              <w:top w:val="single" w:color="D1D9E6" w:sz="1"/>
              <w:left w:val="single" w:color="D1D9E6" w:sz="1"/>
              <w:bottom w:val="single" w:color="D1D9E6" w:sz="1"/>
              <w:right w:val="single" w:color="D1D9E6" w:sz="1"/>
            </w:tcBorders>
            <w:shd w:fill="F0F4FA" w:val="clear"/>
            <w:tcMar>
              <w:top w:type="dxa" w:w="80"/>
              <w:left w:type="dxa" w:w="140"/>
              <w:bottom w:type="dxa" w:w="80"/>
              <w:right w:type="dxa" w:w="140"/>
            </w:tcMar>
          </w:tcPr>
          <w:p>
            <w:r>
              <w:rPr>
                <w:rFonts w:ascii="Arial" w:cs="Arial" w:eastAsia="Arial" w:hAnsi="Arial"/>
                <w:b/>
                <w:bCs/>
                <w:color w:val="1E3A6E"/>
                <w:sz w:val="20"/>
                <w:szCs w:val="20"/>
              </w:rPr>
              <w:t xml:space="preserve">Diana</w:t>
            </w:r>
          </w:p>
        </w:tc>
        <w:tc>
          <w:tcPr>
            <w:tcW w:type="dxa" w:w="6360"/>
            <w:tcBorders>
              <w:top w:val="single" w:color="D1D9E6" w:sz="1"/>
              <w:left w:val="single" w:color="D1D9E6" w:sz="1"/>
              <w:bottom w:val="single" w:color="D1D9E6" w:sz="1"/>
              <w:right w:val="single" w:color="D1D9E6" w:sz="1"/>
            </w:tcBorders>
            <w:tcMar>
              <w:top w:type="dxa" w:w="80"/>
              <w:left w:type="dxa" w:w="140"/>
              <w:bottom w:type="dxa" w:w="80"/>
              <w:right w:type="dxa" w:w="140"/>
            </w:tcMar>
          </w:tcPr>
          <w:p>
            <w:r>
              <w:rPr>
                <w:rFonts w:ascii="Arial" w:cs="Arial" w:eastAsia="Arial" w:hAnsi="Arial"/>
                <w:color w:val="0F1F3D"/>
                <w:sz w:val="20"/>
                <w:szCs w:val="20"/>
              </w:rPr>
              <w:t xml:space="preserve">Scholarship intelligence. Analyses gaps, spots patterns in what is missing.</w:t>
            </w:r>
          </w:p>
        </w:tc>
      </w:tr>
      <w:tr>
        <w:tc>
          <w:tcPr>
            <w:tcW w:type="dxa" w:w="3000"/>
            <w:tcBorders>
              <w:top w:val="single" w:color="D1D9E6" w:sz="1"/>
              <w:left w:val="single" w:color="D1D9E6" w:sz="1"/>
              <w:bottom w:val="single" w:color="D1D9E6" w:sz="1"/>
              <w:right w:val="single" w:color="D1D9E6" w:sz="1"/>
            </w:tcBorders>
            <w:shd w:fill="F0F4FA" w:val="clear"/>
            <w:tcMar>
              <w:top w:type="dxa" w:w="80"/>
              <w:left w:type="dxa" w:w="140"/>
              <w:bottom w:type="dxa" w:w="80"/>
              <w:right w:type="dxa" w:w="140"/>
            </w:tcMar>
          </w:tcPr>
          <w:p>
            <w:r>
              <w:rPr>
                <w:rFonts w:ascii="Arial" w:cs="Arial" w:eastAsia="Arial" w:hAnsi="Arial"/>
                <w:b/>
                <w:bCs/>
                <w:color w:val="1E3A6E"/>
                <w:sz w:val="20"/>
                <w:szCs w:val="20"/>
              </w:rPr>
              <w:t xml:space="preserve">JACK</w:t>
            </w:r>
          </w:p>
        </w:tc>
        <w:tc>
          <w:tcPr>
            <w:tcW w:type="dxa" w:w="6360"/>
            <w:tcBorders>
              <w:top w:val="single" w:color="D1D9E6" w:sz="1"/>
              <w:left w:val="single" w:color="D1D9E6" w:sz="1"/>
              <w:bottom w:val="single" w:color="D1D9E6" w:sz="1"/>
              <w:right w:val="single" w:color="D1D9E6" w:sz="1"/>
            </w:tcBorders>
            <w:tcMar>
              <w:top w:type="dxa" w:w="80"/>
              <w:left w:type="dxa" w:w="140"/>
              <w:bottom w:type="dxa" w:w="80"/>
              <w:right w:type="dxa" w:w="140"/>
            </w:tcMar>
          </w:tcPr>
          <w:p>
            <w:r>
              <w:rPr>
                <w:rFonts w:ascii="Arial" w:cs="Arial" w:eastAsia="Arial" w:hAnsi="Arial"/>
                <w:color w:val="0F1F3D"/>
                <w:sz w:val="20"/>
                <w:szCs w:val="20"/>
              </w:rPr>
              <w:t xml:space="preserve">SEO page generator. Produces keyword-targeted landing pages using jack-run.js + wave scripts.</w:t>
            </w:r>
          </w:p>
        </w:tc>
      </w:tr>
      <w:tr>
        <w:tc>
          <w:tcPr>
            <w:tcW w:type="dxa" w:w="3000"/>
            <w:tcBorders>
              <w:top w:val="single" w:color="D1D9E6" w:sz="1"/>
              <w:left w:val="single" w:color="D1D9E6" w:sz="1"/>
              <w:bottom w:val="single" w:color="D1D9E6" w:sz="1"/>
              <w:right w:val="single" w:color="D1D9E6" w:sz="1"/>
            </w:tcBorders>
            <w:shd w:fill="F0F4FA" w:val="clear"/>
            <w:tcMar>
              <w:top w:type="dxa" w:w="80"/>
              <w:left w:type="dxa" w:w="140"/>
              <w:bottom w:type="dxa" w:w="80"/>
              <w:right w:type="dxa" w:w="140"/>
            </w:tcMar>
          </w:tcPr>
          <w:p>
            <w:r>
              <w:rPr>
                <w:rFonts w:ascii="Arial" w:cs="Arial" w:eastAsia="Arial" w:hAnsi="Arial"/>
                <w:b/>
                <w:bCs/>
                <w:color w:val="1E3A6E"/>
                <w:sz w:val="20"/>
                <w:szCs w:val="20"/>
              </w:rPr>
              <w:t xml:space="preserve">SOFIA</w:t>
            </w:r>
          </w:p>
        </w:tc>
        <w:tc>
          <w:tcPr>
            <w:tcW w:type="dxa" w:w="6360"/>
            <w:tcBorders>
              <w:top w:val="single" w:color="D1D9E6" w:sz="1"/>
              <w:left w:val="single" w:color="D1D9E6" w:sz="1"/>
              <w:bottom w:val="single" w:color="D1D9E6" w:sz="1"/>
              <w:right w:val="single" w:color="D1D9E6" w:sz="1"/>
            </w:tcBorders>
            <w:tcMar>
              <w:top w:type="dxa" w:w="80"/>
              <w:left w:type="dxa" w:w="140"/>
              <w:bottom w:type="dxa" w:w="80"/>
              <w:right w:type="dxa" w:w="140"/>
            </w:tcMar>
          </w:tcPr>
          <w:p>
            <w:r>
              <w:rPr>
                <w:rFonts w:ascii="Arial" w:cs="Arial" w:eastAsia="Arial" w:hAnsi="Arial"/>
                <w:color w:val="0F1F3D"/>
                <w:sz w:val="20"/>
                <w:szCs w:val="20"/>
              </w:rPr>
              <w:t xml:space="preserve">Chief Product and Growth Officer. Monthly ops planning, roadmap, and product decisions.</w:t>
            </w:r>
          </w:p>
        </w:tc>
      </w:tr>
    </w:tbl>
    <w:p>
      <w:pPr>
        <w:spacing w:after="0" w:before="40"/>
      </w:pPr>
      <w:r>
        <w:t xml:space="preserve"/>
      </w:r>
    </w:p>
    <w:p>
      <w:pPr>
        <w:pStyle w:val="Heading1"/>
        <w:spacing w:after="120" w:before="360"/>
      </w:pPr>
      <w:r>
        <w:rPr>
          <w:rFonts w:ascii="Arial" w:cs="Arial" w:eastAsia="Arial" w:hAnsi="Arial"/>
          <w:b/>
          <w:bCs/>
          <w:color w:val="0F1F3D"/>
          <w:sz w:val="34"/>
          <w:szCs w:val="34"/>
        </w:rPr>
        <w:t xml:space="preserve">9. Constraints</w:t>
      </w:r>
    </w:p>
    <w:p>
      <w:pPr>
        <w:pStyle w:val="ListParagraph"/>
        <w:numPr>
          <w:ilvl w:val="0"/>
          <w:numId w:val="2"/>
        </w:numPr>
        <w:spacing w:after="40" w:before="40"/>
      </w:pPr>
      <w:r>
        <w:rPr>
          <w:rFonts w:ascii="Arial" w:cs="Arial" w:eastAsia="Arial" w:hAnsi="Arial"/>
          <w:color w:val="0F1F3D"/>
          <w:sz w:val="22"/>
          <w:szCs w:val="22"/>
        </w:rPr>
        <w:t xml:space="preserve">Single-file SPA — all UI must live in index.html. No separate JS/CSS files, no Node server.</w:t>
      </w:r>
    </w:p>
    <w:p>
      <w:pPr>
        <w:pStyle w:val="ListParagraph"/>
        <w:numPr>
          <w:ilvl w:val="0"/>
          <w:numId w:val="2"/>
        </w:numPr>
        <w:spacing w:after="40" w:before="40"/>
      </w:pPr>
      <w:r>
        <w:rPr>
          <w:rFonts w:ascii="Arial" w:cs="Arial" w:eastAsia="Arial" w:hAnsi="Arial"/>
          <w:color w:val="0F1F3D"/>
          <w:sz w:val="22"/>
          <w:szCs w:val="22"/>
        </w:rPr>
        <w:t xml:space="preserve">GitHub Pages hosting — static files only.</w:t>
      </w:r>
    </w:p>
    <w:p>
      <w:pPr>
        <w:pStyle w:val="ListParagraph"/>
        <w:numPr>
          <w:ilvl w:val="0"/>
          <w:numId w:val="2"/>
        </w:numPr>
        <w:spacing w:after="40" w:before="40"/>
      </w:pPr>
      <w:r>
        <w:rPr>
          <w:rFonts w:ascii="Arial" w:cs="Arial" w:eastAsia="Arial" w:hAnsi="Arial"/>
          <w:color w:val="0F1F3D"/>
          <w:sz w:val="22"/>
          <w:szCs w:val="22"/>
        </w:rPr>
        <w:t xml:space="preserve">The scholarship count in all UI copy is permanently "200+" — do not update the number.</w:t>
      </w:r>
    </w:p>
    <w:p>
      <w:pPr>
        <w:pStyle w:val="ListParagraph"/>
        <w:numPr>
          <w:ilvl w:val="0"/>
          <w:numId w:val="2"/>
        </w:numPr>
        <w:spacing w:after="40" w:before="40"/>
      </w:pPr>
      <w:r>
        <w:rPr>
          <w:rFonts w:ascii="Arial" w:cs="Arial" w:eastAsia="Arial" w:hAnsi="Arial"/>
          <w:color w:val="0F1F3D"/>
          <w:sz w:val="22"/>
          <w:szCs w:val="22"/>
        </w:rPr>
        <w:t xml:space="preserve">File integrity is critical — silent byte corruption has occurred before. Always verify initData() is present and byte count is stable before deploying edits.</w:t>
      </w:r>
    </w:p>
    <w:p>
      <w:pPr>
        <w:pStyle w:val="ListParagraph"/>
        <w:numPr>
          <w:ilvl w:val="0"/>
          <w:numId w:val="2"/>
        </w:numPr>
        <w:spacing w:after="40" w:before="40"/>
      </w:pPr>
      <w:r>
        <w:rPr>
          <w:rFonts w:ascii="Arial" w:cs="Arial" w:eastAsia="Arial" w:hAnsi="Arial"/>
          <w:color w:val="0F1F3D"/>
          <w:sz w:val="22"/>
          <w:szCs w:val="22"/>
        </w:rPr>
        <w:t xml:space="preserve">No user accounts yet — bookmarks are stored in localStorage only.</w:t>
      </w:r>
    </w:p>
    <w:p>
      <w:pPr>
        <w:spacing w:after="0" w:before="80"/>
      </w:pPr>
      <w:r>
        <w:t xml:space="preserve"/>
      </w:r>
    </w:p>
    <w:p>
      <w:pPr>
        <w:spacing w:after="80" w:before="40"/>
      </w:pPr>
      <w:r>
        <w:rPr>
          <w:rFonts w:ascii="Arial" w:cs="Arial" w:eastAsia="Arial" w:hAnsi="Arial"/>
          <w:i/>
          <w:iCs/>
          <w:color w:val="6B7280"/>
          <w:sz w:val="20"/>
          <w:szCs w:val="20"/>
        </w:rPr>
        <w:t xml:space="preserve">MyScholar is part of a three-product ecosystem with MyIntern and MyTuition, together forming the MyScholar.my platform — one domain, three life stages of a Malaysian student's journey.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F1F3D"/>
      <w:sz w:val="34"/>
      <w:szCs w:val="34"/>
    </w:rPr>
  </w:style>
  <w:style w:type="paragraph" w:styleId="Heading2">
    <w:name w:val="Heading 2"/>
    <w:basedOn w:val="Normal"/>
    <w:next w:val="Normal"/>
    <w:qFormat/>
    <w:pPr>
      <w:spacing w:after="100" w:before="280"/>
      <w:outlineLvl w:val="1"/>
    </w:pPr>
    <w:rPr>
      <w:rFonts w:ascii="Arial" w:cs="Arial" w:eastAsia="Arial" w:hAnsi="Arial"/>
      <w:b/>
      <w:bCs/>
      <w:color w:val="1E3A6E"/>
      <w:sz w:val="26"/>
      <w:szCs w:val="26"/>
    </w:rPr>
  </w:style>
  <w:style w:type="paragraph" w:styleId="Heading3">
    <w:name w:val="Heading 3"/>
    <w:basedOn w:val="Normal"/>
    <w:next w:val="Normal"/>
    <w:qFormat/>
    <w:pPr>
      <w:spacing w:after="80" w:before="200"/>
      <w:outlineLvl w:val="2"/>
    </w:pPr>
    <w:rPr>
      <w:rFonts w:ascii="Arial" w:cs="Arial" w:eastAsia="Arial" w:hAnsi="Arial"/>
      <w:b/>
      <w:bCs/>
      <w:color w:val="0F1F3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2026-04-18T10:43:38.098Z</dcterms:created>
  <dcterms:modified xsi:type="dcterms:W3CDTF">2026-04-18T10:43:38.098Z</dcterms:modified>
</cp:coreProperties>
</file>

<file path=docProps/custom.xml><?xml version="1.0" encoding="utf-8"?>
<Properties xmlns="http://schemas.openxmlformats.org/officeDocument/2006/custom-properties" xmlns:vt="http://schemas.openxmlformats.org/officeDocument/2006/docPropsVTypes"/>
</file>