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t xml:space="preserve"/>
      </w:r>
    </w:p>
    <w:p>
      <w:pPr>
        <w:spacing w:after="120" w:before="0"/>
        <w:jc w:val="center"/>
      </w:pPr>
      <w:r>
        <w:rPr>
          <w:rFonts w:ascii="Arial" w:cs="Arial" w:eastAsia="Arial" w:hAnsi="Arial"/>
          <w:b/>
          <w:bCs/>
          <w:color w:val="1E3A5F"/>
          <w:sz w:val="72"/>
          <w:szCs w:val="72"/>
        </w:rPr>
        <w:t xml:space="preserve">MYSCHOLAR.MY</w:t>
      </w:r>
    </w:p>
    <w:p>
      <w:pPr>
        <w:spacing w:after="80" w:before="0"/>
        <w:jc w:val="center"/>
      </w:pPr>
      <w:r>
        <w:rPr>
          <w:rFonts w:ascii="Arial" w:cs="Arial" w:eastAsia="Arial" w:hAnsi="Arial"/>
          <w:b/>
          <w:bCs/>
          <w:color w:val="0E7C7B"/>
          <w:sz w:val="40"/>
          <w:szCs w:val="40"/>
        </w:rPr>
        <w:t xml:space="preserve">Inception to Monetization</w:t>
      </w:r>
    </w:p>
    <w:p>
      <w:pPr>
        <w:spacing w:after="600" w:before="0"/>
        <w:jc w:val="center"/>
      </w:pPr>
      <w:r>
        <w:rPr>
          <w:rFonts w:ascii="Arial" w:cs="Arial" w:eastAsia="Arial" w:hAnsi="Arial"/>
          <w:color w:val="666666"/>
          <w:sz w:val="26"/>
          <w:szCs w:val="26"/>
        </w:rPr>
        <w:t xml:space="preserve">The full roadmap from idea to sustainable revenue</w:t>
      </w:r>
    </w:p>
    <w:p>
      <w:pPr>
        <w:spacing w:after="80" w:before="0"/>
        <w:jc w:val="center"/>
      </w:pPr>
      <w:r>
        <w:rPr>
          <w:rFonts w:ascii="Arial" w:cs="Arial" w:eastAsia="Arial" w:hAnsi="Arial"/>
          <w:color w:val="666666"/>
          <w:sz w:val="22"/>
          <w:szCs w:val="22"/>
        </w:rPr>
        <w:t xml:space="preserve">Version 1.0  |  April 2026  |  Internal Use Only</w:t>
      </w:r>
    </w:p>
    <w:p>
      <w:pPr>
        <w:jc w:val="center"/>
      </w:pPr>
      <w:r>
        <w:rPr>
          <w:rFonts w:ascii="Arial" w:cs="Arial" w:eastAsia="Arial" w:hAnsi="Arial"/>
          <w:color w:val="666666"/>
          <w:sz w:val="22"/>
          <w:szCs w:val="22"/>
        </w:rPr>
        <w:t xml:space="preserve">Prepared by ANRA  |  myscholar.my</w:t>
      </w:r>
    </w:p>
    <w:p>
      <w:pPr>
        <w:spacing w:after="0" w:before="10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E7C7B" w:sz="3"/>
              <w:left w:val="single" w:color="0E7C7B" w:sz="12"/>
              <w:bottom w:val="single" w:color="0E7C7B" w:sz="3"/>
              <w:right w:val="none" w:color="FFFFFF" w:sz="0"/>
            </w:tcBorders>
            <w:shd w:fill="E8F4F8" w:val="clear"/>
            <w:tcMar>
              <w:top w:type="dxa" w:w="120"/>
              <w:left w:type="dxa" w:w="200"/>
              <w:bottom w:type="dxa" w:w="120"/>
              <w:right w:type="dxa" w:w="200"/>
            </w:tcMar>
          </w:tcPr>
          <w:p>
            <w:pPr>
              <w:spacing w:after="40" w:before="40"/>
            </w:pPr>
            <w:r>
              <w:rPr>
                <w:rFonts w:ascii="Arial" w:cs="Arial" w:eastAsia="Arial" w:hAnsi="Arial"/>
                <w:color w:val="1E3A5F"/>
                <w:sz w:val="20"/>
                <w:szCs w:val="20"/>
              </w:rPr>
              <w:t xml:space="preserve">This document traces the complete journey of MyScholar from initial concept to a self-sustaining platform.</w:t>
            </w:r>
          </w:p>
          <w:p>
            <w:pPr>
              <w:spacing w:after="40" w:before="40"/>
            </w:pPr>
            <w:r>
              <w:rPr>
                <w:rFonts w:ascii="Arial" w:cs="Arial" w:eastAsia="Arial" w:hAnsi="Arial"/>
                <w:color w:val="1E3A5F"/>
                <w:sz w:val="20"/>
                <w:szCs w:val="20"/>
              </w:rPr>
              <w:t xml:space="preserve">It covers every phase: what was built, why those technical choices were made, and how the product evolves</w:t>
            </w:r>
          </w:p>
          <w:p>
            <w:pPr>
              <w:spacing w:after="40" w:before="40"/>
            </w:pPr>
            <w:r>
              <w:rPr>
                <w:rFonts w:ascii="Arial" w:cs="Arial" w:eastAsia="Arial" w:hAnsi="Arial"/>
                <w:color w:val="1E3A5F"/>
                <w:sz w:val="20"/>
                <w:szCs w:val="20"/>
              </w:rPr>
              <w:t xml:space="preserve">from a free public good into a revenue-generating business without betraying the students it was built for.</w:t>
            </w:r>
          </w:p>
        </w:tc>
      </w:tr>
    </w:tbl>
    <w:p>
      <w:r>
        <w:br w:type="page"/>
      </w:r>
    </w:p>
    <w:p>
      <w:pPr>
        <w:pStyle w:val="Heading1"/>
        <w:spacing w:after="200" w:before="480"/>
      </w:pPr>
      <w:r>
        <w:rPr>
          <w:rFonts w:ascii="Arial" w:cs="Arial" w:eastAsia="Arial" w:hAnsi="Arial"/>
          <w:b/>
          <w:bCs/>
          <w:color w:val="1E3A5F"/>
          <w:sz w:val="32"/>
          <w:szCs w:val="32"/>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80"/>
      </w:pPr>
      <w:r>
        <w:rPr>
          <w:rFonts w:ascii="Arial" w:cs="Arial" w:eastAsia="Arial" w:hAnsi="Arial"/>
          <w:b/>
          <w:bCs/>
          <w:color w:val="1E3A5F"/>
          <w:sz w:val="32"/>
          <w:szCs w:val="32"/>
        </w:rPr>
        <w:t xml:space="preserve">The Vision</w:t>
      </w:r>
    </w:p>
    <w:p>
      <w:pPr>
        <w:spacing w:after="80" w:before="80"/>
      </w:pPr>
      <w:r>
        <w:rPr>
          <w:rFonts w:ascii="Arial" w:cs="Arial" w:eastAsia="Arial" w:hAnsi="Arial"/>
          <w:color w:val="222222"/>
          <w:sz w:val="22"/>
          <w:szCs w:val="22"/>
        </w:rPr>
        <w:t xml:space="preserve">MyScholar starts as a public good — the most comprehensive, easiest-to-use scholarship directory in Malaysia — and earns the right to become a business by proving genuine utility to students first.</w:t>
      </w:r>
    </w:p>
    <w:p>
      <w:pPr>
        <w:spacing w:after="0" w:before="80"/>
      </w:pPr>
      <w:r>
        <w:t xml:space="preserve"/>
      </w:r>
    </w:p>
    <w:p>
      <w:pPr>
        <w:spacing w:after="80" w:before="80"/>
      </w:pPr>
      <w:r>
        <w:rPr>
          <w:rFonts w:ascii="Arial" w:cs="Arial" w:eastAsia="Arial" w:hAnsi="Arial"/>
          <w:color w:val="222222"/>
          <w:sz w:val="22"/>
          <w:szCs w:val="22"/>
        </w:rPr>
        <w:t xml:space="preserve">The north star: a Malaysian student anywhere in the country, on any phone, can find every scholarship and internship they qualify for in under 10 minutes, for free, forever. The scholarship side of this is permanent and non-negotiable. The internship side is where the business model lives.</w:t>
      </w:r>
    </w:p>
    <w:p>
      <w:pPr>
        <w:spacing w:after="0" w:before="80"/>
      </w:pPr>
      <w:r>
        <w:t xml:space="preserve"/>
      </w:r>
    </w:p>
    <w:p>
      <w:pPr>
        <w:spacing w:after="80" w:before="80"/>
      </w:pPr>
      <w:r>
        <w:rPr>
          <w:rFonts w:ascii="Arial" w:cs="Arial" w:eastAsia="Arial" w:hAnsi="Arial"/>
          <w:color w:val="222222"/>
          <w:sz w:val="22"/>
          <w:szCs w:val="22"/>
        </w:rPr>
        <w:t xml:space="preserve">Revenue never comes at the expense of the students. It comes from companies who want to reach them. The sequence is: earn student trust first, then make that trust valuable to employers.</w:t>
      </w:r>
    </w:p>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E7C7B" w:sz="3"/>
              <w:left w:val="single" w:color="0E7C7B" w:sz="12"/>
              <w:bottom w:val="single" w:color="0E7C7B" w:sz="3"/>
              <w:right w:val="none" w:color="FFFFFF" w:sz="0"/>
            </w:tcBorders>
            <w:shd w:fill="E8F4F8" w:val="clear"/>
            <w:tcMar>
              <w:top w:type="dxa" w:w="120"/>
              <w:left w:type="dxa" w:w="200"/>
              <w:bottom w:type="dxa" w:w="120"/>
              <w:right w:type="dxa" w:w="200"/>
            </w:tcMar>
          </w:tcPr>
          <w:p>
            <w:pPr>
              <w:spacing w:after="40" w:before="40"/>
            </w:pPr>
            <w:r>
              <w:rPr>
                <w:rFonts w:ascii="Arial" w:cs="Arial" w:eastAsia="Arial" w:hAnsi="Arial"/>
                <w:color w:val="1E3A5F"/>
                <w:sz w:val="20"/>
                <w:szCs w:val="20"/>
              </w:rPr>
              <w:t xml:space="preserve">Business model in one line:</w:t>
            </w:r>
          </w:p>
          <w:p>
            <w:pPr>
              <w:spacing w:after="40" w:before="40"/>
            </w:pPr>
            <w:r>
              <w:rPr>
                <w:rFonts w:ascii="Arial" w:cs="Arial" w:eastAsia="Arial" w:hAnsi="Arial"/>
                <w:color w:val="1E3A5F"/>
                <w:sz w:val="20"/>
                <w:szCs w:val="20"/>
              </w:rPr>
              <w:t xml:space="preserve">Scholarships = free, forever, trusted.  Internships = starts free, evolves into employer revenue.</w:t>
            </w:r>
          </w:p>
          <w:p>
            <w:pPr>
              <w:spacing w:after="40" w:before="40"/>
            </w:pPr>
            <w:r>
              <w:rPr>
                <w:rFonts w:ascii="Arial" w:cs="Arial" w:eastAsia="Arial" w:hAnsi="Arial"/>
                <w:color w:val="1E3A5F"/>
                <w:sz w:val="20"/>
                <w:szCs w:val="20"/>
              </w:rPr>
              <w:t xml:space="preserve"/>
            </w:r>
          </w:p>
          <w:p>
            <w:pPr>
              <w:spacing w:after="40" w:before="40"/>
            </w:pPr>
            <w:r>
              <w:rPr>
                <w:rFonts w:ascii="Arial" w:cs="Arial" w:eastAsia="Arial" w:hAnsi="Arial"/>
                <w:color w:val="1E3A5F"/>
                <w:sz w:val="20"/>
                <w:szCs w:val="20"/>
              </w:rPr>
              <w:t xml:space="preserve">If anyone asks how MyScholar makes money: scholarships are a public good. Internships are where we work with industry.</w:t>
            </w:r>
          </w:p>
        </w:tc>
      </w:tr>
    </w:tbl>
    <w:p>
      <w:pPr>
        <w:spacing w:after="0" w:before="120"/>
      </w:pPr>
      <w:r>
        <w:t xml:space="preserve"/>
      </w:r>
    </w:p>
    <w:p>
      <w:pPr>
        <w:pStyle w:val="Heading2"/>
        <w:spacing w:after="120" w:before="320"/>
      </w:pPr>
      <w:r>
        <w:rPr>
          <w:rFonts w:ascii="Arial" w:cs="Arial" w:eastAsia="Arial" w:hAnsi="Arial"/>
          <w:b/>
          <w:bCs/>
          <w:color w:val="0E7C7B"/>
          <w:sz w:val="26"/>
          <w:szCs w:val="26"/>
        </w:rPr>
        <w:t xml:space="preserve">The Phases at a Glance</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4826"/>
        <w:gridCol w:w="3000"/>
      </w:tblGrid>
      <w:tr>
        <w:tc>
          <w:tcPr>
            <w:tcW w:type="dxa" w:w="1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Phase</w:t>
            </w:r>
          </w:p>
        </w:tc>
        <w:tc>
          <w:tcPr>
            <w:tcW w:type="dxa" w:w="4826"/>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Name</w:t>
            </w:r>
          </w:p>
        </w:tc>
        <w:tc>
          <w:tcPr>
            <w:tcW w:type="dxa" w:w="30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Status</w:t>
            </w:r>
          </w:p>
        </w:tc>
      </w:tr>
      <w:tr>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0</w:t>
            </w:r>
          </w:p>
        </w:tc>
        <w:tc>
          <w:tcPr>
            <w:tcW w:type="dxa" w:w="4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Concept — Stack Decision &amp; Foundation</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COMPLETE</w:t>
            </w:r>
          </w:p>
        </w:tc>
      </w:tr>
      <w:tr>
        <w:tc>
          <w:tcPr>
            <w:tcW w:type="dxa" w:w="1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1</w:t>
            </w:r>
          </w:p>
        </w:tc>
        <w:tc>
          <w:tcPr>
            <w:tcW w:type="dxa" w:w="4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Scholarship MVP — Live Directory</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COMPLETE</w:t>
            </w:r>
          </w:p>
        </w:tc>
      </w:tr>
      <w:tr>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2</w:t>
            </w:r>
          </w:p>
        </w:tc>
        <w:tc>
          <w:tcPr>
            <w:tcW w:type="dxa" w:w="4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SEO Layer — Organic Search Discovery</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COMPLETE</w:t>
            </w:r>
          </w:p>
        </w:tc>
      </w:tr>
      <w:tr>
        <w:tc>
          <w:tcPr>
            <w:tcW w:type="dxa" w:w="1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3</w:t>
            </w:r>
          </w:p>
        </w:tc>
        <w:tc>
          <w:tcPr>
            <w:tcW w:type="dxa" w:w="4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Internships MVP — Second Directory</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IN PROGRESS</w:t>
            </w:r>
          </w:p>
        </w:tc>
      </w:tr>
      <w:tr>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4</w:t>
            </w:r>
          </w:p>
        </w:tc>
        <w:tc>
          <w:tcPr>
            <w:tcW w:type="dxa" w:w="4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Operations Layer — Agents &amp; Monitoring</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IN PROGRESS</w:t>
            </w:r>
          </w:p>
        </w:tc>
      </w:tr>
      <w:tr>
        <w:tc>
          <w:tcPr>
            <w:tcW w:type="dxa" w:w="1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5</w:t>
            </w:r>
          </w:p>
        </w:tc>
        <w:tc>
          <w:tcPr>
            <w:tcW w:type="dxa" w:w="4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First Revenue — Featured Listings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PLANNED — Q3/Q4 2026</w:t>
            </w:r>
          </w:p>
        </w:tc>
      </w:tr>
      <w:tr>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6</w:t>
            </w:r>
          </w:p>
        </w:tc>
        <w:tc>
          <w:tcPr>
            <w:tcW w:type="dxa" w:w="4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Company Self-Serve — Listing Dashboard</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PLANNED — 2027</w:t>
            </w:r>
          </w:p>
        </w:tc>
      </w:tr>
      <w:tr>
        <w:tc>
          <w:tcPr>
            <w:tcW w:type="dxa" w:w="1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7</w:t>
            </w:r>
          </w:p>
        </w:tc>
        <w:tc>
          <w:tcPr>
            <w:tcW w:type="dxa" w:w="4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Full Platform — B2B Pipeline</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FUTURE — 2027+</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26"/>
        <w:gridCol w:w="1400"/>
      </w:tblGrid>
      <w:tr>
        <w:tc>
          <w:tcPr>
            <w:tcW w:type="dxa" w:w="1600"/>
            <w:tcBorders>
              <w:top w:val="none" w:color="FFFFFF" w:sz="0"/>
              <w:left w:val="none" w:color="FFFFFF" w:sz="0"/>
              <w:bottom w:val="none" w:color="FFFFFF" w:sz="0"/>
              <w:right w:val="none" w:color="FFFFFF" w:sz="0"/>
            </w:tcBorders>
            <w:shd w:fill="4B3382" w:val="clear"/>
            <w:tcMar>
              <w:top w:type="dxa" w:w="160"/>
              <w:left w:type="dxa" w:w="200"/>
              <w:bottom w:type="dxa" w:w="160"/>
              <w:right w:type="dxa" w:w="120"/>
            </w:tcMar>
            <w:vAlign w:val="center"/>
          </w:tcPr>
          <w:p>
            <w:pPr>
              <w:spacing w:after="0" w:before="0"/>
              <w:jc w:val="center"/>
            </w:pPr>
            <w:r>
              <w:rPr>
                <w:rFonts w:ascii="Arial" w:cs="Arial" w:eastAsia="Arial" w:hAnsi="Arial"/>
                <w:b/>
                <w:bCs/>
                <w:color w:val="FFFFFF"/>
                <w:sz w:val="32"/>
                <w:szCs w:val="32"/>
              </w:rPr>
              <w:t xml:space="preserve">PHASE 0</w:t>
            </w:r>
          </w:p>
        </w:tc>
        <w:tc>
          <w:tcPr>
            <w:tcW w:type="dxa" w:w="6026"/>
            <w:tcBorders>
              <w:top w:val="none" w:color="FFFFFF" w:sz="0"/>
              <w:left w:val="none" w:color="FFFFFF" w:sz="0"/>
              <w:bottom w:val="none" w:color="FFFFFF" w:sz="0"/>
              <w:right w:val="none" w:color="FFFFFF" w:sz="0"/>
            </w:tcBorders>
            <w:shd w:fill="F0F4F8" w:val="clear"/>
            <w:tcMar>
              <w:top w:type="dxa" w:w="160"/>
              <w:left w:type="dxa" w:w="200"/>
              <w:bottom w:type="dxa" w:w="160"/>
              <w:right w:type="dxa" w:w="120"/>
            </w:tcMar>
            <w:vAlign w:val="center"/>
          </w:tcPr>
          <w:p>
            <w:pPr>
              <w:spacing w:after="0" w:before="0"/>
            </w:pPr>
            <w:r>
              <w:rPr>
                <w:rFonts w:ascii="Arial" w:cs="Arial" w:eastAsia="Arial" w:hAnsi="Arial"/>
                <w:b/>
                <w:bCs/>
                <w:color w:val="4B3382"/>
                <w:sz w:val="28"/>
                <w:szCs w:val="28"/>
              </w:rPr>
              <w:t xml:space="preserve">Concept — Stack Decision &amp; Foundation</w:t>
            </w:r>
          </w:p>
        </w:tc>
        <w:tc>
          <w:tcPr>
            <w:tcW w:type="dxa" w:w="1400"/>
            <w:tcBorders>
              <w:top w:val="none" w:color="FFFFFF" w:sz="0"/>
              <w:left w:val="none" w:color="FFFFFF" w:sz="0"/>
              <w:bottom w:val="none" w:color="FFFFFF" w:sz="0"/>
              <w:right w:val="none" w:color="FFFFFF" w:sz="0"/>
            </w:tcBorders>
            <w:shd w:fill="F5F5F5" w:val="clear"/>
            <w:tcMar>
              <w:top w:type="dxa" w:w="160"/>
              <w:left w:type="dxa" w:w="120"/>
              <w:bottom w:type="dxa" w:w="160"/>
              <w:right w:type="dxa" w:w="120"/>
            </w:tcMar>
            <w:vAlign w:val="center"/>
          </w:tcPr>
          <w:p>
            <w:pPr>
              <w:spacing w:after="0" w:before="0"/>
              <w:jc w:val="center"/>
            </w:pPr>
            <w:r>
              <w:rPr>
                <w:rFonts w:ascii="Arial" w:cs="Arial" w:eastAsia="Arial" w:hAnsi="Arial"/>
                <w:b/>
                <w:bCs/>
                <w:color w:val="1D6A3A"/>
                <w:sz w:val="18"/>
                <w:szCs w:val="18"/>
              </w:rPr>
              <w:t xml:space="preserve">COMPLETE</w:t>
            </w:r>
          </w:p>
        </w:tc>
      </w:tr>
    </w:tbl>
    <w:p>
      <w:pPr>
        <w:spacing w:after="0" w:before="160"/>
      </w:pPr>
      <w:r>
        <w:t xml:space="preserve"/>
      </w:r>
    </w:p>
    <w:p>
      <w:pPr>
        <w:pStyle w:val="Heading2"/>
        <w:spacing w:after="120" w:before="320"/>
      </w:pPr>
      <w:r>
        <w:rPr>
          <w:rFonts w:ascii="Arial" w:cs="Arial" w:eastAsia="Arial" w:hAnsi="Arial"/>
          <w:b/>
          <w:bCs/>
          <w:color w:val="0E7C7B"/>
          <w:sz w:val="26"/>
          <w:szCs w:val="26"/>
        </w:rPr>
        <w:t xml:space="preserve">The Starting Point</w:t>
      </w:r>
    </w:p>
    <w:p>
      <w:pPr>
        <w:spacing w:after="80" w:before="80"/>
      </w:pPr>
      <w:r>
        <w:rPr>
          <w:rFonts w:ascii="Arial" w:cs="Arial" w:eastAsia="Arial" w:hAnsi="Arial"/>
          <w:color w:val="222222"/>
          <w:sz w:val="22"/>
          <w:szCs w:val="22"/>
        </w:rPr>
        <w:t xml:space="preserve">MyScholar began as a simple question: why is it so hard to find scholarships in Malaysia? The answer was not that scholarships don't exist — there are hundreds of them. The problem was discovery. Each provider runs their own portal. Deadlines are buried in PDFs. There is no single place that shows a student everything they might qualify for.</w:t>
      </w:r>
    </w:p>
    <w:p>
      <w:pPr>
        <w:spacing w:after="0" w:before="80"/>
      </w:pPr>
      <w:r>
        <w:t xml:space="preserve"/>
      </w:r>
    </w:p>
    <w:p>
      <w:pPr>
        <w:spacing w:after="80" w:before="80"/>
      </w:pPr>
      <w:r>
        <w:rPr>
          <w:rFonts w:ascii="Arial" w:cs="Arial" w:eastAsia="Arial" w:hAnsi="Arial"/>
          <w:color w:val="222222"/>
          <w:sz w:val="22"/>
          <w:szCs w:val="22"/>
        </w:rPr>
        <w:t xml:space="preserve">The first version was deliberately minimal: a list, searchable, readable on mobile. The core insight was that a curated list done well beats a database done badly.</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Why These Technical Choices Were Made</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Decision</w:t>
            </w:r>
          </w:p>
        </w:tc>
        <w:tc>
          <w:tcPr>
            <w:tcW w:type="dxa" w:w="5826"/>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Reasoning</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Single-file HTML SPA (index.html)</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Zero infrastructure to manage. No build pipeline, no server, no deploy process beyond replacing one file on GitHub. As a solo builder with no formal engineering background, every layer of complexity added is a layer that can break silently. Single-file means: if it works locally, it works in production.</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Supabase (hosted PostgreSQL)</w:t>
            </w:r>
          </w:p>
        </w:tc>
        <w:tc>
          <w:tcPr>
            <w:tcW w:type="dxa" w:w="5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A full relational database with a generous free tier, a visual editor for data management, Row Level Security for access control, Edge Functions for email, and a JavaScript client that works directly in the browser. Supabase replaced the need for a backend entirely. The data layer is managed through a dashboard — no server code needed.</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GitHub Pages (hosting)</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Free, reliable, CDN-backed. Deploys by pushing to a repository. No server configuration, no SSL certificates to manage (GitHub handles this), no cost. The constraint is static files only — which works perfectly for a single-file SPA.</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Cloudflare (DNS only)</w:t>
            </w:r>
          </w:p>
        </w:tc>
        <w:tc>
          <w:tcPr>
            <w:tcW w:type="dxa" w:w="5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Grey-cloud mode: Cloudflare handles DNS resolution but does not proxy traffic. This avoids Cloudflare caching complications while still giving access to Email Routing (forwarding hello@myscholar.my to a personal inbox for free).</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No framework, no npm, no build step</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Every framework adds a dependency that can break on version updates. A solo project with no CI/CD pipeline and no dedicated DevOps time is safer with no build process at all. The CSS and JavaScript that powers MyScholar is standard, readable, inline code — understandable by anyone.</w:t>
            </w:r>
          </w:p>
        </w:tc>
      </w:tr>
    </w:tbl>
    <w:p>
      <w:pPr>
        <w:spacing w:after="0" w:before="120"/>
      </w:pPr>
      <w:r>
        <w:t xml:space="preserve"/>
      </w:r>
    </w:p>
    <w:p>
      <w:pPr>
        <w:pStyle w:val="Heading2"/>
        <w:spacing w:after="120" w:before="320"/>
      </w:pPr>
      <w:r>
        <w:rPr>
          <w:rFonts w:ascii="Arial" w:cs="Arial" w:eastAsia="Arial" w:hAnsi="Arial"/>
          <w:b/>
          <w:bCs/>
          <w:color w:val="0E7C7B"/>
          <w:sz w:val="26"/>
          <w:szCs w:val="26"/>
        </w:rPr>
        <w:t xml:space="preserve">What Phase 0 Produced</w:t>
      </w:r>
    </w:p>
    <w:p>
      <w:pPr>
        <w:pStyle w:val="ListParagraph"/>
        <w:numPr>
          <w:ilvl w:val="0"/>
          <w:numId w:val="2"/>
        </w:numPr>
        <w:spacing w:after="60" w:before="60"/>
      </w:pPr>
      <w:r>
        <w:rPr>
          <w:rFonts w:ascii="Arial" w:cs="Arial" w:eastAsia="Arial" w:hAnsi="Arial"/>
          <w:color w:val="222222"/>
          <w:sz w:val="22"/>
          <w:szCs w:val="22"/>
        </w:rPr>
        <w:t xml:space="preserve">A working local HTML file with scholarship data hardcoded</w:t>
      </w:r>
    </w:p>
    <w:p>
      <w:pPr>
        <w:pStyle w:val="ListParagraph"/>
        <w:numPr>
          <w:ilvl w:val="0"/>
          <w:numId w:val="2"/>
        </w:numPr>
        <w:spacing w:after="60" w:before="60"/>
      </w:pPr>
      <w:r>
        <w:rPr>
          <w:rFonts w:ascii="Arial" w:cs="Arial" w:eastAsia="Arial" w:hAnsi="Arial"/>
          <w:color w:val="222222"/>
          <w:sz w:val="22"/>
          <w:szCs w:val="22"/>
        </w:rPr>
        <w:t xml:space="preserve">A GitHub repository (ANRACollective/MYSCHOLAR)</w:t>
      </w:r>
    </w:p>
    <w:p>
      <w:pPr>
        <w:pStyle w:val="ListParagraph"/>
        <w:numPr>
          <w:ilvl w:val="0"/>
          <w:numId w:val="2"/>
        </w:numPr>
        <w:spacing w:after="60" w:before="60"/>
      </w:pPr>
      <w:r>
        <w:rPr>
          <w:rFonts w:ascii="Arial" w:cs="Arial" w:eastAsia="Arial" w:hAnsi="Arial"/>
          <w:color w:val="222222"/>
          <w:sz w:val="22"/>
          <w:szCs w:val="22"/>
        </w:rPr>
        <w:t xml:space="preserve">GitHub Pages configured with a custom domain (myscholar.my)</w:t>
      </w:r>
    </w:p>
    <w:p>
      <w:pPr>
        <w:pStyle w:val="ListParagraph"/>
        <w:numPr>
          <w:ilvl w:val="0"/>
          <w:numId w:val="2"/>
        </w:numPr>
        <w:spacing w:after="60" w:before="60"/>
      </w:pPr>
      <w:r>
        <w:rPr>
          <w:rFonts w:ascii="Arial" w:cs="Arial" w:eastAsia="Arial" w:hAnsi="Arial"/>
          <w:color w:val="222222"/>
          <w:sz w:val="22"/>
          <w:szCs w:val="22"/>
        </w:rPr>
        <w:t xml:space="preserve">DNS set up via Cloudflare pointing to GitHub Pages</w:t>
      </w:r>
    </w:p>
    <w:p>
      <w:pPr>
        <w:pStyle w:val="ListParagraph"/>
        <w:numPr>
          <w:ilvl w:val="0"/>
          <w:numId w:val="2"/>
        </w:numPr>
        <w:spacing w:after="60" w:before="60"/>
      </w:pPr>
      <w:r>
        <w:rPr>
          <w:rFonts w:ascii="Arial" w:cs="Arial" w:eastAsia="Arial" w:hAnsi="Arial"/>
          <w:color w:val="222222"/>
          <w:sz w:val="22"/>
          <w:szCs w:val="22"/>
        </w:rPr>
        <w:t xml:space="preserve">Email routing: hello@myscholar.my forwarded via Cloudflare</w:t>
      </w:r>
    </w:p>
    <w:p>
      <w:pPr>
        <w:pStyle w:val="ListParagraph"/>
        <w:numPr>
          <w:ilvl w:val="0"/>
          <w:numId w:val="2"/>
        </w:numPr>
        <w:spacing w:after="60" w:before="60"/>
      </w:pPr>
      <w:r>
        <w:rPr>
          <w:rFonts w:ascii="Arial" w:cs="Arial" w:eastAsia="Arial" w:hAnsi="Arial"/>
          <w:color w:val="222222"/>
          <w:sz w:val="22"/>
          <w:szCs w:val="22"/>
        </w:rPr>
        <w:t xml:space="preserve">Decision to use Supabase for data (moved data out of the HTML file)</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26"/>
        <w:gridCol w:w="1400"/>
      </w:tblGrid>
      <w:tr>
        <w:tc>
          <w:tcPr>
            <w:tcW w:type="dxa" w:w="1600"/>
            <w:tcBorders>
              <w:top w:val="none" w:color="FFFFFF" w:sz="0"/>
              <w:left w:val="none" w:color="FFFFFF" w:sz="0"/>
              <w:bottom w:val="none" w:color="FFFFFF" w:sz="0"/>
              <w:right w:val="none" w:color="FFFFFF" w:sz="0"/>
            </w:tcBorders>
            <w:shd w:fill="1D6A3A" w:val="clear"/>
            <w:tcMar>
              <w:top w:type="dxa" w:w="160"/>
              <w:left w:type="dxa" w:w="200"/>
              <w:bottom w:type="dxa" w:w="160"/>
              <w:right w:type="dxa" w:w="120"/>
            </w:tcMar>
            <w:vAlign w:val="center"/>
          </w:tcPr>
          <w:p>
            <w:pPr>
              <w:spacing w:after="0" w:before="0"/>
              <w:jc w:val="center"/>
            </w:pPr>
            <w:r>
              <w:rPr>
                <w:rFonts w:ascii="Arial" w:cs="Arial" w:eastAsia="Arial" w:hAnsi="Arial"/>
                <w:b/>
                <w:bCs/>
                <w:color w:val="FFFFFF"/>
                <w:sz w:val="32"/>
                <w:szCs w:val="32"/>
              </w:rPr>
              <w:t xml:space="preserve">PHASE 1</w:t>
            </w:r>
          </w:p>
        </w:tc>
        <w:tc>
          <w:tcPr>
            <w:tcW w:type="dxa" w:w="6026"/>
            <w:tcBorders>
              <w:top w:val="none" w:color="FFFFFF" w:sz="0"/>
              <w:left w:val="none" w:color="FFFFFF" w:sz="0"/>
              <w:bottom w:val="none" w:color="FFFFFF" w:sz="0"/>
              <w:right w:val="none" w:color="FFFFFF" w:sz="0"/>
            </w:tcBorders>
            <w:shd w:fill="F0F4F8" w:val="clear"/>
            <w:tcMar>
              <w:top w:type="dxa" w:w="160"/>
              <w:left w:type="dxa" w:w="200"/>
              <w:bottom w:type="dxa" w:w="160"/>
              <w:right w:type="dxa" w:w="120"/>
            </w:tcMar>
            <w:vAlign w:val="center"/>
          </w:tcPr>
          <w:p>
            <w:pPr>
              <w:spacing w:after="0" w:before="0"/>
            </w:pPr>
            <w:r>
              <w:rPr>
                <w:rFonts w:ascii="Arial" w:cs="Arial" w:eastAsia="Arial" w:hAnsi="Arial"/>
                <w:b/>
                <w:bCs/>
                <w:color w:val="1D6A3A"/>
                <w:sz w:val="28"/>
                <w:szCs w:val="28"/>
              </w:rPr>
              <w:t xml:space="preserve">Scholarship MVP — Live Directory</w:t>
            </w:r>
          </w:p>
        </w:tc>
        <w:tc>
          <w:tcPr>
            <w:tcW w:type="dxa" w:w="1400"/>
            <w:tcBorders>
              <w:top w:val="none" w:color="FFFFFF" w:sz="0"/>
              <w:left w:val="none" w:color="FFFFFF" w:sz="0"/>
              <w:bottom w:val="none" w:color="FFFFFF" w:sz="0"/>
              <w:right w:val="none" w:color="FFFFFF" w:sz="0"/>
            </w:tcBorders>
            <w:shd w:fill="F5F5F5" w:val="clear"/>
            <w:tcMar>
              <w:top w:type="dxa" w:w="160"/>
              <w:left w:type="dxa" w:w="120"/>
              <w:bottom w:type="dxa" w:w="160"/>
              <w:right w:type="dxa" w:w="120"/>
            </w:tcMar>
            <w:vAlign w:val="center"/>
          </w:tcPr>
          <w:p>
            <w:pPr>
              <w:spacing w:after="0" w:before="0"/>
              <w:jc w:val="center"/>
            </w:pPr>
            <w:r>
              <w:rPr>
                <w:rFonts w:ascii="Arial" w:cs="Arial" w:eastAsia="Arial" w:hAnsi="Arial"/>
                <w:b/>
                <w:bCs/>
                <w:color w:val="1D6A3A"/>
                <w:sz w:val="18"/>
                <w:szCs w:val="18"/>
              </w:rPr>
              <w:t xml:space="preserve">COMPLETE</w:t>
            </w:r>
          </w:p>
        </w:tc>
      </w:tr>
    </w:tbl>
    <w:p>
      <w:pPr>
        <w:spacing w:after="0" w:before="160"/>
      </w:pPr>
      <w:r>
        <w:t xml:space="preserve"/>
      </w:r>
    </w:p>
    <w:p>
      <w:pPr>
        <w:pStyle w:val="Heading2"/>
        <w:spacing w:after="120" w:before="320"/>
      </w:pPr>
      <w:r>
        <w:rPr>
          <w:rFonts w:ascii="Arial" w:cs="Arial" w:eastAsia="Arial" w:hAnsi="Arial"/>
          <w:b/>
          <w:bCs/>
          <w:color w:val="0E7C7B"/>
          <w:sz w:val="26"/>
          <w:szCs w:val="26"/>
        </w:rPr>
        <w:t xml:space="preserve">What Was Built</w:t>
      </w:r>
    </w:p>
    <w:p>
      <w:pPr>
        <w:spacing w:after="80" w:before="80"/>
      </w:pPr>
      <w:r>
        <w:rPr>
          <w:rFonts w:ascii="Arial" w:cs="Arial" w:eastAsia="Arial" w:hAnsi="Arial"/>
          <w:color w:val="222222"/>
          <w:sz w:val="22"/>
          <w:szCs w:val="22"/>
        </w:rPr>
        <w:t xml:space="preserve">The scholarships directory went from a static hardcoded list to a fully dynamic, Supabase-powered SPA. The index.html fetches live data from Supabase on page load, renders scholarship cards, and supports real-time client-side filtering with no page reloads.</w:t>
      </w:r>
    </w:p>
    <w:p>
      <w:pPr>
        <w:spacing w:after="0" w:before="80"/>
      </w:pPr>
      <w:r>
        <w:t xml:space="preserve"/>
      </w:r>
    </w:p>
    <w:p>
      <w:pPr>
        <w:pStyle w:val="Heading2"/>
        <w:spacing w:after="120" w:before="320"/>
      </w:pPr>
      <w:r>
        <w:rPr>
          <w:rFonts w:ascii="Arial" w:cs="Arial" w:eastAsia="Arial" w:hAnsi="Arial"/>
          <w:b/>
          <w:bCs/>
          <w:color w:val="0E7C7B"/>
          <w:sz w:val="26"/>
          <w:szCs w:val="26"/>
        </w:rPr>
        <w:t xml:space="preserve">Core Features Shipped</w:t>
      </w:r>
    </w:p>
    <w:p>
      <w:pPr>
        <w:pStyle w:val="ListParagraph"/>
        <w:numPr>
          <w:ilvl w:val="0"/>
          <w:numId w:val="2"/>
        </w:numPr>
        <w:spacing w:after="60" w:before="60"/>
      </w:pPr>
      <w:r>
        <w:rPr>
          <w:rFonts w:ascii="Arial" w:cs="Arial" w:eastAsia="Arial" w:hAnsi="Arial"/>
          <w:color w:val="222222"/>
          <w:sz w:val="22"/>
          <w:szCs w:val="22"/>
        </w:rPr>
        <w:t xml:space="preserve">Free-text search across name, provider, field, keywords</w:t>
      </w:r>
    </w:p>
    <w:p>
      <w:pPr>
        <w:pStyle w:val="ListParagraph"/>
        <w:numPr>
          <w:ilvl w:val="0"/>
          <w:numId w:val="2"/>
        </w:numPr>
        <w:spacing w:after="60" w:before="60"/>
      </w:pPr>
      <w:r>
        <w:rPr>
          <w:rFonts w:ascii="Arial" w:cs="Arial" w:eastAsia="Arial" w:hAnsi="Arial"/>
          <w:color w:val="222222"/>
          <w:sz w:val="22"/>
          <w:szCs w:val="22"/>
        </w:rPr>
        <w:t xml:space="preserve">Filter by category, entry level, destination, type, and deadline urgency</w:t>
      </w:r>
    </w:p>
    <w:p>
      <w:pPr>
        <w:pStyle w:val="ListParagraph"/>
        <w:numPr>
          <w:ilvl w:val="0"/>
          <w:numId w:val="2"/>
        </w:numPr>
        <w:spacing w:after="60" w:before="60"/>
      </w:pPr>
      <w:r>
        <w:rPr>
          <w:rFonts w:ascii="Arial" w:cs="Arial" w:eastAsia="Arial" w:hAnsi="Arial"/>
          <w:color w:val="222222"/>
          <w:sz w:val="22"/>
          <w:szCs w:val="22"/>
        </w:rPr>
        <w:t xml:space="preserve">Scholarship detail modal with full information, tips, and official link</w:t>
      </w:r>
    </w:p>
    <w:p>
      <w:pPr>
        <w:pStyle w:val="ListParagraph"/>
        <w:numPr>
          <w:ilvl w:val="0"/>
          <w:numId w:val="2"/>
        </w:numPr>
        <w:spacing w:after="60" w:before="60"/>
      </w:pPr>
      <w:r>
        <w:rPr>
          <w:rFonts w:ascii="Arial" w:cs="Arial" w:eastAsia="Arial" w:hAnsi="Arial"/>
          <w:color w:val="222222"/>
          <w:sz w:val="22"/>
          <w:szCs w:val="22"/>
        </w:rPr>
        <w:t xml:space="preserve">Mobile-first design — tested and optimised for 390px screens</w:t>
      </w:r>
    </w:p>
    <w:p>
      <w:pPr>
        <w:pStyle w:val="ListParagraph"/>
        <w:numPr>
          <w:ilvl w:val="0"/>
          <w:numId w:val="2"/>
        </w:numPr>
        <w:spacing w:after="60" w:before="60"/>
      </w:pPr>
      <w:r>
        <w:rPr>
          <w:rFonts w:ascii="Arial" w:cs="Arial" w:eastAsia="Arial" w:hAnsi="Arial"/>
          <w:color w:val="222222"/>
          <w:sz w:val="22"/>
          <w:szCs w:val="22"/>
        </w:rPr>
        <w:t xml:space="preserve">Bookmark feature using localStorage (no account required)</w:t>
      </w:r>
    </w:p>
    <w:p>
      <w:pPr>
        <w:pStyle w:val="ListParagraph"/>
        <w:numPr>
          <w:ilvl w:val="0"/>
          <w:numId w:val="2"/>
        </w:numPr>
        <w:spacing w:after="60" w:before="60"/>
      </w:pPr>
      <w:r>
        <w:rPr>
          <w:rFonts w:ascii="Arial" w:cs="Arial" w:eastAsia="Arial" w:hAnsi="Arial"/>
          <w:color w:val="222222"/>
          <w:sz w:val="22"/>
          <w:szCs w:val="22"/>
        </w:rPr>
        <w:t xml:space="preserve">Scholarship correction submission form (user-reported errors)</w:t>
      </w:r>
    </w:p>
    <w:p>
      <w:pPr>
        <w:pStyle w:val="ListParagraph"/>
        <w:numPr>
          <w:ilvl w:val="0"/>
          <w:numId w:val="2"/>
        </w:numPr>
        <w:spacing w:after="60" w:before="60"/>
      </w:pPr>
      <w:r>
        <w:rPr>
          <w:rFonts w:ascii="Arial" w:cs="Arial" w:eastAsia="Arial" w:hAnsi="Arial"/>
          <w:color w:val="222222"/>
          <w:sz w:val="22"/>
          <w:szCs w:val="22"/>
        </w:rPr>
        <w:t xml:space="preserve">Open Graph meta tags for social sharing</w:t>
      </w:r>
    </w:p>
    <w:p>
      <w:pPr>
        <w:pStyle w:val="ListParagraph"/>
        <w:numPr>
          <w:ilvl w:val="0"/>
          <w:numId w:val="2"/>
        </w:numPr>
        <w:spacing w:after="60" w:before="60"/>
      </w:pPr>
      <w:r>
        <w:rPr>
          <w:rFonts w:ascii="Arial" w:cs="Arial" w:eastAsia="Arial" w:hAnsi="Arial"/>
          <w:color w:val="222222"/>
          <w:sz w:val="22"/>
          <w:szCs w:val="22"/>
        </w:rPr>
        <w:t xml:space="preserve">Google Analytics 4 with 4 custom events</w:t>
      </w:r>
    </w:p>
    <w:p>
      <w:pPr>
        <w:pStyle w:val="ListParagraph"/>
        <w:numPr>
          <w:ilvl w:val="0"/>
          <w:numId w:val="2"/>
        </w:numPr>
        <w:spacing w:after="60" w:before="60"/>
      </w:pPr>
      <w:r>
        <w:rPr>
          <w:rFonts w:ascii="Arial" w:cs="Arial" w:eastAsia="Arial" w:hAnsi="Arial"/>
          <w:color w:val="222222"/>
          <w:sz w:val="22"/>
          <w:szCs w:val="22"/>
        </w:rPr>
        <w:t xml:space="preserve">URL health monitoring via Supabase pg_net cron (every Monday 8am UTC)</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Database at End of Phase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Metric</w:t>
            </w:r>
          </w:p>
        </w:tc>
        <w:tc>
          <w:tcPr>
            <w:tcW w:type="dxa" w:w="5826"/>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Value</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Total scholarship records</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277+ entries</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Providers covered</w:t>
            </w:r>
          </w:p>
        </w:tc>
        <w:tc>
          <w:tcPr>
            <w:tcW w:type="dxa" w:w="5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JPA, MARA, Khazanah, PETRONAS, Bank Negara, Maybank, CIMB, Telekom, TNB, Sime Darby, Shell, Gamuda, and more</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Categories</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Government, GLC, Banking, Corporate, Loan</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Entry levels covered</w:t>
            </w:r>
          </w:p>
        </w:tc>
        <w:tc>
          <w:tcPr>
            <w:tcW w:type="dxa" w:w="5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SPM, STPM, A-Level, O-Level, UEC, IGCSE, Diploma, Degree, Masters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Destinations</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Local and Overseas</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Next available scholarship ID</w:t>
            </w:r>
          </w:p>
        </w:tc>
        <w:tc>
          <w:tcPr>
            <w:tcW w:type="dxa" w:w="5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301</w:t>
            </w:r>
          </w:p>
        </w:tc>
      </w:tr>
    </w:tbl>
    <w:p>
      <w:pPr>
        <w:spacing w:after="0" w:before="120"/>
      </w:pPr>
      <w:r>
        <w:t xml:space="preserve"/>
      </w:r>
    </w:p>
    <w:p>
      <w:pPr>
        <w:pStyle w:val="Heading2"/>
        <w:spacing w:after="120" w:before="320"/>
      </w:pPr>
      <w:r>
        <w:rPr>
          <w:rFonts w:ascii="Arial" w:cs="Arial" w:eastAsia="Arial" w:hAnsi="Arial"/>
          <w:b/>
          <w:bCs/>
          <w:color w:val="0E7C7B"/>
          <w:sz w:val="26"/>
          <w:szCs w:val="26"/>
        </w:rPr>
        <w:t xml:space="preserve">Key Lesson From Phase 1</w:t>
      </w:r>
    </w:p>
    <w:p>
      <w:pPr>
        <w:spacing w:after="80" w:before="80"/>
      </w:pPr>
      <w:r>
        <w:rPr>
          <w:rFonts w:ascii="Arial" w:cs="Arial" w:eastAsia="Arial" w:hAnsi="Arial"/>
          <w:color w:val="222222"/>
          <w:sz w:val="22"/>
          <w:szCs w:val="22"/>
        </w:rPr>
        <w:t xml:space="preserve">The most critical failure was a silent byte corruption in index.html that removed the initData() function. The page loaded but fetched no data. No error. No warning. This established the file integrity protocol: always verify initData() is present and compare byte counts before and after any edit session.</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26"/>
        <w:gridCol w:w="1400"/>
      </w:tblGrid>
      <w:tr>
        <w:tc>
          <w:tcPr>
            <w:tcW w:type="dxa" w:w="1600"/>
            <w:tcBorders>
              <w:top w:val="none" w:color="FFFFFF" w:sz="0"/>
              <w:left w:val="none" w:color="FFFFFF" w:sz="0"/>
              <w:bottom w:val="none" w:color="FFFFFF" w:sz="0"/>
              <w:right w:val="none" w:color="FFFFFF" w:sz="0"/>
            </w:tcBorders>
            <w:shd w:fill="1D6A3A" w:val="clear"/>
            <w:tcMar>
              <w:top w:type="dxa" w:w="160"/>
              <w:left w:type="dxa" w:w="200"/>
              <w:bottom w:type="dxa" w:w="160"/>
              <w:right w:type="dxa" w:w="120"/>
            </w:tcMar>
            <w:vAlign w:val="center"/>
          </w:tcPr>
          <w:p>
            <w:pPr>
              <w:spacing w:after="0" w:before="0"/>
              <w:jc w:val="center"/>
            </w:pPr>
            <w:r>
              <w:rPr>
                <w:rFonts w:ascii="Arial" w:cs="Arial" w:eastAsia="Arial" w:hAnsi="Arial"/>
                <w:b/>
                <w:bCs/>
                <w:color w:val="FFFFFF"/>
                <w:sz w:val="32"/>
                <w:szCs w:val="32"/>
              </w:rPr>
              <w:t xml:space="preserve">PHASE 2</w:t>
            </w:r>
          </w:p>
        </w:tc>
        <w:tc>
          <w:tcPr>
            <w:tcW w:type="dxa" w:w="6026"/>
            <w:tcBorders>
              <w:top w:val="none" w:color="FFFFFF" w:sz="0"/>
              <w:left w:val="none" w:color="FFFFFF" w:sz="0"/>
              <w:bottom w:val="none" w:color="FFFFFF" w:sz="0"/>
              <w:right w:val="none" w:color="FFFFFF" w:sz="0"/>
            </w:tcBorders>
            <w:shd w:fill="F0F4F8" w:val="clear"/>
            <w:tcMar>
              <w:top w:type="dxa" w:w="160"/>
              <w:left w:type="dxa" w:w="200"/>
              <w:bottom w:type="dxa" w:w="160"/>
              <w:right w:type="dxa" w:w="120"/>
            </w:tcMar>
            <w:vAlign w:val="center"/>
          </w:tcPr>
          <w:p>
            <w:pPr>
              <w:spacing w:after="0" w:before="0"/>
            </w:pPr>
            <w:r>
              <w:rPr>
                <w:rFonts w:ascii="Arial" w:cs="Arial" w:eastAsia="Arial" w:hAnsi="Arial"/>
                <w:b/>
                <w:bCs/>
                <w:color w:val="1D6A3A"/>
                <w:sz w:val="28"/>
                <w:szCs w:val="28"/>
              </w:rPr>
              <w:t xml:space="preserve">SEO Layer — Organic Search Discovery</w:t>
            </w:r>
          </w:p>
        </w:tc>
        <w:tc>
          <w:tcPr>
            <w:tcW w:type="dxa" w:w="1400"/>
            <w:tcBorders>
              <w:top w:val="none" w:color="FFFFFF" w:sz="0"/>
              <w:left w:val="none" w:color="FFFFFF" w:sz="0"/>
              <w:bottom w:val="none" w:color="FFFFFF" w:sz="0"/>
              <w:right w:val="none" w:color="FFFFFF" w:sz="0"/>
            </w:tcBorders>
            <w:shd w:fill="F5F5F5" w:val="clear"/>
            <w:tcMar>
              <w:top w:type="dxa" w:w="160"/>
              <w:left w:type="dxa" w:w="120"/>
              <w:bottom w:type="dxa" w:w="160"/>
              <w:right w:type="dxa" w:w="120"/>
            </w:tcMar>
            <w:vAlign w:val="center"/>
          </w:tcPr>
          <w:p>
            <w:pPr>
              <w:spacing w:after="0" w:before="0"/>
              <w:jc w:val="center"/>
            </w:pPr>
            <w:r>
              <w:rPr>
                <w:rFonts w:ascii="Arial" w:cs="Arial" w:eastAsia="Arial" w:hAnsi="Arial"/>
                <w:b/>
                <w:bCs/>
                <w:color w:val="1D6A3A"/>
                <w:sz w:val="18"/>
                <w:szCs w:val="18"/>
              </w:rPr>
              <w:t xml:space="preserve">COMPLETE</w:t>
            </w:r>
          </w:p>
        </w:tc>
      </w:tr>
    </w:tbl>
    <w:p>
      <w:pPr>
        <w:spacing w:after="0" w:before="160"/>
      </w:pPr>
      <w:r>
        <w:t xml:space="preserve"/>
      </w:r>
    </w:p>
    <w:p>
      <w:pPr>
        <w:pStyle w:val="Heading2"/>
        <w:spacing w:after="120" w:before="320"/>
      </w:pPr>
      <w:r>
        <w:rPr>
          <w:rFonts w:ascii="Arial" w:cs="Arial" w:eastAsia="Arial" w:hAnsi="Arial"/>
          <w:b/>
          <w:bCs/>
          <w:color w:val="0E7C7B"/>
          <w:sz w:val="26"/>
          <w:szCs w:val="26"/>
        </w:rPr>
        <w:t xml:space="preserve">The Problem Being Solved</w:t>
      </w:r>
    </w:p>
    <w:p>
      <w:pPr>
        <w:spacing w:after="80" w:before="80"/>
      </w:pPr>
      <w:r>
        <w:rPr>
          <w:rFonts w:ascii="Arial" w:cs="Arial" w:eastAsia="Arial" w:hAnsi="Arial"/>
          <w:color w:val="222222"/>
          <w:sz w:val="22"/>
          <w:szCs w:val="22"/>
        </w:rPr>
        <w:t xml:space="preserve">A great product that no one finds is not a great product. The scholarship directory was live, but discovery depended entirely on direct navigation or word of mouth. Malaysian students search for scholarships in Malay — 'biasiswa JPA 2026', 'biasiswa bukan bumiputera', 'biasiswa kejuruteraan' — and MyScholar was not appearing for any of these queries.</w:t>
      </w:r>
    </w:p>
    <w:p>
      <w:pPr>
        <w:spacing w:after="0" w:before="80"/>
      </w:pPr>
      <w:r>
        <w:t xml:space="preserve"/>
      </w:r>
    </w:p>
    <w:p>
      <w:pPr>
        <w:spacing w:after="80" w:before="80"/>
      </w:pPr>
      <w:r>
        <w:rPr>
          <w:rFonts w:ascii="Arial" w:cs="Arial" w:eastAsia="Arial" w:hAnsi="Arial"/>
          <w:color w:val="222222"/>
          <w:sz w:val="22"/>
          <w:szCs w:val="22"/>
        </w:rPr>
        <w:t xml:space="preserve">Phase 2 addressed this by creating a programmatic SEO layer: static HTML pages targeting specific high-volume keywords, each one a genuine content page (not thin filler) that earns a ranking and sends organic traffic to the main app.</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What Was Built</w:t>
      </w:r>
    </w:p>
    <w:p>
      <w:pPr>
        <w:pStyle w:val="ListParagraph"/>
        <w:numPr>
          <w:ilvl w:val="0"/>
          <w:numId w:val="2"/>
        </w:numPr>
        <w:spacing w:after="60" w:before="60"/>
      </w:pPr>
      <w:r>
        <w:rPr>
          <w:rFonts w:ascii="Arial" w:cs="Arial" w:eastAsia="Arial" w:hAnsi="Arial"/>
          <w:color w:val="222222"/>
          <w:sz w:val="22"/>
          <w:szCs w:val="22"/>
        </w:rPr>
        <w:t xml:space="preserve">Jack agent: a research + code agent that generates SEO pages from a keyword manifest</w:t>
      </w:r>
    </w:p>
    <w:p>
      <w:pPr>
        <w:pStyle w:val="ListParagraph"/>
        <w:numPr>
          <w:ilvl w:val="0"/>
          <w:numId w:val="2"/>
        </w:numPr>
        <w:spacing w:after="60" w:before="60"/>
      </w:pPr>
      <w:r>
        <w:rPr>
          <w:rFonts w:ascii="Arial" w:cs="Arial" w:eastAsia="Arial" w:hAnsi="Arial"/>
          <w:color w:val="222222"/>
          <w:sz w:val="22"/>
          <w:szCs w:val="22"/>
        </w:rPr>
        <w:t xml:space="preserve">seo-manifest.json: structured config defining each page's target keyword, title, description, and scholarship data to include</w:t>
      </w:r>
    </w:p>
    <w:p>
      <w:pPr>
        <w:pStyle w:val="ListParagraph"/>
        <w:numPr>
          <w:ilvl w:val="0"/>
          <w:numId w:val="2"/>
        </w:numPr>
        <w:spacing w:after="60" w:before="60"/>
      </w:pPr>
      <w:r>
        <w:rPr>
          <w:rFonts w:ascii="Arial" w:cs="Arial" w:eastAsia="Arial" w:hAnsi="Arial"/>
          <w:color w:val="222222"/>
          <w:sz w:val="22"/>
          <w:szCs w:val="22"/>
        </w:rPr>
        <w:t xml:space="preserve">generate-seo.js: Node.js generator script that produces the HTML files</w:t>
      </w:r>
    </w:p>
    <w:p>
      <w:pPr>
        <w:pStyle w:val="ListParagraph"/>
        <w:numPr>
          <w:ilvl w:val="0"/>
          <w:numId w:val="2"/>
        </w:numPr>
        <w:spacing w:after="60" w:before="60"/>
      </w:pPr>
      <w:r>
        <w:rPr>
          <w:rFonts w:ascii="Arial" w:cs="Arial" w:eastAsia="Arial" w:hAnsi="Arial"/>
          <w:color w:val="222222"/>
          <w:sz w:val="22"/>
          <w:szCs w:val="22"/>
        </w:rPr>
        <w:t xml:space="preserve">wave2.js: animation/wave visualisation library for page aesthetics</w:t>
      </w:r>
    </w:p>
    <w:p>
      <w:pPr>
        <w:pStyle w:val="ListParagraph"/>
        <w:numPr>
          <w:ilvl w:val="0"/>
          <w:numId w:val="2"/>
        </w:numPr>
        <w:spacing w:after="60" w:before="60"/>
      </w:pPr>
      <w:r>
        <w:rPr>
          <w:rFonts w:ascii="Arial" w:cs="Arial" w:eastAsia="Arial" w:hAnsi="Arial"/>
          <w:color w:val="222222"/>
          <w:sz w:val="22"/>
          <w:szCs w:val="22"/>
        </w:rPr>
        <w:t xml:space="preserve">66 biasiswa-*.html pages targeting scholarships by provider, state, field, and student type</w:t>
      </w:r>
    </w:p>
    <w:p>
      <w:pPr>
        <w:pStyle w:val="ListParagraph"/>
        <w:numPr>
          <w:ilvl w:val="0"/>
          <w:numId w:val="2"/>
        </w:numPr>
        <w:spacing w:after="60" w:before="60"/>
      </w:pPr>
      <w:r>
        <w:rPr>
          <w:rFonts w:ascii="Arial" w:cs="Arial" w:eastAsia="Arial" w:hAnsi="Arial"/>
          <w:color w:val="222222"/>
          <w:sz w:val="22"/>
          <w:szCs w:val="22"/>
        </w:rPr>
        <w:t xml:space="preserve">4 internship-*.html SEO pages targeting internship queries</w:t>
      </w:r>
    </w:p>
    <w:p>
      <w:pPr>
        <w:pStyle w:val="ListParagraph"/>
        <w:numPr>
          <w:ilvl w:val="0"/>
          <w:numId w:val="2"/>
        </w:numPr>
        <w:spacing w:after="60" w:before="60"/>
      </w:pPr>
      <w:r>
        <w:rPr>
          <w:rFonts w:ascii="Arial" w:cs="Arial" w:eastAsia="Arial" w:hAnsi="Arial"/>
          <w:color w:val="222222"/>
          <w:sz w:val="22"/>
          <w:szCs w:val="22"/>
        </w:rPr>
        <w:t xml:space="preserve">sitemap.xml and sitemap-seo.xml for search engine indexing</w:t>
      </w:r>
    </w:p>
    <w:p>
      <w:pPr>
        <w:pStyle w:val="ListParagraph"/>
        <w:numPr>
          <w:ilvl w:val="0"/>
          <w:numId w:val="2"/>
        </w:numPr>
        <w:spacing w:after="60" w:before="60"/>
      </w:pPr>
      <w:r>
        <w:rPr>
          <w:rFonts w:ascii="Arial" w:cs="Arial" w:eastAsia="Arial" w:hAnsi="Arial"/>
          <w:color w:val="222222"/>
          <w:sz w:val="22"/>
          <w:szCs w:val="22"/>
        </w:rPr>
        <w:t xml:space="preserve">seo-keyword-report.md: keyword research documenting target queries and estimated volumes</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Coverage Map — SEO Pages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5326"/>
      </w:tblGrid>
      <w:tr>
        <w:tc>
          <w:tcPr>
            <w:tcW w:type="dxa" w:w="25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Category</w:t>
            </w:r>
          </w:p>
        </w:tc>
        <w:tc>
          <w:tcPr>
            <w:tcW w:type="dxa" w:w="1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Pages</w:t>
            </w:r>
          </w:p>
        </w:tc>
        <w:tc>
          <w:tcPr>
            <w:tcW w:type="dxa" w:w="5326"/>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Example Targets</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By provider</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~25 pages</w:t>
            </w:r>
          </w:p>
        </w:tc>
        <w:tc>
          <w:tcPr>
            <w:tcW w:type="dxa" w:w="53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biasiswa-jpa, biasiswa-mara, biasiswa-petronas, biasiswa-khazanah, biasiswa-maybank...</w:t>
            </w:r>
          </w:p>
        </w:tc>
      </w:tr>
      <w:tr>
        <w:tc>
          <w:tcPr>
            <w:tcW w:type="dxa" w:w="25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By entry level</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~8 pages</w:t>
            </w:r>
          </w:p>
        </w:tc>
        <w:tc>
          <w:tcPr>
            <w:tcW w:type="dxa" w:w="53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biasiswa-lepasan-spm, biasiswa-lepasan-stpm, biasiswa-diploma, biasiswa-sarjana-master...</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By state</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~8 pages</w:t>
            </w:r>
          </w:p>
        </w:tc>
        <w:tc>
          <w:tcPr>
            <w:tcW w:type="dxa" w:w="53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biasiswa-selangor, biasiswa-johor, biasiswa-sabah-sarawak, biasiswa-perak...</w:t>
            </w:r>
          </w:p>
        </w:tc>
      </w:tr>
      <w:tr>
        <w:tc>
          <w:tcPr>
            <w:tcW w:type="dxa" w:w="25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By field of study</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~12 pages</w:t>
            </w:r>
          </w:p>
        </w:tc>
        <w:tc>
          <w:tcPr>
            <w:tcW w:type="dxa" w:w="53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biasiswa-perubatan, biasiswa-kejuruteraan, biasiswa-it, biasiswa-undang-undang...</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By student type</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~6 pages</w:t>
            </w:r>
          </w:p>
        </w:tc>
        <w:tc>
          <w:tcPr>
            <w:tcW w:type="dxa" w:w="53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biasiswa-b40, biasiswa-bumiputera, biasiswa-bukan-bumiputera, biasiswa-oku, biasiswa-wanita...</w:t>
            </w:r>
          </w:p>
        </w:tc>
      </w:tr>
      <w:tr>
        <w:tc>
          <w:tcPr>
            <w:tcW w:type="dxa" w:w="25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By country</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~6 pages</w:t>
            </w:r>
          </w:p>
        </w:tc>
        <w:tc>
          <w:tcPr>
            <w:tcW w:type="dxa" w:w="53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biasiswa-australia, biasiswa-chevening-uk, biasiswa-jepun-mext, biasiswa-china-csc...</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How-to / guides</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3 pages</w:t>
            </w:r>
          </w:p>
        </w:tc>
        <w:tc>
          <w:tcPr>
            <w:tcW w:type="dxa" w:w="53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cara-mohon-biasiswa, ptptn-vs-biasiswa, senarai-biasiswa-terkini...</w:t>
            </w:r>
          </w:p>
        </w:tc>
      </w:tr>
      <w:tr>
        <w:tc>
          <w:tcPr>
            <w:tcW w:type="dxa" w:w="25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Internship SEO</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4 pages</w:t>
            </w:r>
          </w:p>
        </w:tc>
        <w:tc>
          <w:tcPr>
            <w:tcW w:type="dxa" w:w="53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internship-malaysia, internship-it-teknologi, internship-kejuruteraan...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26"/>
        <w:gridCol w:w="1400"/>
      </w:tblGrid>
      <w:tr>
        <w:tc>
          <w:tcPr>
            <w:tcW w:type="dxa" w:w="1600"/>
            <w:tcBorders>
              <w:top w:val="none" w:color="FFFFFF" w:sz="0"/>
              <w:left w:val="none" w:color="FFFFFF" w:sz="0"/>
              <w:bottom w:val="none" w:color="FFFFFF" w:sz="0"/>
              <w:right w:val="none" w:color="FFFFFF" w:sz="0"/>
            </w:tcBorders>
            <w:shd w:fill="0E7C7B" w:val="clear"/>
            <w:tcMar>
              <w:top w:type="dxa" w:w="160"/>
              <w:left w:type="dxa" w:w="200"/>
              <w:bottom w:type="dxa" w:w="160"/>
              <w:right w:type="dxa" w:w="120"/>
            </w:tcMar>
            <w:vAlign w:val="center"/>
          </w:tcPr>
          <w:p>
            <w:pPr>
              <w:spacing w:after="0" w:before="0"/>
              <w:jc w:val="center"/>
            </w:pPr>
            <w:r>
              <w:rPr>
                <w:rFonts w:ascii="Arial" w:cs="Arial" w:eastAsia="Arial" w:hAnsi="Arial"/>
                <w:b/>
                <w:bCs/>
                <w:color w:val="FFFFFF"/>
                <w:sz w:val="32"/>
                <w:szCs w:val="32"/>
              </w:rPr>
              <w:t xml:space="preserve">PHASE 3</w:t>
            </w:r>
          </w:p>
        </w:tc>
        <w:tc>
          <w:tcPr>
            <w:tcW w:type="dxa" w:w="6026"/>
            <w:tcBorders>
              <w:top w:val="none" w:color="FFFFFF" w:sz="0"/>
              <w:left w:val="none" w:color="FFFFFF" w:sz="0"/>
              <w:bottom w:val="none" w:color="FFFFFF" w:sz="0"/>
              <w:right w:val="none" w:color="FFFFFF" w:sz="0"/>
            </w:tcBorders>
            <w:shd w:fill="F0F4F8" w:val="clear"/>
            <w:tcMar>
              <w:top w:type="dxa" w:w="160"/>
              <w:left w:type="dxa" w:w="200"/>
              <w:bottom w:type="dxa" w:w="160"/>
              <w:right w:type="dxa" w:w="120"/>
            </w:tcMar>
            <w:vAlign w:val="center"/>
          </w:tcPr>
          <w:p>
            <w:pPr>
              <w:spacing w:after="0" w:before="0"/>
            </w:pPr>
            <w:r>
              <w:rPr>
                <w:rFonts w:ascii="Arial" w:cs="Arial" w:eastAsia="Arial" w:hAnsi="Arial"/>
                <w:b/>
                <w:bCs/>
                <w:color w:val="0E7C7B"/>
                <w:sz w:val="28"/>
                <w:szCs w:val="28"/>
              </w:rPr>
              <w:t xml:space="preserve">Internships MVP — Second Directory</w:t>
            </w:r>
          </w:p>
        </w:tc>
        <w:tc>
          <w:tcPr>
            <w:tcW w:type="dxa" w:w="1400"/>
            <w:tcBorders>
              <w:top w:val="none" w:color="FFFFFF" w:sz="0"/>
              <w:left w:val="none" w:color="FFFFFF" w:sz="0"/>
              <w:bottom w:val="none" w:color="FFFFFF" w:sz="0"/>
              <w:right w:val="none" w:color="FFFFFF" w:sz="0"/>
            </w:tcBorders>
            <w:shd w:fill="F5F5F5" w:val="clear"/>
            <w:tcMar>
              <w:top w:type="dxa" w:w="160"/>
              <w:left w:type="dxa" w:w="120"/>
              <w:bottom w:type="dxa" w:w="160"/>
              <w:right w:type="dxa" w:w="120"/>
            </w:tcMar>
            <w:vAlign w:val="center"/>
          </w:tcPr>
          <w:p>
            <w:pPr>
              <w:spacing w:after="0" w:before="0"/>
              <w:jc w:val="center"/>
            </w:pPr>
            <w:r>
              <w:rPr>
                <w:rFonts w:ascii="Arial" w:cs="Arial" w:eastAsia="Arial" w:hAnsi="Arial"/>
                <w:b/>
                <w:bCs/>
                <w:color w:val="0E7C7B"/>
                <w:sz w:val="18"/>
                <w:szCs w:val="18"/>
              </w:rPr>
              <w:t xml:space="preserve">IN PROGRESS</w:t>
            </w:r>
          </w:p>
        </w:tc>
      </w:tr>
    </w:tbl>
    <w:p>
      <w:pPr>
        <w:spacing w:after="0" w:before="160"/>
      </w:pPr>
      <w:r>
        <w:t xml:space="preserve"/>
      </w:r>
    </w:p>
    <w:p>
      <w:pPr>
        <w:pStyle w:val="Heading2"/>
        <w:spacing w:after="120" w:before="320"/>
      </w:pPr>
      <w:r>
        <w:rPr>
          <w:rFonts w:ascii="Arial" w:cs="Arial" w:eastAsia="Arial" w:hAnsi="Arial"/>
          <w:b/>
          <w:bCs/>
          <w:color w:val="0E7C7B"/>
          <w:sz w:val="26"/>
          <w:szCs w:val="26"/>
        </w:rPr>
        <w:t xml:space="preserve">Why Internships</w:t>
      </w:r>
    </w:p>
    <w:p>
      <w:pPr>
        <w:spacing w:after="80" w:before="80"/>
      </w:pPr>
      <w:r>
        <w:rPr>
          <w:rFonts w:ascii="Arial" w:cs="Arial" w:eastAsia="Arial" w:hAnsi="Arial"/>
          <w:color w:val="222222"/>
          <w:sz w:val="22"/>
          <w:szCs w:val="22"/>
        </w:rPr>
        <w:t xml:space="preserve">The scholarship and internship user is the same person. A Form 5 student looking for a JPA scholarship is the same student who will need work experience to strengthen that application — or to find a job if the scholarship does not come through. The internship side does not require a new audience. It requires the same audience to find a second thing on the same site.</w:t>
      </w:r>
    </w:p>
    <w:p>
      <w:pPr>
        <w:spacing w:after="0" w:before="80"/>
      </w:pPr>
      <w:r>
        <w:t xml:space="preserve"/>
      </w:r>
    </w:p>
    <w:p>
      <w:pPr>
        <w:spacing w:after="80" w:before="80"/>
      </w:pPr>
      <w:r>
        <w:rPr>
          <w:rFonts w:ascii="Arial" w:cs="Arial" w:eastAsia="Arial" w:hAnsi="Arial"/>
          <w:color w:val="222222"/>
          <w:sz w:val="22"/>
          <w:szCs w:val="22"/>
        </w:rPr>
        <w:t xml:space="preserve">There is also a gap in the market. JobStreet and LinkedIn are cluttered with full-time roles. MYFutureJobs is poorly maintained. Graduan skews toward fresh graduates. Nobody has done for internships what MyScholar has done for scholarships.</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What Has Been Built</w:t>
      </w:r>
    </w:p>
    <w:p>
      <w:pPr>
        <w:pStyle w:val="ListParagraph"/>
        <w:numPr>
          <w:ilvl w:val="0"/>
          <w:numId w:val="2"/>
        </w:numPr>
        <w:spacing w:after="60" w:before="60"/>
      </w:pPr>
      <w:r>
        <w:rPr>
          <w:rFonts w:ascii="Arial" w:cs="Arial" w:eastAsia="Arial" w:hAnsi="Arial"/>
          <w:color w:val="222222"/>
          <w:sz w:val="22"/>
          <w:szCs w:val="22"/>
        </w:rPr>
        <w:t xml:space="preserve">internships.html: a standalone SPA at myscholar.my/internships with a dark glass aesthetic</w:t>
      </w:r>
    </w:p>
    <w:p>
      <w:pPr>
        <w:pStyle w:val="ListParagraph"/>
        <w:numPr>
          <w:ilvl w:val="0"/>
          <w:numId w:val="2"/>
        </w:numPr>
        <w:spacing w:after="60" w:before="60"/>
      </w:pPr>
      <w:r>
        <w:rPr>
          <w:rFonts w:ascii="Arial" w:cs="Arial" w:eastAsia="Arial" w:hAnsi="Arial"/>
          <w:color w:val="222222"/>
          <w:sz w:val="22"/>
          <w:szCs w:val="22"/>
        </w:rPr>
        <w:t xml:space="preserve">internships table in Supabase with a rich schema: company, programme, industry, roles, allowance, eligibility, intake schedule, URL, tips, and more</w:t>
      </w:r>
    </w:p>
    <w:p>
      <w:pPr>
        <w:pStyle w:val="ListParagraph"/>
        <w:numPr>
          <w:ilvl w:val="0"/>
          <w:numId w:val="2"/>
        </w:numPr>
        <w:spacing w:after="60" w:before="60"/>
      </w:pPr>
      <w:r>
        <w:rPr>
          <w:rFonts w:ascii="Arial" w:cs="Arial" w:eastAsia="Arial" w:hAnsi="Arial"/>
          <w:color w:val="222222"/>
          <w:sz w:val="22"/>
          <w:szCs w:val="22"/>
        </w:rPr>
        <w:t xml:space="preserve">Matt agent (v2): automated internship researcher running 4-tier source sweeps, URL verification, deduplication, and Supabase inserts</w:t>
      </w:r>
    </w:p>
    <w:p>
      <w:pPr>
        <w:pStyle w:val="ListParagraph"/>
        <w:numPr>
          <w:ilvl w:val="0"/>
          <w:numId w:val="2"/>
        </w:numPr>
        <w:spacing w:after="60" w:before="60"/>
      </w:pPr>
      <w:r>
        <w:rPr>
          <w:rFonts w:ascii="Arial" w:cs="Arial" w:eastAsia="Arial" w:hAnsi="Arial"/>
          <w:color w:val="222222"/>
          <w:sz w:val="22"/>
          <w:szCs w:val="22"/>
        </w:rPr>
        <w:t xml:space="preserve">internships-insert.html: admin insert tool for manual data entry</w:t>
      </w:r>
    </w:p>
    <w:p>
      <w:pPr>
        <w:pStyle w:val="ListParagraph"/>
        <w:numPr>
          <w:ilvl w:val="0"/>
          <w:numId w:val="2"/>
        </w:numPr>
        <w:spacing w:after="60" w:before="60"/>
      </w:pPr>
      <w:r>
        <w:rPr>
          <w:rFonts w:ascii="Arial" w:cs="Arial" w:eastAsia="Arial" w:hAnsi="Arial"/>
          <w:color w:val="222222"/>
          <w:sz w:val="22"/>
          <w:szCs w:val="22"/>
        </w:rPr>
        <w:t xml:space="preserve">Clearbit logo integration: company logos resolved from domain names</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Matt Agent — How Internship Data Gets Added</w:t>
      </w:r>
    </w:p>
    <w:p>
      <w:pPr>
        <w:spacing w:after="80" w:before="80"/>
      </w:pPr>
      <w:r>
        <w:rPr>
          <w:rFonts w:ascii="Arial" w:cs="Arial" w:eastAsia="Arial" w:hAnsi="Arial"/>
          <w:color w:val="222222"/>
          <w:sz w:val="22"/>
          <w:szCs w:val="22"/>
        </w:rPr>
        <w:t xml:space="preserve">Matt operates in multiple modes. A Find run covers four tiers of sources in sequence: job aggregators (Jora, LinkedIn, Hiredly, Jobstreet), structured programme directories (FSTEP, MYFutureJobs, GradMalaysia), direct company career pages, and international programmes open to Malaysians. Every URL is verified before insert. Login-wall-only URLs are never inserted.</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Matt Mode</w:t>
            </w:r>
          </w:p>
        </w:tc>
        <w:tc>
          <w:tcPr>
            <w:tcW w:type="dxa" w:w="5826"/>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What Happens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Find</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Full 4-tier research sweep. Stages candidates, verifies URLs, deduplicates, inserts to Supabase with is_visible=false. Reports back with review queue sorted by soonest intake.</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Refresh</w:t>
            </w:r>
          </w:p>
        </w:tc>
        <w:tc>
          <w:tcPr>
            <w:tcW w:type="dxa" w:w="5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Re-verifies all active records. Expires stale ones (intake passed and not rolling). Updates last_verified dates. Reports what needs ANRA's attention.</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Targeted</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Single-company research run. Used when a specific company is known to have a new programme.</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Check</w:t>
            </w:r>
          </w:p>
        </w:tc>
        <w:tc>
          <w:tcPr>
            <w:tcW w:type="dxa" w:w="5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URL verification only for existing records of a named company.</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Status</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Quick COUNT breakdown by industry and active/inactive split.</w:t>
            </w:r>
          </w:p>
        </w:tc>
      </w:tr>
    </w:tbl>
    <w:p>
      <w:pPr>
        <w:spacing w:after="0" w:before="120"/>
      </w:pPr>
      <w:r>
        <w:t xml:space="preserve"/>
      </w:r>
    </w:p>
    <w:p>
      <w:pPr>
        <w:pStyle w:val="Heading2"/>
        <w:spacing w:after="120" w:before="320"/>
      </w:pPr>
      <w:r>
        <w:rPr>
          <w:rFonts w:ascii="Arial" w:cs="Arial" w:eastAsia="Arial" w:hAnsi="Arial"/>
          <w:b/>
          <w:bCs/>
          <w:color w:val="0E7C7B"/>
          <w:sz w:val="26"/>
          <w:szCs w:val="26"/>
        </w:rPr>
        <w:t xml:space="preserve">Internship Data Model — Key Design Decisions</w:t>
      </w:r>
    </w:p>
    <w:p>
      <w:pPr>
        <w:pStyle w:val="ListParagraph"/>
        <w:numPr>
          <w:ilvl w:val="0"/>
          <w:numId w:val="2"/>
        </w:numPr>
        <w:spacing w:after="60" w:before="60"/>
      </w:pPr>
      <w:r>
        <w:rPr>
          <w:rFonts w:ascii="Arial" w:cs="Arial" w:eastAsia="Arial" w:hAnsi="Arial"/>
          <w:color w:val="222222"/>
          <w:sz w:val="22"/>
          <w:szCs w:val="22"/>
        </w:rPr>
        <w:t xml:space="preserve">id is NOT auto-increment — always MAX(id)+1 before any insert. Prevents race conditions if manual and agent inserts overlap.</w:t>
      </w:r>
    </w:p>
    <w:p>
      <w:pPr>
        <w:pStyle w:val="ListParagraph"/>
        <w:numPr>
          <w:ilvl w:val="0"/>
          <w:numId w:val="2"/>
        </w:numPr>
        <w:spacing w:after="60" w:before="60"/>
      </w:pPr>
      <w:r>
        <w:rPr>
          <w:rFonts w:ascii="Arial" w:cs="Arial" w:eastAsia="Arial" w:hAnsi="Arial"/>
          <w:color w:val="222222"/>
          <w:sz w:val="22"/>
          <w:szCs w:val="22"/>
        </w:rPr>
        <w:t xml:space="preserve">is_visible starts false on every insert. ANRA flips to true after human review. Students never see unreviewed records.</w:t>
      </w:r>
    </w:p>
    <w:p>
      <w:pPr>
        <w:pStyle w:val="ListParagraph"/>
        <w:numPr>
          <w:ilvl w:val="0"/>
          <w:numId w:val="2"/>
        </w:numPr>
        <w:spacing w:after="60" w:before="60"/>
      </w:pPr>
      <w:r>
        <w:rPr>
          <w:rFonts w:ascii="Arial" w:cs="Arial" w:eastAsia="Arial" w:hAnsi="Arial"/>
          <w:color w:val="222222"/>
          <w:sz w:val="22"/>
          <w:szCs w:val="22"/>
        </w:rPr>
        <w:t xml:space="preserve">is_active is Matt's field — controls whether a record appears in refresh cycles. Never delete; deactivate instead.</w:t>
      </w:r>
    </w:p>
    <w:p>
      <w:pPr>
        <w:pStyle w:val="ListParagraph"/>
        <w:numPr>
          <w:ilvl w:val="0"/>
          <w:numId w:val="2"/>
        </w:numPr>
        <w:spacing w:after="60" w:before="60"/>
      </w:pPr>
      <w:r>
        <w:rPr>
          <w:rFonts w:ascii="Arial" w:cs="Arial" w:eastAsia="Arial" w:hAnsi="Arial"/>
          <w:color w:val="222222"/>
          <w:sz w:val="22"/>
          <w:szCs w:val="22"/>
        </w:rPr>
        <w:t xml:space="preserve">allowance_text always includes (estimated) if sourced from forums rather than the company page.</w:t>
      </w:r>
    </w:p>
    <w:p>
      <w:pPr>
        <w:pStyle w:val="ListParagraph"/>
        <w:numPr>
          <w:ilvl w:val="0"/>
          <w:numId w:val="2"/>
        </w:numPr>
        <w:spacing w:after="60" w:before="60"/>
      </w:pPr>
      <w:r>
        <w:rPr>
          <w:rFonts w:ascii="Arial" w:cs="Arial" w:eastAsia="Arial" w:hAnsi="Arial"/>
          <w:color w:val="222222"/>
          <w:sz w:val="22"/>
          <w:szCs w:val="22"/>
        </w:rPr>
        <w:t xml:space="preserve">url must be a public-facing page. Login-wall-only entries are never inserted — students cannot act on them.</w:t>
      </w:r>
    </w:p>
    <w:p>
      <w:pPr>
        <w:pStyle w:val="ListParagraph"/>
        <w:numPr>
          <w:ilvl w:val="0"/>
          <w:numId w:val="2"/>
        </w:numPr>
        <w:spacing w:after="60" w:before="60"/>
      </w:pPr>
      <w:r>
        <w:rPr>
          <w:rFonts w:ascii="Arial" w:cs="Arial" w:eastAsia="Arial" w:hAnsi="Arial"/>
          <w:color w:val="222222"/>
          <w:sz w:val="22"/>
          <w:szCs w:val="22"/>
        </w:rPr>
        <w:t xml:space="preserve">tips is required on every record. Generic tips like 'visit their website' are not acceptable.</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UI Explorations — Mockups</w:t>
      </w:r>
    </w:p>
    <w:p>
      <w:pPr>
        <w:spacing w:after="80" w:before="80"/>
      </w:pPr>
      <w:r>
        <w:rPr>
          <w:rFonts w:ascii="Arial" w:cs="Arial" w:eastAsia="Arial" w:hAnsi="Arial"/>
          <w:color w:val="222222"/>
          <w:sz w:val="22"/>
          <w:szCs w:val="22"/>
        </w:rPr>
        <w:t xml:space="preserve">Five UI concepts were explored for the internship page before landing on the dark glass aesthetic. These are archived in _seo-tools/_mockups/ for reference:</w:t>
      </w:r>
    </w:p>
    <w:p>
      <w:pPr>
        <w:pStyle w:val="ListParagraph"/>
        <w:numPr>
          <w:ilvl w:val="0"/>
          <w:numId w:val="2"/>
        </w:numPr>
        <w:spacing w:after="60" w:before="60"/>
      </w:pPr>
      <w:r>
        <w:rPr>
          <w:rFonts w:ascii="Arial" w:cs="Arial" w:eastAsia="Arial" w:hAnsi="Arial"/>
          <w:color w:val="222222"/>
          <w:sz w:val="22"/>
          <w:szCs w:val="22"/>
        </w:rPr>
        <w:t xml:space="preserve">internship-mockup-A.html — light, card-based layout</w:t>
      </w:r>
    </w:p>
    <w:p>
      <w:pPr>
        <w:pStyle w:val="ListParagraph"/>
        <w:numPr>
          <w:ilvl w:val="0"/>
          <w:numId w:val="2"/>
        </w:numPr>
        <w:spacing w:after="60" w:before="60"/>
      </w:pPr>
      <w:r>
        <w:rPr>
          <w:rFonts w:ascii="Arial" w:cs="Arial" w:eastAsia="Arial" w:hAnsi="Arial"/>
          <w:color w:val="222222"/>
          <w:sz w:val="22"/>
          <w:szCs w:val="22"/>
        </w:rPr>
        <w:t xml:space="preserve">internship-mockup-B1-dark.html — first dark glass attempt</w:t>
      </w:r>
    </w:p>
    <w:p>
      <w:pPr>
        <w:pStyle w:val="ListParagraph"/>
        <w:numPr>
          <w:ilvl w:val="0"/>
          <w:numId w:val="2"/>
        </w:numPr>
        <w:spacing w:after="60" w:before="60"/>
      </w:pPr>
      <w:r>
        <w:rPr>
          <w:rFonts w:ascii="Arial" w:cs="Arial" w:eastAsia="Arial" w:hAnsi="Arial"/>
          <w:color w:val="222222"/>
          <w:sz w:val="22"/>
          <w:szCs w:val="22"/>
        </w:rPr>
        <w:t xml:space="preserve">internship-mockup-B1-v2.html — extended dark glass, most developed version</w:t>
      </w:r>
    </w:p>
    <w:p>
      <w:pPr>
        <w:pStyle w:val="ListParagraph"/>
        <w:numPr>
          <w:ilvl w:val="0"/>
          <w:numId w:val="2"/>
        </w:numPr>
        <w:spacing w:after="60" w:before="60"/>
      </w:pPr>
      <w:r>
        <w:rPr>
          <w:rFonts w:ascii="Arial" w:cs="Arial" w:eastAsia="Arial" w:hAnsi="Arial"/>
          <w:color w:val="222222"/>
          <w:sz w:val="22"/>
          <w:szCs w:val="22"/>
        </w:rPr>
        <w:t xml:space="preserve">internship-mockup-B2-teal.html — teal accent variant</w:t>
      </w:r>
    </w:p>
    <w:p>
      <w:pPr>
        <w:pStyle w:val="ListParagraph"/>
        <w:numPr>
          <w:ilvl w:val="0"/>
          <w:numId w:val="2"/>
        </w:numPr>
        <w:spacing w:after="60" w:before="60"/>
      </w:pPr>
      <w:r>
        <w:rPr>
          <w:rFonts w:ascii="Arial" w:cs="Arial" w:eastAsia="Arial" w:hAnsi="Arial"/>
          <w:color w:val="222222"/>
          <w:sz w:val="22"/>
          <w:szCs w:val="22"/>
        </w:rPr>
        <w:t xml:space="preserve">internship-mockup-B3-warm.html — warm colour variant</w:t>
      </w:r>
    </w:p>
    <w:p>
      <w:pPr>
        <w:spacing w:after="80" w:before="80"/>
      </w:pPr>
      <w:r>
        <w:rPr>
          <w:rFonts w:ascii="Arial" w:cs="Arial" w:eastAsia="Arial" w:hAnsi="Arial"/>
          <w:color w:val="222222"/>
          <w:sz w:val="22"/>
          <w:szCs w:val="22"/>
        </w:rPr>
        <w:t xml:space="preserve">The dark glass aesthetic was chosen for its visual differentiation from the light scholarship directory — signalling that these are two distinct products living under the same roof.</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26"/>
        <w:gridCol w:w="1400"/>
      </w:tblGrid>
      <w:tr>
        <w:tc>
          <w:tcPr>
            <w:tcW w:type="dxa" w:w="1600"/>
            <w:tcBorders>
              <w:top w:val="none" w:color="FFFFFF" w:sz="0"/>
              <w:left w:val="none" w:color="FFFFFF" w:sz="0"/>
              <w:bottom w:val="none" w:color="FFFFFF" w:sz="0"/>
              <w:right w:val="none" w:color="FFFFFF" w:sz="0"/>
            </w:tcBorders>
            <w:shd w:fill="0E7C7B" w:val="clear"/>
            <w:tcMar>
              <w:top w:type="dxa" w:w="160"/>
              <w:left w:type="dxa" w:w="200"/>
              <w:bottom w:type="dxa" w:w="160"/>
              <w:right w:type="dxa" w:w="120"/>
            </w:tcMar>
            <w:vAlign w:val="center"/>
          </w:tcPr>
          <w:p>
            <w:pPr>
              <w:spacing w:after="0" w:before="0"/>
              <w:jc w:val="center"/>
            </w:pPr>
            <w:r>
              <w:rPr>
                <w:rFonts w:ascii="Arial" w:cs="Arial" w:eastAsia="Arial" w:hAnsi="Arial"/>
                <w:b/>
                <w:bCs/>
                <w:color w:val="FFFFFF"/>
                <w:sz w:val="32"/>
                <w:szCs w:val="32"/>
              </w:rPr>
              <w:t xml:space="preserve">PHASE 4</w:t>
            </w:r>
          </w:p>
        </w:tc>
        <w:tc>
          <w:tcPr>
            <w:tcW w:type="dxa" w:w="6026"/>
            <w:tcBorders>
              <w:top w:val="none" w:color="FFFFFF" w:sz="0"/>
              <w:left w:val="none" w:color="FFFFFF" w:sz="0"/>
              <w:bottom w:val="none" w:color="FFFFFF" w:sz="0"/>
              <w:right w:val="none" w:color="FFFFFF" w:sz="0"/>
            </w:tcBorders>
            <w:shd w:fill="F0F4F8" w:val="clear"/>
            <w:tcMar>
              <w:top w:type="dxa" w:w="160"/>
              <w:left w:type="dxa" w:w="200"/>
              <w:bottom w:type="dxa" w:w="160"/>
              <w:right w:type="dxa" w:w="120"/>
            </w:tcMar>
            <w:vAlign w:val="center"/>
          </w:tcPr>
          <w:p>
            <w:pPr>
              <w:spacing w:after="0" w:before="0"/>
            </w:pPr>
            <w:r>
              <w:rPr>
                <w:rFonts w:ascii="Arial" w:cs="Arial" w:eastAsia="Arial" w:hAnsi="Arial"/>
                <w:b/>
                <w:bCs/>
                <w:color w:val="0E7C7B"/>
                <w:sz w:val="28"/>
                <w:szCs w:val="28"/>
              </w:rPr>
              <w:t xml:space="preserve">Operations Layer — Agents &amp; Monitoring</w:t>
            </w:r>
          </w:p>
        </w:tc>
        <w:tc>
          <w:tcPr>
            <w:tcW w:type="dxa" w:w="1400"/>
            <w:tcBorders>
              <w:top w:val="none" w:color="FFFFFF" w:sz="0"/>
              <w:left w:val="none" w:color="FFFFFF" w:sz="0"/>
              <w:bottom w:val="none" w:color="FFFFFF" w:sz="0"/>
              <w:right w:val="none" w:color="FFFFFF" w:sz="0"/>
            </w:tcBorders>
            <w:shd w:fill="F5F5F5" w:val="clear"/>
            <w:tcMar>
              <w:top w:type="dxa" w:w="160"/>
              <w:left w:type="dxa" w:w="120"/>
              <w:bottom w:type="dxa" w:w="160"/>
              <w:right w:type="dxa" w:w="120"/>
            </w:tcMar>
            <w:vAlign w:val="center"/>
          </w:tcPr>
          <w:p>
            <w:pPr>
              <w:spacing w:after="0" w:before="0"/>
              <w:jc w:val="center"/>
            </w:pPr>
            <w:r>
              <w:rPr>
                <w:rFonts w:ascii="Arial" w:cs="Arial" w:eastAsia="Arial" w:hAnsi="Arial"/>
                <w:b/>
                <w:bCs/>
                <w:color w:val="0E7C7B"/>
                <w:sz w:val="18"/>
                <w:szCs w:val="18"/>
              </w:rPr>
              <w:t xml:space="preserve">IN PROGRESS</w:t>
            </w:r>
          </w:p>
        </w:tc>
      </w:tr>
    </w:tbl>
    <w:p>
      <w:pPr>
        <w:spacing w:after="0" w:before="160"/>
      </w:pPr>
      <w:r>
        <w:t xml:space="preserve"/>
      </w:r>
    </w:p>
    <w:p>
      <w:pPr>
        <w:pStyle w:val="Heading2"/>
        <w:spacing w:after="120" w:before="320"/>
      </w:pPr>
      <w:r>
        <w:rPr>
          <w:rFonts w:ascii="Arial" w:cs="Arial" w:eastAsia="Arial" w:hAnsi="Arial"/>
          <w:b/>
          <w:bCs/>
          <w:color w:val="0E7C7B"/>
          <w:sz w:val="26"/>
          <w:szCs w:val="26"/>
        </w:rPr>
        <w:t xml:space="preserve">The Challenge of Running at Scale</w:t>
      </w:r>
    </w:p>
    <w:p>
      <w:pPr>
        <w:spacing w:after="80" w:before="80"/>
      </w:pPr>
      <w:r>
        <w:rPr>
          <w:rFonts w:ascii="Arial" w:cs="Arial" w:eastAsia="Arial" w:hAnsi="Arial"/>
          <w:color w:val="222222"/>
          <w:sz w:val="22"/>
          <w:szCs w:val="22"/>
        </w:rPr>
        <w:t xml:space="preserve">At 277+ scholarship records and a growing internship database, the operational burden of keeping data accurate is real. Scholarships expire. URLs break. Companies update their portals. Corrections come in from students. Partners reach out. This phase is about building the operational infrastructure that keeps the product trustworthy without consuming all of the builder's time.</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The Agent Team</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Agent</w:t>
            </w:r>
          </w:p>
        </w:tc>
        <w:tc>
          <w:tcPr>
            <w:tcW w:type="dxa" w:w="5826"/>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Mandate</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Amirah (Agent 01 — Chief of Staff)</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Handles all ops and comms that are not code or data. Triages hello@myscholar.my, Gmail, and Facebook DMs. Classifies messages into: corrections, partnerships, student queries, noise. Drafts replies in ANRA's voice. Produces weekly ops summaries. Manages broken scholarship briefs. Never sends anything — ANRA sends.</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Matt (Agent 02 — Internship Researcher)</w:t>
            </w:r>
          </w:p>
        </w:tc>
        <w:tc>
          <w:tcPr>
            <w:tcW w:type="dxa" w:w="5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Runs the complete internship data pipeline. Find mode for new records. Refresh mode for weekly URL verification. Targeted and Check modes for specific companies. Reports back with review queues sorted by urgency. Never flips is_visible — that is always ANRA.</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Jack (Agent 03 — SEO Generator)</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Generates new SEO landing pages using generate-seo.js and the keyword manifest. Runs when a new keyword category is identified or the manifest is updated with new page definitions. Outputs static HTML files ready for GitHub deployment.</w:t>
            </w:r>
          </w:p>
        </w:tc>
      </w:tr>
    </w:tbl>
    <w:p>
      <w:pPr>
        <w:spacing w:after="0" w:before="120"/>
      </w:pPr>
      <w:r>
        <w:t xml:space="preserve"/>
      </w:r>
    </w:p>
    <w:p>
      <w:pPr>
        <w:pStyle w:val="Heading2"/>
        <w:spacing w:after="120" w:before="320"/>
      </w:pPr>
      <w:r>
        <w:rPr>
          <w:rFonts w:ascii="Arial" w:cs="Arial" w:eastAsia="Arial" w:hAnsi="Arial"/>
          <w:b/>
          <w:bCs/>
          <w:color w:val="0E7C7B"/>
          <w:sz w:val="26"/>
          <w:szCs w:val="26"/>
        </w:rPr>
        <w:t xml:space="preserve">URL Health Monitoring</w:t>
      </w:r>
    </w:p>
    <w:p>
      <w:pPr>
        <w:spacing w:after="80" w:before="80"/>
      </w:pPr>
      <w:r>
        <w:rPr>
          <w:rFonts w:ascii="Arial" w:cs="Arial" w:eastAsia="Arial" w:hAnsi="Arial"/>
          <w:color w:val="222222"/>
          <w:sz w:val="22"/>
          <w:szCs w:val="22"/>
        </w:rPr>
        <w:t xml:space="preserve">A cron job runs every Monday at 8am UTC via Supabase's pg_net extension. It calls net.http_get() on each scholarship URL and updates the url_status field:</w:t>
      </w:r>
    </w:p>
    <w:p>
      <w:pPr>
        <w:pStyle w:val="ListParagraph"/>
        <w:numPr>
          <w:ilvl w:val="0"/>
          <w:numId w:val="2"/>
        </w:numPr>
        <w:spacing w:after="60" w:before="60"/>
      </w:pPr>
      <w:r>
        <w:rPr>
          <w:rFonts w:ascii="Arial" w:cs="Arial" w:eastAsia="Arial" w:hAnsi="Arial"/>
          <w:color w:val="222222"/>
          <w:sz w:val="22"/>
          <w:szCs w:val="22"/>
        </w:rPr>
        <w:t xml:space="preserve">'ok' — URL returns 200, 403, 401, or similar (live site, possibly bot-blocking)</w:t>
      </w:r>
    </w:p>
    <w:p>
      <w:pPr>
        <w:pStyle w:val="ListParagraph"/>
        <w:numPr>
          <w:ilvl w:val="0"/>
          <w:numId w:val="2"/>
        </w:numPr>
        <w:spacing w:after="60" w:before="60"/>
      </w:pPr>
      <w:r>
        <w:rPr>
          <w:rFonts w:ascii="Arial" w:cs="Arial" w:eastAsia="Arial" w:hAnsi="Arial"/>
          <w:color w:val="222222"/>
          <w:sz w:val="22"/>
          <w:szCs w:val="22"/>
        </w:rPr>
        <w:t xml:space="preserve">'suspected' — timeout or 5xx error. Needs human review before flagging as broken.</w:t>
      </w:r>
    </w:p>
    <w:p>
      <w:pPr>
        <w:pStyle w:val="ListParagraph"/>
        <w:numPr>
          <w:ilvl w:val="0"/>
          <w:numId w:val="2"/>
        </w:numPr>
        <w:spacing w:after="60" w:before="60"/>
      </w:pPr>
      <w:r>
        <w:rPr>
          <w:rFonts w:ascii="Arial" w:cs="Arial" w:eastAsia="Arial" w:hAnsi="Arial"/>
          <w:color w:val="222222"/>
          <w:sz w:val="22"/>
          <w:szCs w:val="22"/>
        </w:rPr>
        <w:t xml:space="preserve">'broken' — confirmed 404 or DNS failure. Scholarship card shows a warning to students.</w:t>
      </w:r>
    </w:p>
    <w:p>
      <w:pPr>
        <w:spacing w:after="0" w:before="80"/>
      </w:pPr>
      <w:r>
        <w:t xml:space="preserve"/>
      </w:r>
    </w:p>
    <w:p>
      <w:pPr>
        <w:spacing w:after="80" w:before="80"/>
      </w:pPr>
      <w:r>
        <w:rPr>
          <w:rFonts w:ascii="Arial" w:cs="Arial" w:eastAsia="Arial" w:hAnsi="Arial"/>
          <w:color w:val="222222"/>
          <w:sz w:val="22"/>
          <w:szCs w:val="22"/>
        </w:rPr>
        <w:t xml:space="preserve">The same logic applies to internship URLs, managed manually via Matt's Refresh mode.</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Amirah's Voice Rules</w:t>
      </w:r>
    </w:p>
    <w:p>
      <w:pPr>
        <w:spacing w:after="80" w:before="80"/>
      </w:pPr>
      <w:r>
        <w:rPr>
          <w:rFonts w:ascii="Arial" w:cs="Arial" w:eastAsia="Arial" w:hAnsi="Arial"/>
          <w:color w:val="222222"/>
          <w:sz w:val="22"/>
          <w:szCs w:val="22"/>
        </w:rPr>
        <w:t xml:space="preserve">One of the less obvious but important decisions: all external communications (to students, to partners, to scholarship providers) follow a specific voice. No AI-sounding language. No grand mission statements. First-person, understated, honest about early-stage status.</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E7C7B" w:sz="3"/>
              <w:left w:val="single" w:color="0E7C7B" w:sz="12"/>
              <w:bottom w:val="single" w:color="0E7C7B" w:sz="3"/>
              <w:right w:val="none" w:color="FFFFFF" w:sz="0"/>
            </w:tcBorders>
            <w:shd w:fill="E8F4F8" w:val="clear"/>
            <w:tcMar>
              <w:top w:type="dxa" w:w="120"/>
              <w:left w:type="dxa" w:w="200"/>
              <w:bottom w:type="dxa" w:w="120"/>
              <w:right w:type="dxa" w:w="200"/>
            </w:tcMar>
          </w:tcPr>
          <w:p>
            <w:pPr>
              <w:spacing w:after="40" w:before="40"/>
            </w:pPr>
            <w:r>
              <w:rPr>
                <w:rFonts w:ascii="Arial" w:cs="Arial" w:eastAsia="Arial" w:hAnsi="Arial"/>
                <w:color w:val="1E3A5F"/>
                <w:sz w:val="20"/>
                <w:szCs w:val="20"/>
              </w:rPr>
              <w:t xml:space="preserve">Example (Mode A — ANRA personal voice):</w:t>
            </w:r>
          </w:p>
          <w:p>
            <w:pPr>
              <w:spacing w:after="40" w:before="40"/>
            </w:pPr>
            <w:r>
              <w:rPr>
                <w:rFonts w:ascii="Arial" w:cs="Arial" w:eastAsia="Arial" w:hAnsi="Arial"/>
                <w:color w:val="1E3A5F"/>
                <w:sz w:val="20"/>
                <w:szCs w:val="20"/>
              </w:rPr>
              <w:t xml:space="preserve">'Hi — I run a free scholarship finder called MyScholar (myscholar.my). I noticed [X] and thought there</w:t>
            </w:r>
          </w:p>
          <w:p>
            <w:pPr>
              <w:spacing w:after="40" w:before="40"/>
            </w:pPr>
            <w:r>
              <w:rPr>
                <w:rFonts w:ascii="Arial" w:cs="Arial" w:eastAsia="Arial" w:hAnsi="Arial"/>
                <w:color w:val="1E3A5F"/>
                <w:sz w:val="20"/>
                <w:szCs w:val="20"/>
              </w:rPr>
              <w:t xml:space="preserve">might be something worth exploring together. Happy to share more if it's relevant to what you do.'</w:t>
            </w:r>
          </w:p>
          <w:p>
            <w:pPr>
              <w:spacing w:after="40" w:before="40"/>
            </w:pPr>
            <w:r>
              <w:rPr>
                <w:rFonts w:ascii="Arial" w:cs="Arial" w:eastAsia="Arial" w:hAnsi="Arial"/>
                <w:color w:val="1E3A5F"/>
                <w:sz w:val="20"/>
                <w:szCs w:val="20"/>
              </w:rPr>
              <w:t xml:space="preserve"/>
            </w:r>
          </w:p>
          <w:p>
            <w:pPr>
              <w:spacing w:after="40" w:before="40"/>
            </w:pPr>
            <w:r>
              <w:rPr>
                <w:rFonts w:ascii="Arial" w:cs="Arial" w:eastAsia="Arial" w:hAnsi="Arial"/>
                <w:color w:val="1E3A5F"/>
                <w:sz w:val="20"/>
                <w:szCs w:val="20"/>
              </w:rPr>
              <w:t xml:space="preserve">This kind of honesty — 'it's still early days and I'm adding more regularly, but it's already usable'</w:t>
            </w:r>
          </w:p>
          <w:p>
            <w:pPr>
              <w:spacing w:after="40" w:before="40"/>
            </w:pPr>
            <w:r>
              <w:rPr>
                <w:rFonts w:ascii="Arial" w:cs="Arial" w:eastAsia="Arial" w:hAnsi="Arial"/>
                <w:color w:val="1E3A5F"/>
                <w:sz w:val="20"/>
                <w:szCs w:val="20"/>
              </w:rPr>
              <w:t xml:space="preserve">— is a deliberate brand choice, not something to polish away.</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26"/>
        <w:gridCol w:w="1400"/>
      </w:tblGrid>
      <w:tr>
        <w:tc>
          <w:tcPr>
            <w:tcW w:type="dxa" w:w="1600"/>
            <w:tcBorders>
              <w:top w:val="none" w:color="FFFFFF" w:sz="0"/>
              <w:left w:val="none" w:color="FFFFFF" w:sz="0"/>
              <w:bottom w:val="none" w:color="FFFFFF" w:sz="0"/>
              <w:right w:val="none" w:color="FFFFFF" w:sz="0"/>
            </w:tcBorders>
            <w:shd w:fill="8B5E00" w:val="clear"/>
            <w:tcMar>
              <w:top w:type="dxa" w:w="160"/>
              <w:left w:type="dxa" w:w="200"/>
              <w:bottom w:type="dxa" w:w="160"/>
              <w:right w:type="dxa" w:w="120"/>
            </w:tcMar>
            <w:vAlign w:val="center"/>
          </w:tcPr>
          <w:p>
            <w:pPr>
              <w:spacing w:after="0" w:before="0"/>
              <w:jc w:val="center"/>
            </w:pPr>
            <w:r>
              <w:rPr>
                <w:rFonts w:ascii="Arial" w:cs="Arial" w:eastAsia="Arial" w:hAnsi="Arial"/>
                <w:b/>
                <w:bCs/>
                <w:color w:val="FFFFFF"/>
                <w:sz w:val="32"/>
                <w:szCs w:val="32"/>
              </w:rPr>
              <w:t xml:space="preserve">PHASE 5</w:t>
            </w:r>
          </w:p>
        </w:tc>
        <w:tc>
          <w:tcPr>
            <w:tcW w:type="dxa" w:w="6026"/>
            <w:tcBorders>
              <w:top w:val="none" w:color="FFFFFF" w:sz="0"/>
              <w:left w:val="none" w:color="FFFFFF" w:sz="0"/>
              <w:bottom w:val="none" w:color="FFFFFF" w:sz="0"/>
              <w:right w:val="none" w:color="FFFFFF" w:sz="0"/>
            </w:tcBorders>
            <w:shd w:fill="F0F4F8" w:val="clear"/>
            <w:tcMar>
              <w:top w:type="dxa" w:w="160"/>
              <w:left w:type="dxa" w:w="200"/>
              <w:bottom w:type="dxa" w:w="160"/>
              <w:right w:type="dxa" w:w="120"/>
            </w:tcMar>
            <w:vAlign w:val="center"/>
          </w:tcPr>
          <w:p>
            <w:pPr>
              <w:spacing w:after="0" w:before="0"/>
            </w:pPr>
            <w:r>
              <w:rPr>
                <w:rFonts w:ascii="Arial" w:cs="Arial" w:eastAsia="Arial" w:hAnsi="Arial"/>
                <w:b/>
                <w:bCs/>
                <w:color w:val="8B5E00"/>
                <w:sz w:val="28"/>
                <w:szCs w:val="28"/>
              </w:rPr>
              <w:t xml:space="preserve">First Revenue — Featured Listings</w:t>
            </w:r>
          </w:p>
        </w:tc>
        <w:tc>
          <w:tcPr>
            <w:tcW w:type="dxa" w:w="1400"/>
            <w:tcBorders>
              <w:top w:val="none" w:color="FFFFFF" w:sz="0"/>
              <w:left w:val="none" w:color="FFFFFF" w:sz="0"/>
              <w:bottom w:val="none" w:color="FFFFFF" w:sz="0"/>
              <w:right w:val="none" w:color="FFFFFF" w:sz="0"/>
            </w:tcBorders>
            <w:shd w:fill="F5F5F5" w:val="clear"/>
            <w:tcMar>
              <w:top w:type="dxa" w:w="160"/>
              <w:left w:type="dxa" w:w="120"/>
              <w:bottom w:type="dxa" w:w="160"/>
              <w:right w:type="dxa" w:w="120"/>
            </w:tcMar>
            <w:vAlign w:val="center"/>
          </w:tcPr>
          <w:p>
            <w:pPr>
              <w:spacing w:after="0" w:before="0"/>
              <w:jc w:val="center"/>
            </w:pPr>
            <w:r>
              <w:rPr>
                <w:rFonts w:ascii="Arial" w:cs="Arial" w:eastAsia="Arial" w:hAnsi="Arial"/>
                <w:b/>
                <w:bCs/>
                <w:color w:val="1E3A5F"/>
                <w:sz w:val="18"/>
                <w:szCs w:val="18"/>
              </w:rPr>
              <w:t xml:space="preserve">PLANNED — Q3/Q4 2026</w:t>
            </w:r>
          </w:p>
        </w:tc>
      </w:tr>
    </w:tbl>
    <w:p>
      <w:pPr>
        <w:spacing w:after="0" w:before="160"/>
      </w:pPr>
      <w:r>
        <w:t xml:space="preserve"/>
      </w:r>
    </w:p>
    <w:p>
      <w:pPr>
        <w:pStyle w:val="Heading2"/>
        <w:spacing w:after="120" w:before="320"/>
      </w:pPr>
      <w:r>
        <w:rPr>
          <w:rFonts w:ascii="Arial" w:cs="Arial" w:eastAsia="Arial" w:hAnsi="Arial"/>
          <w:b/>
          <w:bCs/>
          <w:color w:val="0E7C7B"/>
          <w:sz w:val="26"/>
          <w:szCs w:val="26"/>
        </w:rPr>
        <w:t xml:space="preserve">The Revenue Trigger</w:t>
      </w:r>
    </w:p>
    <w:p>
      <w:pPr>
        <w:spacing w:after="80" w:before="80"/>
      </w:pPr>
      <w:r>
        <w:rPr>
          <w:rFonts w:ascii="Arial" w:cs="Arial" w:eastAsia="Arial" w:hAnsi="Arial"/>
          <w:color w:val="222222"/>
          <w:sz w:val="22"/>
          <w:szCs w:val="22"/>
        </w:rPr>
        <w:t xml:space="preserve">Phase 5 is triggered by one condition: the internship directory has enough student traffic that companies notice. When a company's hiring team starts seeing referral traffic from myscholar.my in their analytics, or when ANRA starts receiving inbound messages asking how to get featured, the conditions for Phase 5 exist.</w:t>
      </w:r>
    </w:p>
    <w:p>
      <w:pPr>
        <w:spacing w:after="0" w:before="80"/>
      </w:pPr>
      <w:r>
        <w:t xml:space="preserve"/>
      </w:r>
    </w:p>
    <w:p>
      <w:pPr>
        <w:spacing w:after="80" w:before="80"/>
      </w:pPr>
      <w:r>
        <w:rPr>
          <w:rFonts w:ascii="Arial" w:cs="Arial" w:eastAsia="Arial" w:hAnsi="Arial"/>
          <w:color w:val="222222"/>
          <w:sz w:val="22"/>
          <w:szCs w:val="22"/>
        </w:rPr>
        <w:t xml:space="preserve">This is not a hard date. It is a market signal. Pushing Phase 5 before the product has earned that right from students risks being perceived as pay-to-win, which would erode the trust the scholarship directory has built.</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What Featured Listings Look Like</w:t>
      </w:r>
    </w:p>
    <w:p>
      <w:pPr>
        <w:pStyle w:val="ListParagraph"/>
        <w:numPr>
          <w:ilvl w:val="0"/>
          <w:numId w:val="2"/>
        </w:numPr>
        <w:spacing w:after="60" w:before="60"/>
      </w:pPr>
      <w:r>
        <w:rPr>
          <w:rFonts w:ascii="Arial" w:cs="Arial" w:eastAsia="Arial" w:hAnsi="Arial"/>
          <w:color w:val="222222"/>
          <w:sz w:val="22"/>
          <w:szCs w:val="22"/>
        </w:rPr>
        <w:t xml:space="preserve">A featured listing is the same record as a regular listing, with a visual badge and a prioritised position in the default sort order</w:t>
      </w:r>
    </w:p>
    <w:p>
      <w:pPr>
        <w:pStyle w:val="ListParagraph"/>
        <w:numPr>
          <w:ilvl w:val="0"/>
          <w:numId w:val="2"/>
        </w:numPr>
        <w:spacing w:after="60" w:before="60"/>
      </w:pPr>
      <w:r>
        <w:rPr>
          <w:rFonts w:ascii="Arial" w:cs="Arial" w:eastAsia="Arial" w:hAnsi="Arial"/>
          <w:color w:val="222222"/>
          <w:sz w:val="22"/>
          <w:szCs w:val="22"/>
        </w:rPr>
        <w:t xml:space="preserve">The company's logo, application link, and programme details remain accurate and student-facing — the same quality bar as all other records</w:t>
      </w:r>
    </w:p>
    <w:p>
      <w:pPr>
        <w:pStyle w:val="ListParagraph"/>
        <w:numPr>
          <w:ilvl w:val="0"/>
          <w:numId w:val="2"/>
        </w:numPr>
        <w:spacing w:after="60" w:before="60"/>
      </w:pPr>
      <w:r>
        <w:rPr>
          <w:rFonts w:ascii="Arial" w:cs="Arial" w:eastAsia="Arial" w:hAnsi="Arial"/>
          <w:color w:val="222222"/>
          <w:sz w:val="22"/>
          <w:szCs w:val="22"/>
        </w:rPr>
        <w:t xml:space="preserve">Featured companies get a simple indicator ('Featured Partner' or similar) that is transparent to students — not hidden</w:t>
      </w:r>
    </w:p>
    <w:p>
      <w:pPr>
        <w:pStyle w:val="ListParagraph"/>
        <w:numPr>
          <w:ilvl w:val="0"/>
          <w:numId w:val="2"/>
        </w:numPr>
        <w:spacing w:after="60" w:before="60"/>
      </w:pPr>
      <w:r>
        <w:rPr>
          <w:rFonts w:ascii="Arial" w:cs="Arial" w:eastAsia="Arial" w:hAnsi="Arial"/>
          <w:color w:val="222222"/>
          <w:sz w:val="22"/>
          <w:szCs w:val="22"/>
        </w:rPr>
        <w:t xml:space="preserve">Price point TBD, but the hypothesis is RM 500–2,000/month per listing given the specific, high-intent student audience</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Technical Work Required for Phase 5</w:t>
      </w:r>
    </w:p>
    <w:p>
      <w:pPr>
        <w:pStyle w:val="ListParagraph"/>
        <w:numPr>
          <w:ilvl w:val="0"/>
          <w:numId w:val="2"/>
        </w:numPr>
        <w:spacing w:after="60" w:before="60"/>
      </w:pPr>
      <w:r>
        <w:rPr>
          <w:rFonts w:ascii="Arial" w:cs="Arial" w:eastAsia="Arial" w:hAnsi="Arial"/>
          <w:color w:val="222222"/>
          <w:sz w:val="22"/>
          <w:szCs w:val="22"/>
        </w:rPr>
        <w:t xml:space="preserve">Add is_featured boolean to internships table (already in schema, currently always false)</w:t>
      </w:r>
    </w:p>
    <w:p>
      <w:pPr>
        <w:pStyle w:val="ListParagraph"/>
        <w:numPr>
          <w:ilvl w:val="0"/>
          <w:numId w:val="2"/>
        </w:numPr>
        <w:spacing w:after="60" w:before="60"/>
      </w:pPr>
      <w:r>
        <w:rPr>
          <w:rFonts w:ascii="Arial" w:cs="Arial" w:eastAsia="Arial" w:hAnsi="Arial"/>
          <w:color w:val="222222"/>
          <w:sz w:val="22"/>
          <w:szCs w:val="22"/>
        </w:rPr>
        <w:t xml:space="preserve">Update internships.html to render featured badge and sort featured records first</w:t>
      </w:r>
    </w:p>
    <w:p>
      <w:pPr>
        <w:pStyle w:val="ListParagraph"/>
        <w:numPr>
          <w:ilvl w:val="0"/>
          <w:numId w:val="2"/>
        </w:numPr>
        <w:spacing w:after="60" w:before="60"/>
      </w:pPr>
      <w:r>
        <w:rPr>
          <w:rFonts w:ascii="Arial" w:cs="Arial" w:eastAsia="Arial" w:hAnsi="Arial"/>
          <w:color w:val="222222"/>
          <w:sz w:val="22"/>
          <w:szCs w:val="22"/>
        </w:rPr>
        <w:t xml:space="preserve">Build a simple invoice/payment flow — likely manual initially (Stripe or bank transfer)</w:t>
      </w:r>
    </w:p>
    <w:p>
      <w:pPr>
        <w:pStyle w:val="ListParagraph"/>
        <w:numPr>
          <w:ilvl w:val="0"/>
          <w:numId w:val="2"/>
        </w:numPr>
        <w:spacing w:after="60" w:before="60"/>
      </w:pPr>
      <w:r>
        <w:rPr>
          <w:rFonts w:ascii="Arial" w:cs="Arial" w:eastAsia="Arial" w:hAnsi="Arial"/>
          <w:color w:val="222222"/>
          <w:sz w:val="22"/>
          <w:szCs w:val="22"/>
        </w:rPr>
        <w:t xml:space="preserve">Create a basic company onboarding email template (Amirah handles outreach, Resend handles delivery)</w:t>
      </w:r>
    </w:p>
    <w:p>
      <w:pPr>
        <w:pStyle w:val="ListParagraph"/>
        <w:numPr>
          <w:ilvl w:val="0"/>
          <w:numId w:val="2"/>
        </w:numPr>
        <w:spacing w:after="60" w:before="60"/>
      </w:pPr>
      <w:r>
        <w:rPr>
          <w:rFonts w:ascii="Arial" w:cs="Arial" w:eastAsia="Arial" w:hAnsi="Arial"/>
          <w:color w:val="222222"/>
          <w:sz w:val="22"/>
          <w:szCs w:val="22"/>
        </w:rPr>
        <w:t xml:space="preserve">Track featured listing clicks as a separate GA4 event for reporting back to companies</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Revenue Hypothesis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Scenario</w:t>
            </w:r>
          </w:p>
        </w:tc>
        <w:tc>
          <w:tcPr>
            <w:tcW w:type="dxa" w:w="5826"/>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Estimate</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Conservative (3 featured companies)</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RM 1,500/month = RM 18,000/year</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Mid (8 featured companies)</w:t>
            </w:r>
          </w:p>
        </w:tc>
        <w:tc>
          <w:tcPr>
            <w:tcW w:type="dxa" w:w="5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RM 4,000/month = RM 48,000/year</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Strong (15 featured companies)</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RM 7,500/month = RM 90,000/year</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Cap at this phase</w:t>
            </w:r>
          </w:p>
        </w:tc>
        <w:tc>
          <w:tcPr>
            <w:tcW w:type="dxa" w:w="5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Limited by manual operations. Cannot scale past ~20 without a dashboard.</w:t>
            </w:r>
          </w:p>
        </w:tc>
      </w:tr>
    </w:tbl>
    <w:p>
      <w:pPr>
        <w:spacing w:after="0" w:before="120"/>
      </w:pPr>
      <w:r>
        <w:t xml:space="preserve"/>
      </w:r>
    </w:p>
    <w:p>
      <w:pPr>
        <w:pStyle w:val="Heading2"/>
        <w:spacing w:after="120" w:before="320"/>
      </w:pPr>
      <w:r>
        <w:rPr>
          <w:rFonts w:ascii="Arial" w:cs="Arial" w:eastAsia="Arial" w:hAnsi="Arial"/>
          <w:b/>
          <w:bCs/>
          <w:color w:val="0E7C7B"/>
          <w:sz w:val="26"/>
          <w:szCs w:val="26"/>
        </w:rPr>
        <w:t xml:space="preserve">What Stays Free</w:t>
      </w:r>
    </w:p>
    <w:p>
      <w:pPr>
        <w:spacing w:after="80" w:before="80"/>
      </w:pPr>
      <w:r>
        <w:rPr>
          <w:rFonts w:ascii="Arial" w:cs="Arial" w:eastAsia="Arial" w:hAnsi="Arial"/>
          <w:color w:val="222222"/>
          <w:sz w:val="22"/>
          <w:szCs w:val="22"/>
        </w:rPr>
        <w:t xml:space="preserve">The scholarship directory stays free. Forever. No featured placements, no promoted listings, no paid visibility. That is the mission and the trust signal. Any revenue that comes from scholarship providers corrupts the credibility of the directory.</w:t>
      </w:r>
    </w:p>
    <w:p>
      <w:pPr>
        <w:spacing w:after="0" w:before="80"/>
      </w:pPr>
      <w:r>
        <w:t xml:space="preserve"/>
      </w:r>
    </w:p>
    <w:p>
      <w:pPr>
        <w:spacing w:after="80" w:before="80"/>
      </w:pPr>
      <w:r>
        <w:rPr>
          <w:rFonts w:ascii="Arial" w:cs="Arial" w:eastAsia="Arial" w:hAnsi="Arial"/>
          <w:color w:val="222222"/>
          <w:sz w:val="22"/>
          <w:szCs w:val="22"/>
        </w:rPr>
        <w:t xml:space="preserve">The internship directory starts free and gradually introduces commercial elements. The separation is structural and permanent.</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26"/>
        <w:gridCol w:w="1400"/>
      </w:tblGrid>
      <w:tr>
        <w:tc>
          <w:tcPr>
            <w:tcW w:type="dxa" w:w="1600"/>
            <w:tcBorders>
              <w:top w:val="none" w:color="FFFFFF" w:sz="0"/>
              <w:left w:val="none" w:color="FFFFFF" w:sz="0"/>
              <w:bottom w:val="none" w:color="FFFFFF" w:sz="0"/>
              <w:right w:val="none" w:color="FFFFFF" w:sz="0"/>
            </w:tcBorders>
            <w:shd w:fill="1E3A5F" w:val="clear"/>
            <w:tcMar>
              <w:top w:type="dxa" w:w="160"/>
              <w:left w:type="dxa" w:w="200"/>
              <w:bottom w:type="dxa" w:w="160"/>
              <w:right w:type="dxa" w:w="120"/>
            </w:tcMar>
            <w:vAlign w:val="center"/>
          </w:tcPr>
          <w:p>
            <w:pPr>
              <w:spacing w:after="0" w:before="0"/>
              <w:jc w:val="center"/>
            </w:pPr>
            <w:r>
              <w:rPr>
                <w:rFonts w:ascii="Arial" w:cs="Arial" w:eastAsia="Arial" w:hAnsi="Arial"/>
                <w:b/>
                <w:bCs/>
                <w:color w:val="FFFFFF"/>
                <w:sz w:val="32"/>
                <w:szCs w:val="32"/>
              </w:rPr>
              <w:t xml:space="preserve">PHASE 6</w:t>
            </w:r>
          </w:p>
        </w:tc>
        <w:tc>
          <w:tcPr>
            <w:tcW w:type="dxa" w:w="6026"/>
            <w:tcBorders>
              <w:top w:val="none" w:color="FFFFFF" w:sz="0"/>
              <w:left w:val="none" w:color="FFFFFF" w:sz="0"/>
              <w:bottom w:val="none" w:color="FFFFFF" w:sz="0"/>
              <w:right w:val="none" w:color="FFFFFF" w:sz="0"/>
            </w:tcBorders>
            <w:shd w:fill="F0F4F8" w:val="clear"/>
            <w:tcMar>
              <w:top w:type="dxa" w:w="160"/>
              <w:left w:type="dxa" w:w="200"/>
              <w:bottom w:type="dxa" w:w="160"/>
              <w:right w:type="dxa" w:w="120"/>
            </w:tcMar>
            <w:vAlign w:val="center"/>
          </w:tcPr>
          <w:p>
            <w:pPr>
              <w:spacing w:after="0" w:before="0"/>
            </w:pPr>
            <w:r>
              <w:rPr>
                <w:rFonts w:ascii="Arial" w:cs="Arial" w:eastAsia="Arial" w:hAnsi="Arial"/>
                <w:b/>
                <w:bCs/>
                <w:color w:val="1E3A5F"/>
                <w:sz w:val="28"/>
                <w:szCs w:val="28"/>
              </w:rPr>
              <w:t xml:space="preserve">Company Self-Serve — Listing Dashboard</w:t>
            </w:r>
          </w:p>
        </w:tc>
        <w:tc>
          <w:tcPr>
            <w:tcW w:type="dxa" w:w="1400"/>
            <w:tcBorders>
              <w:top w:val="none" w:color="FFFFFF" w:sz="0"/>
              <w:left w:val="none" w:color="FFFFFF" w:sz="0"/>
              <w:bottom w:val="none" w:color="FFFFFF" w:sz="0"/>
              <w:right w:val="none" w:color="FFFFFF" w:sz="0"/>
            </w:tcBorders>
            <w:shd w:fill="F5F5F5" w:val="clear"/>
            <w:tcMar>
              <w:top w:type="dxa" w:w="160"/>
              <w:left w:type="dxa" w:w="120"/>
              <w:bottom w:type="dxa" w:w="160"/>
              <w:right w:type="dxa" w:w="120"/>
            </w:tcMar>
            <w:vAlign w:val="center"/>
          </w:tcPr>
          <w:p>
            <w:pPr>
              <w:spacing w:after="0" w:before="0"/>
              <w:jc w:val="center"/>
            </w:pPr>
            <w:r>
              <w:rPr>
                <w:rFonts w:ascii="Arial" w:cs="Arial" w:eastAsia="Arial" w:hAnsi="Arial"/>
                <w:b/>
                <w:bCs/>
                <w:color w:val="1E3A5F"/>
                <w:sz w:val="18"/>
                <w:szCs w:val="18"/>
              </w:rPr>
              <w:t xml:space="preserve">PLANNED — 2027</w:t>
            </w:r>
          </w:p>
        </w:tc>
      </w:tr>
    </w:tbl>
    <w:p>
      <w:pPr>
        <w:spacing w:after="0" w:before="160"/>
      </w:pPr>
      <w:r>
        <w:t xml:space="preserve"/>
      </w:r>
    </w:p>
    <w:p>
      <w:pPr>
        <w:pStyle w:val="Heading2"/>
        <w:spacing w:after="120" w:before="320"/>
      </w:pPr>
      <w:r>
        <w:rPr>
          <w:rFonts w:ascii="Arial" w:cs="Arial" w:eastAsia="Arial" w:hAnsi="Arial"/>
          <w:b/>
          <w:bCs/>
          <w:color w:val="0E7C7B"/>
          <w:sz w:val="26"/>
          <w:szCs w:val="26"/>
        </w:rPr>
        <w:t xml:space="preserve">The Scaling Problem</w:t>
      </w:r>
    </w:p>
    <w:p>
      <w:pPr>
        <w:spacing w:after="80" w:before="80"/>
      </w:pPr>
      <w:r>
        <w:rPr>
          <w:rFonts w:ascii="Arial" w:cs="Arial" w:eastAsia="Arial" w:hAnsi="Arial"/>
          <w:color w:val="222222"/>
          <w:sz w:val="22"/>
          <w:szCs w:val="22"/>
        </w:rPr>
        <w:t xml:space="preserve">Phase 5 is manually operated. ANRA handles outreach, invoicing, and listing management. This works for the first 10-20 companies. It does not work at 50. Phase 6 removes ANRA from the critical path for company operations by giving companies a dashboard to manage their own listings.</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What the Company Dashboard Includes</w:t>
      </w:r>
    </w:p>
    <w:p>
      <w:pPr>
        <w:pStyle w:val="ListParagraph"/>
        <w:numPr>
          <w:ilvl w:val="0"/>
          <w:numId w:val="2"/>
        </w:numPr>
        <w:spacing w:after="60" w:before="60"/>
      </w:pPr>
      <w:r>
        <w:rPr>
          <w:rFonts w:ascii="Arial" w:cs="Arial" w:eastAsia="Arial" w:hAnsi="Arial"/>
          <w:color w:val="222222"/>
          <w:sz w:val="22"/>
          <w:szCs w:val="22"/>
        </w:rPr>
        <w:t xml:space="preserve">Company profile: logo, description, size, industry</w:t>
      </w:r>
    </w:p>
    <w:p>
      <w:pPr>
        <w:pStyle w:val="ListParagraph"/>
        <w:numPr>
          <w:ilvl w:val="0"/>
          <w:numId w:val="2"/>
        </w:numPr>
        <w:spacing w:after="60" w:before="60"/>
      </w:pPr>
      <w:r>
        <w:rPr>
          <w:rFonts w:ascii="Arial" w:cs="Arial" w:eastAsia="Arial" w:hAnsi="Arial"/>
          <w:color w:val="222222"/>
          <w:sz w:val="22"/>
          <w:szCs w:val="22"/>
        </w:rPr>
        <w:t xml:space="preserve">Listing management: create, edit, pause, and archive internship listings</w:t>
      </w:r>
    </w:p>
    <w:p>
      <w:pPr>
        <w:pStyle w:val="ListParagraph"/>
        <w:numPr>
          <w:ilvl w:val="0"/>
          <w:numId w:val="2"/>
        </w:numPr>
        <w:spacing w:after="60" w:before="60"/>
      </w:pPr>
      <w:r>
        <w:rPr>
          <w:rFonts w:ascii="Arial" w:cs="Arial" w:eastAsia="Arial" w:hAnsi="Arial"/>
          <w:color w:val="222222"/>
          <w:sz w:val="22"/>
          <w:szCs w:val="22"/>
        </w:rPr>
        <w:t xml:space="preserve">Intake scheduling: set intake months or mark as rolling</w:t>
      </w:r>
    </w:p>
    <w:p>
      <w:pPr>
        <w:pStyle w:val="ListParagraph"/>
        <w:numPr>
          <w:ilvl w:val="0"/>
          <w:numId w:val="2"/>
        </w:numPr>
        <w:spacing w:after="60" w:before="60"/>
      </w:pPr>
      <w:r>
        <w:rPr>
          <w:rFonts w:ascii="Arial" w:cs="Arial" w:eastAsia="Arial" w:hAnsi="Arial"/>
          <w:color w:val="222222"/>
          <w:sz w:val="22"/>
          <w:szCs w:val="22"/>
        </w:rPr>
        <w:t xml:space="preserve">Application link management: update URLs, receive automatic broken link alerts</w:t>
      </w:r>
    </w:p>
    <w:p>
      <w:pPr>
        <w:pStyle w:val="ListParagraph"/>
        <w:numPr>
          <w:ilvl w:val="0"/>
          <w:numId w:val="2"/>
        </w:numPr>
        <w:spacing w:after="60" w:before="60"/>
      </w:pPr>
      <w:r>
        <w:rPr>
          <w:rFonts w:ascii="Arial" w:cs="Arial" w:eastAsia="Arial" w:hAnsi="Arial"/>
          <w:color w:val="222222"/>
          <w:sz w:val="22"/>
          <w:szCs w:val="22"/>
        </w:rPr>
        <w:t xml:space="preserve">Basic analytics: impressions (how many students saw this listing), click-through rate to application link, bookmark rate</w:t>
      </w:r>
    </w:p>
    <w:p>
      <w:pPr>
        <w:pStyle w:val="ListParagraph"/>
        <w:numPr>
          <w:ilvl w:val="0"/>
          <w:numId w:val="2"/>
        </w:numPr>
        <w:spacing w:after="60" w:before="60"/>
      </w:pPr>
      <w:r>
        <w:rPr>
          <w:rFonts w:ascii="Arial" w:cs="Arial" w:eastAsia="Arial" w:hAnsi="Arial"/>
          <w:color w:val="222222"/>
          <w:sz w:val="22"/>
          <w:szCs w:val="22"/>
        </w:rPr>
        <w:t xml:space="preserve">Invoice history and subscription management</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What Changes Technically in Phase 6</w:t>
      </w:r>
    </w:p>
    <w:p>
      <w:pPr>
        <w:pStyle w:val="ListParagraph"/>
        <w:numPr>
          <w:ilvl w:val="0"/>
          <w:numId w:val="2"/>
        </w:numPr>
        <w:spacing w:after="60" w:before="60"/>
      </w:pPr>
      <w:r>
        <w:rPr>
          <w:rFonts w:ascii="Arial" w:cs="Arial" w:eastAsia="Arial" w:hAnsi="Arial"/>
          <w:color w:val="222222"/>
          <w:sz w:val="22"/>
          <w:szCs w:val="22"/>
        </w:rPr>
        <w:t xml:space="preserve">User authentication for company accounts (Supabase Auth)</w:t>
      </w:r>
    </w:p>
    <w:p>
      <w:pPr>
        <w:pStyle w:val="ListParagraph"/>
        <w:numPr>
          <w:ilvl w:val="0"/>
          <w:numId w:val="2"/>
        </w:numPr>
        <w:spacing w:after="60" w:before="60"/>
      </w:pPr>
      <w:r>
        <w:rPr>
          <w:rFonts w:ascii="Arial" w:cs="Arial" w:eastAsia="Arial" w:hAnsi="Arial"/>
          <w:color w:val="222222"/>
          <w:sz w:val="22"/>
          <w:szCs w:val="22"/>
        </w:rPr>
        <w:t xml:space="preserve">Role-based access: company admins can only edit their own listings</w:t>
      </w:r>
    </w:p>
    <w:p>
      <w:pPr>
        <w:pStyle w:val="ListParagraph"/>
        <w:numPr>
          <w:ilvl w:val="0"/>
          <w:numId w:val="2"/>
        </w:numPr>
        <w:spacing w:after="60" w:before="60"/>
      </w:pPr>
      <w:r>
        <w:rPr>
          <w:rFonts w:ascii="Arial" w:cs="Arial" w:eastAsia="Arial" w:hAnsi="Arial"/>
          <w:color w:val="222222"/>
          <w:sz w:val="22"/>
          <w:szCs w:val="22"/>
        </w:rPr>
        <w:t xml:space="preserve">A new company-facing dashboard interface (separate from the student-facing pages)</w:t>
      </w:r>
    </w:p>
    <w:p>
      <w:pPr>
        <w:pStyle w:val="ListParagraph"/>
        <w:numPr>
          <w:ilvl w:val="0"/>
          <w:numId w:val="2"/>
        </w:numPr>
        <w:spacing w:after="60" w:before="60"/>
      </w:pPr>
      <w:r>
        <w:rPr>
          <w:rFonts w:ascii="Arial" w:cs="Arial" w:eastAsia="Arial" w:hAnsi="Arial"/>
          <w:color w:val="222222"/>
          <w:sz w:val="22"/>
          <w:szCs w:val="22"/>
        </w:rPr>
        <w:t xml:space="preserve">Stripe integration for recurring subscription billing</w:t>
      </w:r>
    </w:p>
    <w:p>
      <w:pPr>
        <w:pStyle w:val="ListParagraph"/>
        <w:numPr>
          <w:ilvl w:val="0"/>
          <w:numId w:val="2"/>
        </w:numPr>
        <w:spacing w:after="60" w:before="60"/>
      </w:pPr>
      <w:r>
        <w:rPr>
          <w:rFonts w:ascii="Arial" w:cs="Arial" w:eastAsia="Arial" w:hAnsi="Arial"/>
          <w:color w:val="222222"/>
          <w:sz w:val="22"/>
          <w:szCs w:val="22"/>
        </w:rPr>
        <w:t xml:space="preserve">Webhook-based URL monitoring: companies notified when their listing URL breaks</w:t>
      </w:r>
    </w:p>
    <w:p>
      <w:pPr>
        <w:pStyle w:val="ListParagraph"/>
        <w:numPr>
          <w:ilvl w:val="0"/>
          <w:numId w:val="2"/>
        </w:numPr>
        <w:spacing w:after="60" w:before="60"/>
      </w:pPr>
      <w:r>
        <w:rPr>
          <w:rFonts w:ascii="Arial" w:cs="Arial" w:eastAsia="Arial" w:hAnsi="Arial"/>
          <w:color w:val="222222"/>
          <w:sz w:val="22"/>
          <w:szCs w:val="22"/>
        </w:rPr>
        <w:t xml:space="preserve">Analytics aggregation: impressions and clicks stored server-side</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What Does NOT Change</w:t>
      </w:r>
    </w:p>
    <w:p>
      <w:pPr>
        <w:pStyle w:val="ListParagraph"/>
        <w:numPr>
          <w:ilvl w:val="0"/>
          <w:numId w:val="2"/>
        </w:numPr>
        <w:spacing w:after="60" w:before="60"/>
      </w:pPr>
      <w:r>
        <w:rPr>
          <w:rFonts w:ascii="Arial" w:cs="Arial" w:eastAsia="Arial" w:hAnsi="Arial"/>
          <w:color w:val="222222"/>
          <w:sz w:val="22"/>
          <w:szCs w:val="22"/>
        </w:rPr>
        <w:t xml:space="preserve">The student-facing internships.html stays the same. Students never interact with the company side.</w:t>
      </w:r>
    </w:p>
    <w:p>
      <w:pPr>
        <w:pStyle w:val="ListParagraph"/>
        <w:numPr>
          <w:ilvl w:val="0"/>
          <w:numId w:val="2"/>
        </w:numPr>
        <w:spacing w:after="60" w:before="60"/>
      </w:pPr>
      <w:r>
        <w:rPr>
          <w:rFonts w:ascii="Arial" w:cs="Arial" w:eastAsia="Arial" w:hAnsi="Arial"/>
          <w:color w:val="222222"/>
          <w:sz w:val="22"/>
          <w:szCs w:val="22"/>
        </w:rPr>
        <w:t xml:space="preserve">The scholarship directory is untouched. Fully separate from everything commercial.</w:t>
      </w:r>
    </w:p>
    <w:p>
      <w:pPr>
        <w:pStyle w:val="ListParagraph"/>
        <w:numPr>
          <w:ilvl w:val="0"/>
          <w:numId w:val="2"/>
        </w:numPr>
        <w:spacing w:after="60" w:before="60"/>
      </w:pPr>
      <w:r>
        <w:rPr>
          <w:rFonts w:ascii="Arial" w:cs="Arial" w:eastAsia="Arial" w:hAnsi="Arial"/>
          <w:color w:val="222222"/>
          <w:sz w:val="22"/>
          <w:szCs w:val="22"/>
        </w:rPr>
        <w:t xml:space="preserve">Matt agent continues to run for the free (non-paying) records in the database.</w:t>
      </w:r>
    </w:p>
    <w:p>
      <w:pPr>
        <w:pStyle w:val="ListParagraph"/>
        <w:numPr>
          <w:ilvl w:val="0"/>
          <w:numId w:val="2"/>
        </w:numPr>
        <w:spacing w:after="60" w:before="60"/>
      </w:pPr>
      <w:r>
        <w:rPr>
          <w:rFonts w:ascii="Arial" w:cs="Arial" w:eastAsia="Arial" w:hAnsi="Arial"/>
          <w:color w:val="222222"/>
          <w:sz w:val="22"/>
          <w:szCs w:val="22"/>
        </w:rPr>
        <w:t xml:space="preserve">ANRA retains final approval on all visible listings (is_visible toggle remains ANRA-controlled for new companies).</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Pricing Model Hypothesis for Phase 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Tier</w:t>
            </w:r>
          </w:p>
        </w:tc>
        <w:tc>
          <w:tcPr>
            <w:tcW w:type="dxa" w:w="5826"/>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Offering</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Free</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1 listing, standard placement, Matt-maintained data, no analytics</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Listed (RM 200/month)</w:t>
            </w:r>
          </w:p>
        </w:tc>
        <w:tc>
          <w:tcPr>
            <w:tcW w:type="dxa" w:w="5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Up to 3 listings, featured badge, self-manage listings, basic click analytics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Partner (RM 600/month)</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Unlimited listings, priority placement, full analytics dashboard, verified badge, dedicated account support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26"/>
        <w:gridCol w:w="1400"/>
      </w:tblGrid>
      <w:tr>
        <w:tc>
          <w:tcPr>
            <w:tcW w:type="dxa" w:w="1600"/>
            <w:tcBorders>
              <w:top w:val="none" w:color="FFFFFF" w:sz="0"/>
              <w:left w:val="none" w:color="FFFFFF" w:sz="0"/>
              <w:bottom w:val="none" w:color="FFFFFF" w:sz="0"/>
              <w:right w:val="none" w:color="FFFFFF" w:sz="0"/>
            </w:tcBorders>
            <w:shd w:fill="4B3382" w:val="clear"/>
            <w:tcMar>
              <w:top w:type="dxa" w:w="160"/>
              <w:left w:type="dxa" w:w="200"/>
              <w:bottom w:type="dxa" w:w="160"/>
              <w:right w:type="dxa" w:w="120"/>
            </w:tcMar>
            <w:vAlign w:val="center"/>
          </w:tcPr>
          <w:p>
            <w:pPr>
              <w:spacing w:after="0" w:before="0"/>
              <w:jc w:val="center"/>
            </w:pPr>
            <w:r>
              <w:rPr>
                <w:rFonts w:ascii="Arial" w:cs="Arial" w:eastAsia="Arial" w:hAnsi="Arial"/>
                <w:b/>
                <w:bCs/>
                <w:color w:val="FFFFFF"/>
                <w:sz w:val="32"/>
                <w:szCs w:val="32"/>
              </w:rPr>
              <w:t xml:space="preserve">PHASE 7</w:t>
            </w:r>
          </w:p>
        </w:tc>
        <w:tc>
          <w:tcPr>
            <w:tcW w:type="dxa" w:w="6026"/>
            <w:tcBorders>
              <w:top w:val="none" w:color="FFFFFF" w:sz="0"/>
              <w:left w:val="none" w:color="FFFFFF" w:sz="0"/>
              <w:bottom w:val="none" w:color="FFFFFF" w:sz="0"/>
              <w:right w:val="none" w:color="FFFFFF" w:sz="0"/>
            </w:tcBorders>
            <w:shd w:fill="F0F4F8" w:val="clear"/>
            <w:tcMar>
              <w:top w:type="dxa" w:w="160"/>
              <w:left w:type="dxa" w:w="200"/>
              <w:bottom w:type="dxa" w:w="160"/>
              <w:right w:type="dxa" w:w="120"/>
            </w:tcMar>
            <w:vAlign w:val="center"/>
          </w:tcPr>
          <w:p>
            <w:pPr>
              <w:spacing w:after="0" w:before="0"/>
            </w:pPr>
            <w:r>
              <w:rPr>
                <w:rFonts w:ascii="Arial" w:cs="Arial" w:eastAsia="Arial" w:hAnsi="Arial"/>
                <w:b/>
                <w:bCs/>
                <w:color w:val="4B3382"/>
                <w:sz w:val="28"/>
                <w:szCs w:val="28"/>
              </w:rPr>
              <w:t xml:space="preserve">Full Platform — B2B Student Pipeline</w:t>
            </w:r>
          </w:p>
        </w:tc>
        <w:tc>
          <w:tcPr>
            <w:tcW w:type="dxa" w:w="1400"/>
            <w:tcBorders>
              <w:top w:val="none" w:color="FFFFFF" w:sz="0"/>
              <w:left w:val="none" w:color="FFFFFF" w:sz="0"/>
              <w:bottom w:val="none" w:color="FFFFFF" w:sz="0"/>
              <w:right w:val="none" w:color="FFFFFF" w:sz="0"/>
            </w:tcBorders>
            <w:shd w:fill="F5F5F5" w:val="clear"/>
            <w:tcMar>
              <w:top w:type="dxa" w:w="160"/>
              <w:left w:type="dxa" w:w="120"/>
              <w:bottom w:type="dxa" w:w="160"/>
              <w:right w:type="dxa" w:w="120"/>
            </w:tcMar>
            <w:vAlign w:val="center"/>
          </w:tcPr>
          <w:p>
            <w:pPr>
              <w:spacing w:after="0" w:before="0"/>
              <w:jc w:val="center"/>
            </w:pPr>
            <w:r>
              <w:rPr>
                <w:rFonts w:ascii="Arial" w:cs="Arial" w:eastAsia="Arial" w:hAnsi="Arial"/>
                <w:b/>
                <w:bCs/>
                <w:color w:val="1E3A5F"/>
                <w:sz w:val="18"/>
                <w:szCs w:val="18"/>
              </w:rPr>
              <w:t xml:space="preserve">FUTURE — 2027+</w:t>
            </w:r>
          </w:p>
        </w:tc>
      </w:tr>
    </w:tbl>
    <w:p>
      <w:pPr>
        <w:spacing w:after="0" w:before="160"/>
      </w:pPr>
      <w:r>
        <w:t xml:space="preserve"/>
      </w:r>
    </w:p>
    <w:p>
      <w:pPr>
        <w:pStyle w:val="Heading2"/>
        <w:spacing w:after="120" w:before="320"/>
      </w:pPr>
      <w:r>
        <w:rPr>
          <w:rFonts w:ascii="Arial" w:cs="Arial" w:eastAsia="Arial" w:hAnsi="Arial"/>
          <w:b/>
          <w:bCs/>
          <w:color w:val="0E7C7B"/>
          <w:sz w:val="26"/>
          <w:szCs w:val="26"/>
        </w:rPr>
        <w:t xml:space="preserve">The Long Vision</w:t>
      </w:r>
    </w:p>
    <w:p>
      <w:pPr>
        <w:spacing w:after="80" w:before="80"/>
      </w:pPr>
      <w:r>
        <w:rPr>
          <w:rFonts w:ascii="Arial" w:cs="Arial" w:eastAsia="Arial" w:hAnsi="Arial"/>
          <w:color w:val="222222"/>
          <w:sz w:val="22"/>
          <w:szCs w:val="22"/>
        </w:rPr>
        <w:t xml:space="preserve">MyScholar stops being a directory and becomes an active pipeline between Malaysian students and employers. Companies don't just post listings — they see who's interested, engage with candidates, and move applications through a structured process.</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What Phase 7 Adds</w:t>
      </w:r>
    </w:p>
    <w:p>
      <w:pPr>
        <w:pStyle w:val="ListParagraph"/>
        <w:numPr>
          <w:ilvl w:val="0"/>
          <w:numId w:val="2"/>
        </w:numPr>
        <w:spacing w:after="60" w:before="60"/>
      </w:pPr>
      <w:r>
        <w:rPr>
          <w:rFonts w:ascii="Arial" w:cs="Arial" w:eastAsia="Arial" w:hAnsi="Arial"/>
          <w:color w:val="222222"/>
          <w:sz w:val="22"/>
          <w:szCs w:val="22"/>
        </w:rPr>
        <w:t xml:space="preserve">Student profiles — optional, lightweight. Students can create a profile listing their qualification, CGPA, field, and interests</w:t>
      </w:r>
    </w:p>
    <w:p>
      <w:pPr>
        <w:pStyle w:val="ListParagraph"/>
        <w:numPr>
          <w:ilvl w:val="0"/>
          <w:numId w:val="2"/>
        </w:numPr>
        <w:spacing w:after="60" w:before="60"/>
      </w:pPr>
      <w:r>
        <w:rPr>
          <w:rFonts w:ascii="Arial" w:cs="Arial" w:eastAsia="Arial" w:hAnsi="Arial"/>
          <w:color w:val="222222"/>
          <w:sz w:val="22"/>
          <w:szCs w:val="22"/>
        </w:rPr>
        <w:t xml:space="preserve">Expression of Interest — students tap 'I'm interested' on a listing. Company can see de-identified aggregate interest data. Student gets a reminder when intake opens.</w:t>
      </w:r>
    </w:p>
    <w:p>
      <w:pPr>
        <w:pStyle w:val="ListParagraph"/>
        <w:numPr>
          <w:ilvl w:val="0"/>
          <w:numId w:val="2"/>
        </w:numPr>
        <w:spacing w:after="60" w:before="60"/>
      </w:pPr>
      <w:r>
        <w:rPr>
          <w:rFonts w:ascii="Arial" w:cs="Arial" w:eastAsia="Arial" w:hAnsi="Arial"/>
          <w:color w:val="222222"/>
          <w:sz w:val="22"/>
          <w:szCs w:val="22"/>
        </w:rPr>
        <w:t xml:space="preserve">Application tracking — students track which internships they've applied to and where they are in the process</w:t>
      </w:r>
    </w:p>
    <w:p>
      <w:pPr>
        <w:pStyle w:val="ListParagraph"/>
        <w:numPr>
          <w:ilvl w:val="0"/>
          <w:numId w:val="2"/>
        </w:numPr>
        <w:spacing w:after="60" w:before="60"/>
      </w:pPr>
      <w:r>
        <w:rPr>
          <w:rFonts w:ascii="Arial" w:cs="Arial" w:eastAsia="Arial" w:hAnsi="Arial"/>
          <w:color w:val="222222"/>
          <w:sz w:val="22"/>
          <w:szCs w:val="22"/>
        </w:rPr>
        <w:t xml:space="preserve">Shortlisting tools — companies can see students who expressed interest, filter by qualification, and export a contact list</w:t>
      </w:r>
    </w:p>
    <w:p>
      <w:pPr>
        <w:pStyle w:val="ListParagraph"/>
        <w:numPr>
          <w:ilvl w:val="0"/>
          <w:numId w:val="2"/>
        </w:numPr>
        <w:spacing w:after="60" w:before="60"/>
      </w:pPr>
      <w:r>
        <w:rPr>
          <w:rFonts w:ascii="Arial" w:cs="Arial" w:eastAsia="Arial" w:hAnsi="Arial"/>
          <w:color w:val="222222"/>
          <w:sz w:val="22"/>
          <w:szCs w:val="22"/>
        </w:rPr>
        <w:t xml:space="preserve">Email alerts — students opt in to deadline reminders for internships and scholarships</w:t>
      </w:r>
    </w:p>
    <w:p>
      <w:pPr>
        <w:pStyle w:val="ListParagraph"/>
        <w:numPr>
          <w:ilvl w:val="0"/>
          <w:numId w:val="2"/>
        </w:numPr>
        <w:spacing w:after="60" w:before="60"/>
      </w:pPr>
      <w:r>
        <w:rPr>
          <w:rFonts w:ascii="Arial" w:cs="Arial" w:eastAsia="Arial" w:hAnsi="Arial"/>
          <w:color w:val="222222"/>
          <w:sz w:val="22"/>
          <w:szCs w:val="22"/>
        </w:rPr>
        <w:t xml:space="preserve">Scholarship provider portal — extending the B2B model to scholarship providers (separate tier, separate sales motion)</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Important: What Phase 7 Is NOT</w:t>
      </w:r>
    </w:p>
    <w:p>
      <w:pPr>
        <w:spacing w:after="80" w:before="80"/>
      </w:pPr>
      <w:r>
        <w:rPr>
          <w:rFonts w:ascii="Arial" w:cs="Arial" w:eastAsia="Arial" w:hAnsi="Arial"/>
          <w:color w:val="222222"/>
          <w:sz w:val="22"/>
          <w:szCs w:val="22"/>
        </w:rPr>
        <w:t xml:space="preserve">Phase 7 is not a job board. MyScholar is not competing with Hiredly, JobStreet, or LinkedIn. The focus stays on students in education — internships, not full-time roles. The moment MyScholar starts mixing internships with full-time jobs, it becomes another noisy job board, which is exactly the problem it was built to solve.</w:t>
      </w:r>
    </w:p>
    <w:p>
      <w:pPr>
        <w:spacing w:after="0" w:before="80"/>
      </w:pPr>
      <w:r>
        <w:t xml:space="preserve"/>
      </w:r>
    </w:p>
    <w:p>
      <w:pPr>
        <w:spacing w:after="80" w:before="80"/>
      </w:pPr>
      <w:r>
        <w:rPr>
          <w:rFonts w:ascii="Arial" w:cs="Arial" w:eastAsia="Arial" w:hAnsi="Arial"/>
          <w:color w:val="222222"/>
          <w:sz w:val="22"/>
          <w:szCs w:val="22"/>
        </w:rPr>
        <w:t xml:space="preserve">Phase 7 is also not a mandatory account product. Students can still use the full directory anonymously. Profiles are an opt-in that gives them additional tools, not a gate.</w:t>
      </w:r>
    </w:p>
    <w:p>
      <w:r>
        <w:br w:type="page"/>
      </w:r>
    </w:p>
    <w:p>
      <w:pPr>
        <w:pStyle w:val="Heading1"/>
        <w:spacing w:after="200" w:before="480"/>
      </w:pPr>
      <w:r>
        <w:rPr>
          <w:rFonts w:ascii="Arial" w:cs="Arial" w:eastAsia="Arial" w:hAnsi="Arial"/>
          <w:b/>
          <w:bCs/>
          <w:color w:val="1E3A5F"/>
          <w:sz w:val="32"/>
          <w:szCs w:val="32"/>
        </w:rPr>
        <w:t xml:space="preserve">Technical Debt &amp; Future Migrations</w:t>
      </w:r>
    </w:p>
    <w:p>
      <w:pPr>
        <w:spacing w:after="0" w:before="80"/>
      </w:pPr>
      <w:r>
        <w:t xml:space="preserve"/>
      </w:r>
    </w:p>
    <w:p>
      <w:pPr>
        <w:spacing w:after="80" w:before="80"/>
      </w:pPr>
      <w:r>
        <w:rPr>
          <w:rFonts w:ascii="Arial" w:cs="Arial" w:eastAsia="Arial" w:hAnsi="Arial"/>
          <w:color w:val="222222"/>
          <w:sz w:val="22"/>
          <w:szCs w:val="22"/>
        </w:rPr>
        <w:t xml:space="preserve">The single-file HTML architecture that makes MyScholar easy to run today will eventually become a constraint. Here is an honest map of when and how to migrate.</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When to Break the Single-File Constraint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Trigger</w:t>
            </w:r>
          </w:p>
        </w:tc>
        <w:tc>
          <w:tcPr>
            <w:tcW w:type="dxa" w:w="5826"/>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Migration Path</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index.html exceeds ~400 KB</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Extract inline CSS to a separate file. Keep JS inline for now. GitHub Pages handles multi-file repos without issues.</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Multiple developers working on the codebase</w:t>
            </w:r>
          </w:p>
        </w:tc>
        <w:tc>
          <w:tcPr>
            <w:tcW w:type="dxa" w:w="5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Move to a proper frontend setup: Vite or Parcel for bundling, separate CSS modules, shared JS utilities across index.html and internships.html.</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Need for server-side rendering or dynamic routes</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Migrate to a framework (Next.js or SvelteKit). This is Phase 6+ territory when company dashboards require server-side auth.</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GitHub Pages becomes a limiting factor (rate limits, large files, PR-based deploys too slow)</w:t>
            </w:r>
          </w:p>
        </w:tc>
        <w:tc>
          <w:tcPr>
            <w:tcW w:type="dxa" w:w="5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Move to Vercel or Netlify. Same GitHub integration, instant deploys, edge functions, better performance.</w:t>
            </w:r>
          </w:p>
        </w:tc>
      </w:tr>
    </w:tbl>
    <w:p>
      <w:pPr>
        <w:spacing w:after="0" w:before="120"/>
      </w:pPr>
      <w:r>
        <w:t xml:space="preserve"/>
      </w:r>
    </w:p>
    <w:p>
      <w:pPr>
        <w:pStyle w:val="Heading2"/>
        <w:spacing w:after="120" w:before="320"/>
      </w:pPr>
      <w:r>
        <w:rPr>
          <w:rFonts w:ascii="Arial" w:cs="Arial" w:eastAsia="Arial" w:hAnsi="Arial"/>
          <w:b/>
          <w:bCs/>
          <w:color w:val="0E7C7B"/>
          <w:sz w:val="26"/>
          <w:szCs w:val="26"/>
        </w:rPr>
        <w:t xml:space="preserve">Database Migrations — Supabase</w:t>
      </w:r>
    </w:p>
    <w:p>
      <w:pPr>
        <w:spacing w:after="80" w:before="80"/>
      </w:pPr>
      <w:r>
        <w:rPr>
          <w:rFonts w:ascii="Arial" w:cs="Arial" w:eastAsia="Arial" w:hAnsi="Arial"/>
          <w:color w:val="222222"/>
          <w:sz w:val="22"/>
          <w:szCs w:val="22"/>
        </w:rPr>
        <w:t xml:space="preserve">Supabase's free tier handles the current workload comfortably. The migration triggers are:</w:t>
      </w:r>
    </w:p>
    <w:p>
      <w:pPr>
        <w:pStyle w:val="ListParagraph"/>
        <w:numPr>
          <w:ilvl w:val="0"/>
          <w:numId w:val="2"/>
        </w:numPr>
        <w:spacing w:after="60" w:before="60"/>
      </w:pPr>
      <w:r>
        <w:rPr>
          <w:rFonts w:ascii="Arial" w:cs="Arial" w:eastAsia="Arial" w:hAnsi="Arial"/>
          <w:color w:val="222222"/>
          <w:sz w:val="22"/>
          <w:szCs w:val="22"/>
        </w:rPr>
        <w:t xml:space="preserve">Approaching the free tier row limit (~50,000 rows across all tables — currently well under)</w:t>
      </w:r>
    </w:p>
    <w:p>
      <w:pPr>
        <w:pStyle w:val="ListParagraph"/>
        <w:numPr>
          <w:ilvl w:val="0"/>
          <w:numId w:val="2"/>
        </w:numPr>
        <w:spacing w:after="60" w:before="60"/>
      </w:pPr>
      <w:r>
        <w:rPr>
          <w:rFonts w:ascii="Arial" w:cs="Arial" w:eastAsia="Arial" w:hAnsi="Arial"/>
          <w:color w:val="222222"/>
          <w:sz w:val="22"/>
          <w:szCs w:val="22"/>
        </w:rPr>
        <w:t xml:space="preserve">Need for more complex RLS policies (company dashboards require per-row ownership)</w:t>
      </w:r>
    </w:p>
    <w:p>
      <w:pPr>
        <w:pStyle w:val="ListParagraph"/>
        <w:numPr>
          <w:ilvl w:val="0"/>
          <w:numId w:val="2"/>
        </w:numPr>
        <w:spacing w:after="60" w:before="60"/>
      </w:pPr>
      <w:r>
        <w:rPr>
          <w:rFonts w:ascii="Arial" w:cs="Arial" w:eastAsia="Arial" w:hAnsi="Arial"/>
          <w:color w:val="222222"/>
          <w:sz w:val="22"/>
          <w:szCs w:val="22"/>
        </w:rPr>
        <w:t xml:space="preserve">Edge Functions cost growing beyond free tier</w:t>
      </w:r>
    </w:p>
    <w:p>
      <w:pPr>
        <w:spacing w:after="0" w:before="80"/>
      </w:pPr>
      <w:r>
        <w:t xml:space="preserve"/>
      </w:r>
    </w:p>
    <w:p>
      <w:pPr>
        <w:spacing w:after="80" w:before="80"/>
      </w:pPr>
      <w:r>
        <w:rPr>
          <w:rFonts w:ascii="Arial" w:cs="Arial" w:eastAsia="Arial" w:hAnsi="Arial"/>
          <w:color w:val="222222"/>
          <w:sz w:val="22"/>
          <w:szCs w:val="22"/>
        </w:rPr>
        <w:t xml:space="preserve">When migrating to a paid Supabase tier, the process is straightforward — same project, just an upgrade. No data migration needed. The SQL schema in _database/myscholar_schema.sql serves as the migration baseline.</w:t>
      </w:r>
    </w:p>
    <w:p>
      <w:pPr>
        <w:spacing w:after="0" w:before="120"/>
      </w:pPr>
      <w:r>
        <w:t xml:space="preserve"/>
      </w:r>
    </w:p>
    <w:p>
      <w:pPr>
        <w:pStyle w:val="Heading2"/>
        <w:spacing w:after="120" w:before="320"/>
      </w:pPr>
      <w:r>
        <w:rPr>
          <w:rFonts w:ascii="Arial" w:cs="Arial" w:eastAsia="Arial" w:hAnsi="Arial"/>
          <w:b/>
          <w:bCs/>
          <w:color w:val="0E7C7B"/>
          <w:sz w:val="26"/>
          <w:szCs w:val="26"/>
        </w:rPr>
        <w:t xml:space="preserve">The One Thing to Never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E7C7B" w:sz="3"/>
              <w:left w:val="single" w:color="0E7C7B" w:sz="12"/>
              <w:bottom w:val="single" w:color="0E7C7B" w:sz="3"/>
              <w:right w:val="none" w:color="FFFFFF" w:sz="0"/>
            </w:tcBorders>
            <w:shd w:fill="E8F4F8" w:val="clear"/>
            <w:tcMar>
              <w:top w:type="dxa" w:w="120"/>
              <w:left w:type="dxa" w:w="200"/>
              <w:bottom w:type="dxa" w:w="120"/>
              <w:right w:type="dxa" w:w="200"/>
            </w:tcMar>
          </w:tcPr>
          <w:p>
            <w:pPr>
              <w:spacing w:after="40" w:before="40"/>
            </w:pPr>
            <w:r>
              <w:rPr>
                <w:rFonts w:ascii="Arial" w:cs="Arial" w:eastAsia="Arial" w:hAnsi="Arial"/>
                <w:color w:val="1E3A5F"/>
                <w:sz w:val="20"/>
                <w:szCs w:val="20"/>
              </w:rPr>
              <w:t xml:space="preserve">Never introduce a build step for index.html or internships.html without a matching deployment</w:t>
            </w:r>
          </w:p>
          <w:p>
            <w:pPr>
              <w:spacing w:after="40" w:before="40"/>
            </w:pPr>
            <w:r>
              <w:rPr>
                <w:rFonts w:ascii="Arial" w:cs="Arial" w:eastAsia="Arial" w:hAnsi="Arial"/>
                <w:color w:val="1E3A5F"/>
                <w:sz w:val="20"/>
                <w:szCs w:val="20"/>
              </w:rPr>
              <w:t xml:space="preserve">automation step. The reason the single-file architecture works is that deploy = replace the file.</w:t>
            </w:r>
          </w:p>
          <w:p>
            <w:pPr>
              <w:spacing w:after="40" w:before="40"/>
            </w:pPr>
            <w:r>
              <w:rPr>
                <w:rFonts w:ascii="Arial" w:cs="Arial" w:eastAsia="Arial" w:hAnsi="Arial"/>
                <w:color w:val="1E3A5F"/>
                <w:sz w:val="20"/>
                <w:szCs w:val="20"/>
              </w:rPr>
              <w:t xml:space="preserve"/>
            </w:r>
          </w:p>
          <w:p>
            <w:pPr>
              <w:spacing w:after="40" w:before="40"/>
            </w:pPr>
            <w:r>
              <w:rPr>
                <w:rFonts w:ascii="Arial" w:cs="Arial" w:eastAsia="Arial" w:hAnsi="Arial"/>
                <w:color w:val="1E3A5F"/>
                <w:sz w:val="20"/>
                <w:szCs w:val="20"/>
              </w:rPr>
              <w:t xml:space="preserve">If a build step exists but deployment is still manual, bugs will be introduced when the built</w:t>
            </w:r>
          </w:p>
          <w:p>
            <w:pPr>
              <w:spacing w:after="40" w:before="40"/>
            </w:pPr>
            <w:r>
              <w:rPr>
                <w:rFonts w:ascii="Arial" w:cs="Arial" w:eastAsia="Arial" w:hAnsi="Arial"/>
                <w:color w:val="1E3A5F"/>
                <w:sz w:val="20"/>
                <w:szCs w:val="20"/>
              </w:rPr>
              <w:t xml:space="preserve">output diverges from what is in the GitHub repo. The byte corruption incident is a preview of</w:t>
            </w:r>
          </w:p>
          <w:p>
            <w:pPr>
              <w:spacing w:after="40" w:before="40"/>
            </w:pPr>
            <w:r>
              <w:rPr>
                <w:rFonts w:ascii="Arial" w:cs="Arial" w:eastAsia="Arial" w:hAnsi="Arial"/>
                <w:color w:val="1E3A5F"/>
                <w:sz w:val="20"/>
                <w:szCs w:val="20"/>
              </w:rPr>
              <w:t xml:space="preserve">what silent discrepancy failures look like. A build step without CI/CD is worse than no build step.</w:t>
            </w:r>
          </w:p>
        </w:tc>
      </w:tr>
    </w:tbl>
    <w:p>
      <w:r>
        <w:br w:type="page"/>
      </w:r>
    </w:p>
    <w:p>
      <w:pPr>
        <w:pStyle w:val="Heading1"/>
        <w:spacing w:after="200" w:before="480"/>
      </w:pPr>
      <w:r>
        <w:rPr>
          <w:rFonts w:ascii="Arial" w:cs="Arial" w:eastAsia="Arial" w:hAnsi="Arial"/>
          <w:b/>
          <w:bCs/>
          <w:color w:val="1E3A5F"/>
          <w:sz w:val="32"/>
          <w:szCs w:val="32"/>
        </w:rPr>
        <w:t xml:space="preserve">Revenue Model Summary</w:t>
      </w:r>
    </w:p>
    <w:p>
      <w:pPr>
        <w:spacing w:after="0" w:before="80"/>
      </w:pPr>
      <w:r>
        <w:t xml:space="preserve"/>
      </w:r>
    </w:p>
    <w:p>
      <w:pPr>
        <w:spacing w:after="80" w:before="80"/>
      </w:pPr>
      <w:r>
        <w:rPr>
          <w:rFonts w:ascii="Arial" w:cs="Arial" w:eastAsia="Arial" w:hAnsi="Arial"/>
          <w:color w:val="222222"/>
          <w:sz w:val="22"/>
          <w:szCs w:val="22"/>
        </w:rPr>
        <w:t xml:space="preserve">The full monetisation arc, from zero revenue to a sustainable B2B product:</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4626"/>
        <w:gridCol w:w="3000"/>
      </w:tblGrid>
      <w:tr>
        <w:tc>
          <w:tcPr>
            <w:tcW w:type="dxa" w:w="14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Phase</w:t>
            </w:r>
          </w:p>
        </w:tc>
        <w:tc>
          <w:tcPr>
            <w:tcW w:type="dxa" w:w="4626"/>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Revenue Source</w:t>
            </w:r>
          </w:p>
        </w:tc>
        <w:tc>
          <w:tcPr>
            <w:tcW w:type="dxa" w:w="30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Target Run Rate</w:t>
            </w:r>
          </w:p>
        </w:tc>
      </w:tr>
      <w:tr>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0–4</w:t>
            </w:r>
          </w:p>
        </w:tc>
        <w:tc>
          <w:tcPr>
            <w:tcW w:type="dxa" w:w="46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None. Public good phase.</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RM 0</w:t>
            </w:r>
          </w:p>
        </w:tc>
      </w:tr>
      <w:tr>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5 — Featured Listings</w:t>
            </w:r>
          </w:p>
        </w:tc>
        <w:tc>
          <w:tcPr>
            <w:tcW w:type="dxa" w:w="46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Manual outreach. Fixed monthly fee per featured company listing.</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RM 18K–90K/year</w:t>
            </w:r>
          </w:p>
        </w:tc>
      </w:tr>
      <w:tr>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6 — Self-Serve Dashboard</w:t>
            </w:r>
          </w:p>
        </w:tc>
        <w:tc>
          <w:tcPr>
            <w:tcW w:type="dxa" w:w="46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Recurring subscription. Three tiers: Free / Listed / Partner.</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RM 50K–200K/year</w:t>
            </w:r>
          </w:p>
        </w:tc>
      </w:tr>
      <w:tr>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7 — Full Platform</w:t>
            </w:r>
          </w:p>
        </w:tc>
        <w:tc>
          <w:tcPr>
            <w:tcW w:type="dxa" w:w="46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Enhanced partner tiers. Student profile data insights (de-identified). Optional scholarship provider listings.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RM 200K+/year</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E7C7B" w:sz="3"/>
              <w:left w:val="single" w:color="0E7C7B" w:sz="12"/>
              <w:bottom w:val="single" w:color="0E7C7B" w:sz="3"/>
              <w:right w:val="none" w:color="FFFFFF" w:sz="0"/>
            </w:tcBorders>
            <w:shd w:fill="E8F4F8" w:val="clear"/>
            <w:tcMar>
              <w:top w:type="dxa" w:w="120"/>
              <w:left w:type="dxa" w:w="200"/>
              <w:bottom w:type="dxa" w:w="120"/>
              <w:right w:type="dxa" w:w="200"/>
            </w:tcMar>
          </w:tcPr>
          <w:p>
            <w:pPr>
              <w:spacing w:after="40" w:before="40"/>
            </w:pPr>
            <w:r>
              <w:rPr>
                <w:rFonts w:ascii="Arial" w:cs="Arial" w:eastAsia="Arial" w:hAnsi="Arial"/>
                <w:color w:val="1E3A5F"/>
                <w:sz w:val="20"/>
                <w:szCs w:val="20"/>
              </w:rPr>
              <w:t xml:space="preserve">Key principle: The scholarship directory is permanently free and generates no revenue.</w:t>
            </w:r>
          </w:p>
          <w:p>
            <w:pPr>
              <w:spacing w:after="40" w:before="40"/>
            </w:pPr>
            <w:r>
              <w:rPr>
                <w:rFonts w:ascii="Arial" w:cs="Arial" w:eastAsia="Arial" w:hAnsi="Arial"/>
                <w:color w:val="1E3A5F"/>
                <w:sz w:val="20"/>
                <w:szCs w:val="20"/>
              </w:rPr>
              <w:t xml:space="preserve">Revenue comes entirely from the employer side (companies using MyScholar to reach students).</w:t>
            </w:r>
          </w:p>
          <w:p>
            <w:pPr>
              <w:spacing w:after="40" w:before="40"/>
            </w:pPr>
            <w:r>
              <w:rPr>
                <w:rFonts w:ascii="Arial" w:cs="Arial" w:eastAsia="Arial" w:hAnsi="Arial"/>
                <w:color w:val="1E3A5F"/>
                <w:sz w:val="20"/>
                <w:szCs w:val="20"/>
              </w:rPr>
              <w:t xml:space="preserve">Students are never the product. Companies are the customer. Students are the audience.</w:t>
            </w:r>
          </w:p>
        </w:tc>
      </w:tr>
    </w:tbl>
    <w:p>
      <w:r>
        <w:br w:type="page"/>
      </w:r>
    </w:p>
    <w:p>
      <w:pPr>
        <w:pStyle w:val="Heading1"/>
        <w:spacing w:after="200" w:before="480"/>
      </w:pPr>
      <w:r>
        <w:rPr>
          <w:rFonts w:ascii="Arial" w:cs="Arial" w:eastAsia="Arial" w:hAnsi="Arial"/>
          <w:b/>
          <w:bCs/>
          <w:color w:val="1E3A5F"/>
          <w:sz w:val="32"/>
          <w:szCs w:val="32"/>
        </w:rPr>
        <w:t xml:space="preserve">Key Risks &amp; Mitigations</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026"/>
      </w:tblGrid>
      <w:tr>
        <w:tc>
          <w:tcPr>
            <w:tcW w:type="dxa" w:w="35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Risk</w:t>
            </w:r>
          </w:p>
        </w:tc>
        <w:tc>
          <w:tcPr>
            <w:tcW w:type="dxa" w:w="15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Likelihood</w:t>
            </w:r>
          </w:p>
        </w:tc>
        <w:tc>
          <w:tcPr>
            <w:tcW w:type="dxa" w:w="4026"/>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Mitigation</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Data goes stale (scholarships expire, URLs break)</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High — ongoing</w:t>
            </w:r>
          </w:p>
        </w:tc>
        <w:tc>
          <w:tcPr>
            <w:tcW w:type="dxa" w:w="4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Weekly URL cron, Matt Refresh mode, Amirah corrections triage, annual full database audit</w:t>
            </w:r>
          </w:p>
        </w:tc>
      </w:tr>
      <w:tr>
        <w:tc>
          <w:tcPr>
            <w:tcW w:type="dxa" w:w="35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Trust erosion from one bad scholarship entry</w:t>
            </w:r>
          </w:p>
        </w:tc>
        <w:tc>
          <w:tcPr>
            <w:tcW w:type="dxa" w:w="15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Medium</w:t>
            </w:r>
          </w:p>
        </w:tc>
        <w:tc>
          <w:tcPr>
            <w:tcW w:type="dxa" w:w="4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Human review (ANRA) before anything goes live. is_visible=false by default. Correction pipeline for community auditing.</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Solo builder burnout</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Medium</w:t>
            </w:r>
          </w:p>
        </w:tc>
        <w:tc>
          <w:tcPr>
            <w:tcW w:type="dxa" w:w="4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Agent infrastructure (Amirah, Matt, Jack) handles operational load. Core product is low-maintenance once data pipeline runs.</w:t>
            </w:r>
          </w:p>
        </w:tc>
      </w:tr>
      <w:tr>
        <w:tc>
          <w:tcPr>
            <w:tcW w:type="dxa" w:w="35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Competitor builds a better directory</w:t>
            </w:r>
          </w:p>
        </w:tc>
        <w:tc>
          <w:tcPr>
            <w:tcW w:type="dxa" w:w="15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Medium</w:t>
            </w:r>
          </w:p>
        </w:tc>
        <w:tc>
          <w:tcPr>
            <w:tcW w:type="dxa" w:w="4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Defensibility comes from data quality and SEO depth, not features. 70+ indexed pages + 277+ verified records are hard to replicate fast.</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GitHub Pages becomes unreliable</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Low</w:t>
            </w:r>
          </w:p>
        </w:tc>
        <w:tc>
          <w:tcPr>
            <w:tcW w:type="dxa" w:w="4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30-minute migration to Vercel/Netlify. Same repo, point DNS elsewhere.</w:t>
            </w:r>
          </w:p>
        </w:tc>
      </w:tr>
      <w:tr>
        <w:tc>
          <w:tcPr>
            <w:tcW w:type="dxa" w:w="35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Supabase free tier limit hit</w:t>
            </w:r>
          </w:p>
        </w:tc>
        <w:tc>
          <w:tcPr>
            <w:tcW w:type="dxa" w:w="15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Low-Medium</w:t>
            </w:r>
          </w:p>
        </w:tc>
        <w:tc>
          <w:tcPr>
            <w:tcW w:type="dxa" w:w="4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Upgrade to paid tier is trivial. No migration needed. Cost at that scale is justified by revenue.</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Companies not willing to pay for featured listings</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Medium</w:t>
            </w:r>
          </w:p>
        </w:tc>
        <w:tc>
          <w:tcPr>
            <w:tcW w:type="dxa" w:w="4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Phase 5 is triggered by inbound interest, not outbound push. No revenue effort until market signals exist.</w:t>
            </w:r>
          </w:p>
        </w:tc>
      </w:tr>
      <w:tr>
        <w:tc>
          <w:tcPr>
            <w:tcW w:type="dxa" w:w="35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Loss of student trust from commercial elements</w:t>
            </w:r>
          </w:p>
        </w:tc>
        <w:tc>
          <w:tcPr>
            <w:tcW w:type="dxa" w:w="15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Medium-High (Phase 5+)</w:t>
            </w:r>
          </w:p>
        </w:tc>
        <w:tc>
          <w:tcPr>
            <w:tcW w:type="dxa" w:w="4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Scholarships remain 100% free. Featured listings are visually disclosed. No algorithms that demote non-paying companies.</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File corruption (index.html)</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Rare but critical</w:t>
            </w:r>
          </w:p>
        </w:tc>
        <w:tc>
          <w:tcPr>
            <w:tcW w:type="dxa" w:w="4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0" w:before="0"/>
            </w:pPr>
            <w:r>
              <w:rPr>
                <w:rFonts w:ascii="Arial" w:cs="Arial" w:eastAsia="Arial" w:hAnsi="Arial"/>
                <w:color w:val="222222"/>
                <w:sz w:val="20"/>
                <w:szCs w:val="20"/>
              </w:rPr>
              <w:t xml:space="preserve">File integrity protocol: always verify initData(), compare byte counts, use targeted edits, never edit from memory.</w:t>
            </w:r>
          </w:p>
        </w:tc>
      </w:tr>
    </w:tbl>
    <w:p>
      <w:r>
        <w:br w:type="page"/>
      </w:r>
    </w:p>
    <w:p>
      <w:pPr>
        <w:pStyle w:val="Heading1"/>
        <w:spacing w:after="200" w:before="480"/>
      </w:pPr>
      <w:r>
        <w:rPr>
          <w:rFonts w:ascii="Arial" w:cs="Arial" w:eastAsia="Arial" w:hAnsi="Arial"/>
          <w:b/>
          <w:bCs/>
          <w:color w:val="1E3A5F"/>
          <w:sz w:val="32"/>
          <w:szCs w:val="32"/>
        </w:rPr>
        <w:t xml:space="preserve">Where We Are Now — April 2026</w:t>
      </w:r>
    </w:p>
    <w:p>
      <w:pPr>
        <w:spacing w:after="0" w:before="80"/>
      </w:pPr>
      <w:r>
        <w:t xml:space="preserve"/>
      </w:r>
    </w:p>
    <w:p>
      <w:pPr>
        <w:spacing w:after="80" w:before="80"/>
      </w:pPr>
      <w:r>
        <w:rPr>
          <w:rFonts w:ascii="Arial" w:cs="Arial" w:eastAsia="Arial" w:hAnsi="Arial"/>
          <w:color w:val="222222"/>
          <w:sz w:val="22"/>
          <w:szCs w:val="22"/>
        </w:rPr>
        <w:t xml:space="preserve">Phases 0 through 3 are done or in active completion. Phase 4 operations infrastructure is running. The project is at the end of its foundation-building period and approaching the transition from a free public good to a product with a revenue model.</w:t>
      </w:r>
    </w:p>
    <w:p>
      <w:pPr>
        <w:spacing w:after="0" w:before="80"/>
      </w:pPr>
      <w:r>
        <w:t xml:space="preserve"/>
      </w:r>
    </w:p>
    <w:p>
      <w:pPr>
        <w:spacing w:after="80" w:before="80"/>
      </w:pPr>
      <w:r>
        <w:rPr>
          <w:rFonts w:ascii="Arial" w:cs="Arial" w:eastAsia="Arial" w:hAnsi="Arial"/>
          <w:color w:val="222222"/>
          <w:sz w:val="22"/>
          <w:szCs w:val="22"/>
        </w:rPr>
        <w:t xml:space="preserve">The scholarship directory is mature and trusted. The internship directory is live and being populated. The SEO layer is indexed and generating organic traffic. The agent team is operational. The database is clean and well-structured. The brand voice is consistent.</w:t>
      </w:r>
    </w:p>
    <w:p>
      <w:pPr>
        <w:spacing w:after="0" w:before="80"/>
      </w:pPr>
      <w:r>
        <w:t xml:space="preserve"/>
      </w:r>
    </w:p>
    <w:p>
      <w:pPr>
        <w:spacing w:after="80" w:before="80"/>
      </w:pPr>
      <w:r>
        <w:rPr>
          <w:rFonts w:ascii="Arial" w:cs="Arial" w:eastAsia="Arial" w:hAnsi="Arial"/>
          <w:color w:val="222222"/>
          <w:sz w:val="22"/>
          <w:szCs w:val="22"/>
        </w:rPr>
        <w:t xml:space="preserve">What comes next is not more features. It is depth, accuracy, and the slow accumulation of trust that makes Phase 5 possible. When a company's hiring team Googles 'Malaysia internship', finds MyScholar, and sees 200 students have bookmarked their listing — that is when Phase 5 becomes a conversation they want to have.</w:t>
      </w:r>
    </w:p>
    <w:p>
      <w:pPr>
        <w:spacing w:after="0" w:before="160"/>
      </w:pPr>
      <w:r>
        <w:t xml:space="preserve"/>
      </w:r>
    </w:p>
    <w:p>
      <w:pPr>
        <w:pBdr>
          <w:bottom w:val="single" w:color="C5DDE8" w:sz="4" w:space="1"/>
        </w:pBdr>
        <w:spacing w:after="160" w:before="160"/>
      </w:pPr>
      <w:r>
        <w:t xml:space="preserve"/>
      </w:r>
    </w:p>
    <w:p>
      <w:pPr>
        <w:spacing w:after="0" w:before="80"/>
      </w:pPr>
      <w:r>
        <w:t xml:space="preserve"/>
      </w:r>
    </w:p>
    <w:p>
      <w:pPr>
        <w:spacing w:after="80" w:before="80"/>
        <w:jc w:val="center"/>
      </w:pPr>
      <w:r>
        <w:rPr>
          <w:rFonts w:ascii="Arial" w:cs="Arial" w:eastAsia="Arial" w:hAnsi="Arial"/>
          <w:color w:val="666666"/>
          <w:sz w:val="22"/>
          <w:szCs w:val="22"/>
        </w:rPr>
        <w:t xml:space="preserve">MyScholar.my  |  Roadmap v1.0  |  April 2026  |  Prepared by ANRA</w:t>
      </w:r>
    </w:p>
    <w:p>
      <w:pPr>
        <w:spacing w:after="80" w:before="80"/>
        <w:jc w:val="center"/>
      </w:pPr>
      <w:r>
        <w:rPr>
          <w:rFonts w:ascii="Arial" w:cs="Arial" w:eastAsia="Arial" w:hAnsi="Arial"/>
          <w:color w:val="666666"/>
          <w:sz w:val="22"/>
          <w:szCs w:val="22"/>
        </w:rPr>
        <w:t xml:space="preserve">Internal document — not for external distribution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DE8" w:sz="3" w:space="1"/>
      </w:pBdr>
      <w:tabs>
        <w:tab w:val="right" w:pos="9026"/>
      </w:tabs>
      <w:spacing w:after="0" w:before="160"/>
    </w:pPr>
    <w:r>
      <w:rPr>
        <w:rFonts w:ascii="Arial" w:cs="Arial" w:eastAsia="Arial" w:hAnsi="Arial"/>
        <w:color w:val="666666"/>
        <w:sz w:val="18"/>
        <w:szCs w:val="18"/>
      </w:rPr>
      <w:t xml:space="preserve">myscholar.my  —  Not for external distribution</w:t>
    </w:r>
    <w:r>
      <w:t xml:space="preserve">	</w:t>
    </w: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DDE8" w:sz="3" w:space="1"/>
      </w:pBdr>
      <w:tabs>
        <w:tab w:val="right" w:pos="9026"/>
      </w:tabs>
      <w:spacing w:after="160" w:before="0"/>
    </w:pPr>
    <w:r>
      <w:rPr>
        <w:rFonts w:ascii="Arial" w:cs="Arial" w:eastAsia="Arial" w:hAnsi="Arial"/>
        <w:color w:val="666666"/>
        <w:sz w:val="18"/>
        <w:szCs w:val="18"/>
      </w:rPr>
      <w:t xml:space="preserve">MyScholar.my  —  Inception to Monetization Roadmap</w:t>
    </w:r>
    <w:r>
      <w:t xml:space="preserve">	</w:t>
    </w:r>
    <w:r>
      <w:rPr>
        <w:rFonts w:ascii="Arial" w:cs="Arial" w:eastAsia="Arial" w:hAnsi="Arial"/>
        <w:color w:val="666666"/>
        <w:sz w:val="18"/>
        <w:szCs w:val="18"/>
      </w:rPr>
      <w:t xml:space="preserve">INTERNAL  |  v1.0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1E3A5F"/>
      <w:sz w:val="32"/>
      <w:szCs w:val="32"/>
    </w:rPr>
  </w:style>
  <w:style w:type="paragraph" w:styleId="Heading2">
    <w:name w:val="Heading 2"/>
    <w:basedOn w:val="Normal"/>
    <w:next w:val="Normal"/>
    <w:qFormat/>
    <w:pPr>
      <w:spacing w:after="120" w:before="320"/>
      <w:outlineLvl w:val="1"/>
    </w:pPr>
    <w:rPr>
      <w:rFonts w:ascii="Arial" w:cs="Arial" w:eastAsia="Arial" w:hAnsi="Arial"/>
      <w:b/>
      <w:bCs/>
      <w:color w:val="0E7C7B"/>
      <w:sz w:val="26"/>
      <w:szCs w:val="26"/>
    </w:rPr>
  </w:style>
  <w:style w:type="paragraph" w:styleId="Heading3">
    <w:name w:val="Heading 3"/>
    <w:basedOn w:val="Normal"/>
    <w:next w:val="Normal"/>
    <w:qFormat/>
    <w:pPr>
      <w:spacing w:after="100" w:before="240"/>
      <w:outlineLvl w:val="2"/>
    </w:pPr>
    <w:rPr>
      <w:rFonts w:ascii="Arial" w:cs="Arial" w:eastAsia="Arial" w:hAnsi="Arial"/>
      <w:b/>
      <w:bCs/>
      <w:color w:val="1E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2026-04-12T11:16:46.294Z</dcterms:created>
  <dcterms:modified xsi:type="dcterms:W3CDTF">2026-04-12T11:16:46.295Z</dcterms:modified>
</cp:coreProperties>
</file>

<file path=docProps/custom.xml><?xml version="1.0" encoding="utf-8"?>
<Properties xmlns="http://schemas.openxmlformats.org/officeDocument/2006/custom-properties" xmlns:vt="http://schemas.openxmlformats.org/officeDocument/2006/docPropsVTypes"/>
</file>