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dfcc6c7173c91f692912ed5dc4157692594c368"/>
    <w:p>
      <w:pPr>
        <w:pStyle w:val="Heading1"/>
      </w:pPr>
      <w:r>
        <w:t xml:space="preserve">Implementation Plan for a Perpetual Options Protocol on Base</w:t>
      </w:r>
    </w:p>
    <w:p>
      <w:pPr>
        <w:pStyle w:val="FirstParagraph"/>
      </w:pPr>
      <w:r>
        <w:t xml:space="preserve">This plan outlines a</w:t>
      </w:r>
      <w:r>
        <w:t xml:space="preserve"> </w:t>
      </w:r>
      <w:r>
        <w:rPr>
          <w:b/>
          <w:bCs/>
        </w:rPr>
        <w:t xml:space="preserve">modular, step-by-step approach</w:t>
      </w:r>
      <w:r>
        <w:t xml:space="preserve"> </w:t>
      </w:r>
      <w:r>
        <w:t xml:space="preserve">to building a perpetual (expiry-free) options protocol on</w:t>
      </w:r>
      <w:r>
        <w:t xml:space="preserve"> </w:t>
      </w:r>
      <w:r>
        <w:rPr>
          <w:b/>
          <w:bCs/>
        </w:rPr>
        <w:t xml:space="preserve">Base</w:t>
      </w:r>
      <w:r>
        <w:t xml:space="preserve"> </w:t>
      </w:r>
      <w:r>
        <w:t xml:space="preserve">(an EVM-compatible chain). The protocol features</w:t>
      </w:r>
      <w:r>
        <w:t xml:space="preserve"> </w:t>
      </w:r>
      <w:r>
        <w:rPr>
          <w:b/>
          <w:bCs/>
        </w:rPr>
        <w:t xml:space="preserve">call and put options with no expiry</w:t>
      </w:r>
      <w:r>
        <w:t xml:space="preserve">, represented as NFTs, fully collateralized vaults, and a continuous funding (“rent”) mechanism. Each step below details the contracts, logic, and security considerations to incrementally design, implement, and test the system.</w:t>
      </w:r>
    </w:p>
    <w:bookmarkStart w:id="29" w:name="contracts-and-architecture"/>
    <w:p>
      <w:pPr>
        <w:pStyle w:val="Heading2"/>
      </w:pPr>
      <w:r>
        <w:t xml:space="preserve">1. Contracts and Architecture</w:t>
      </w:r>
    </w:p>
    <w:p>
      <w:pPr>
        <w:pStyle w:val="FirstParagraph"/>
      </w:pPr>
      <w:r>
        <w:t xml:space="preserve">The protocol will be composed of several smart contracts, each handling a specific aspect of the system:</w:t>
      </w:r>
    </w:p>
    <w:p>
      <w:pPr>
        <w:numPr>
          <w:ilvl w:val="0"/>
          <w:numId w:val="1001"/>
        </w:numPr>
      </w:pPr>
      <w:r>
        <w:rPr>
          <w:b/>
          <w:bCs/>
        </w:rPr>
        <w:t xml:space="preserve">PerpetualOptionNFT.sol</w:t>
      </w:r>
      <w:r>
        <w:t xml:space="preserve"> </w:t>
      </w:r>
      <w:r>
        <w:t xml:space="preserve">– An ERC-721 contract representing individual option positions as non-fungible tokens</w:t>
      </w:r>
      <w:hyperlink r:id="rId21">
        <w:r>
          <w:rPr>
            <w:rStyle w:val="Hyperlink"/>
          </w:rPr>
          <w:t xml:space="preserve">[1]</w:t>
        </w:r>
      </w:hyperlink>
      <w:r>
        <w:t xml:space="preserve">. Each NFT corresponds to a unique option (call or put) and carries metadata such as option type, underlying asset, strike price, position size, collateral details, and accumulated rent. Only the protocol’s OptionManager (see below) mints and burns these NFTs (users cannot arbitrarily create them). By using the standard OpenZeppelin ERC-721 implementation</w:t>
      </w:r>
      <w:hyperlink r:id="rId22">
        <w:r>
          <w:rPr>
            <w:rStyle w:val="Hyperlink"/>
          </w:rPr>
          <w:t xml:space="preserve">[2]</w:t>
        </w:r>
      </w:hyperlink>
      <w:r>
        <w:t xml:space="preserve">, we ensure safe NFT transfers and ownership tracking. The NFT’s metadata (via</w:t>
      </w:r>
      <w:r>
        <w:t xml:space="preserve"> </w:t>
      </w:r>
      <w:r>
        <w:rPr>
          <w:rStyle w:val="VerbatimChar"/>
        </w:rPr>
        <w:t xml:space="preserve">tokenURI</w:t>
      </w:r>
      <w:r>
        <w:t xml:space="preserve">) can be dynamic to reflect the position’s parameters (strike, delta, etc.) and state (accrued funding, time open), providing transparency to the holder.</w:t>
      </w:r>
    </w:p>
    <w:p>
      <w:pPr>
        <w:numPr>
          <w:ilvl w:val="0"/>
          <w:numId w:val="1001"/>
        </w:numPr>
      </w:pPr>
      <w:r>
        <w:rPr>
          <w:b/>
          <w:bCs/>
        </w:rPr>
        <w:t xml:space="preserve">CollateralVault.sol</w:t>
      </w:r>
      <w:r>
        <w:t xml:space="preserve"> </w:t>
      </w:r>
      <w:r>
        <w:t xml:space="preserve">– An ERC-4626 compliant vault contract for managing collateral deposits</w:t>
      </w:r>
      <w:hyperlink r:id="rId23">
        <w:r>
          <w:rPr>
            <w:rStyle w:val="Hyperlink"/>
          </w:rPr>
          <w:t xml:space="preserve">[3]</w:t>
        </w:r>
      </w:hyperlink>
      <w:r>
        <w:t xml:space="preserve">. We will deploy two instances: one for USDC (to collateralize put options) and one for WETH (to collateralize call options). These vaults accept deposits of their respective asset and issue shares (ERC-20 tokens) in return</w:t>
      </w:r>
      <w:hyperlink r:id="rId24">
        <w:r>
          <w:rPr>
            <w:rStyle w:val="Hyperlink"/>
          </w:rPr>
          <w:t xml:space="preserve">[4]</w:t>
        </w:r>
      </w:hyperlink>
      <w:r>
        <w:t xml:space="preserve">, following the tokenized vault standard. The vault contract exposes functions for the OptionManager to</w:t>
      </w:r>
      <w:r>
        <w:t xml:space="preserve"> </w:t>
      </w:r>
      <w:r>
        <w:rPr>
          <w:b/>
          <w:bCs/>
        </w:rPr>
        <w:t xml:space="preserve">reserve</w:t>
      </w:r>
      <w:r>
        <w:t xml:space="preserve"> </w:t>
      </w:r>
      <w:r>
        <w:t xml:space="preserve">collateral when a short position is opened and to</w:t>
      </w:r>
      <w:r>
        <w:t xml:space="preserve"> </w:t>
      </w:r>
      <w:r>
        <w:rPr>
          <w:b/>
          <w:bCs/>
        </w:rPr>
        <w:t xml:space="preserve">release</w:t>
      </w:r>
      <w:r>
        <w:t xml:space="preserve"> </w:t>
      </w:r>
      <w:r>
        <w:t xml:space="preserve">or liquidate collateral when a position is closed. By conforming to ERC-4626, our vaults are easily auditable and could integrate with yield strategies (e.g. earning interest on idle collateral) in the future. The vault logic ensures that reserved collateral cannot be withdrawn by the short except through the controlled release mechanism, maintaining the necessary backing for each option position.</w:t>
      </w:r>
    </w:p>
    <w:p>
      <w:pPr>
        <w:numPr>
          <w:ilvl w:val="0"/>
          <w:numId w:val="1001"/>
        </w:numPr>
      </w:pPr>
      <w:r>
        <w:rPr>
          <w:b/>
          <w:bCs/>
        </w:rPr>
        <w:t xml:space="preserve">OptionManager.sol</w:t>
      </w:r>
      <w:r>
        <w:t xml:space="preserve"> </w:t>
      </w:r>
      <w:r>
        <w:t xml:space="preserve">– The core</w:t>
      </w:r>
      <w:r>
        <w:t xml:space="preserve"> </w:t>
      </w:r>
      <w:r>
        <w:rPr>
          <w:b/>
          <w:bCs/>
        </w:rPr>
        <w:t xml:space="preserve">factory and controller</w:t>
      </w:r>
      <w:r>
        <w:t xml:space="preserve"> </w:t>
      </w:r>
      <w:r>
        <w:t xml:space="preserve">for option positions. This contract orchestrates the lifecycle of options, including minting new option NFTs, managing collateral and funding payments, and handling exercise or liquidation. When a user opens a position, the OptionManager locks the short’s collateral in the appropriate vault and mints a PerpetualOptionNFT to the long (option buyer). The OptionManager also implements the</w:t>
      </w:r>
      <w:r>
        <w:t xml:space="preserve"> </w:t>
      </w:r>
      <w:r>
        <w:rPr>
          <w:b/>
          <w:bCs/>
        </w:rPr>
        <w:t xml:space="preserve">funding (rent) accrual</w:t>
      </w:r>
      <w:r>
        <w:t xml:space="preserve"> </w:t>
      </w:r>
      <w:r>
        <w:t xml:space="preserve">for each position, checking on each interaction or time interval how much rent is owed. It holds the primary state mapping of token ID to position data (see State and Storage below) and contains the business logic for</w:t>
      </w:r>
      <w:r>
        <w:t xml:space="preserve"> </w:t>
      </w:r>
      <w:r>
        <w:rPr>
          <w:b/>
          <w:bCs/>
        </w:rPr>
        <w:t xml:space="preserve">exercise</w:t>
      </w:r>
      <w:r>
        <w:t xml:space="preserve"> </w:t>
      </w:r>
      <w:r>
        <w:t xml:space="preserve">and</w:t>
      </w:r>
      <w:r>
        <w:t xml:space="preserve"> </w:t>
      </w:r>
      <w:r>
        <w:rPr>
          <w:b/>
          <w:bCs/>
        </w:rPr>
        <w:t xml:space="preserve">liquidation</w:t>
      </w:r>
      <w:r>
        <w:t xml:space="preserve">. Key workflows in OptionManager include: updating funding payments per second for each position, enforcing collateral requirements, and triggering option settlement (exercise or liquidation) when conditions are met. By centralizing these functions, we can keep the NFT contract simple (purely for ownership) and the vault contract focused on asset custody.</w:t>
      </w:r>
    </w:p>
    <w:p>
      <w:pPr>
        <w:numPr>
          <w:ilvl w:val="0"/>
          <w:numId w:val="1001"/>
        </w:numPr>
      </w:pPr>
      <w:r>
        <w:rPr>
          <w:b/>
          <w:bCs/>
        </w:rPr>
        <w:t xml:space="preserve">FundingOracle.sol</w:t>
      </w:r>
      <w:r>
        <w:t xml:space="preserve"> </w:t>
      </w:r>
      <w:r>
        <w:t xml:space="preserve">– A module responsible for computing the</w:t>
      </w:r>
      <w:r>
        <w:t xml:space="preserve"> </w:t>
      </w:r>
      <w:r>
        <w:rPr>
          <w:b/>
          <w:bCs/>
        </w:rPr>
        <w:t xml:space="preserve">mark price</w:t>
      </w:r>
      <w:r>
        <w:t xml:space="preserve"> </w:t>
      </w:r>
      <w:r>
        <w:t xml:space="preserve">of options and the continuously charged</w:t>
      </w:r>
      <w:r>
        <w:t xml:space="preserve"> </w:t>
      </w:r>
      <w:r>
        <w:rPr>
          <w:b/>
          <w:bCs/>
        </w:rPr>
        <w:t xml:space="preserve">funding rate</w:t>
      </w:r>
      <w:r>
        <w:t xml:space="preserve">. It pulls in external data: the current spot price of the underlying (via Chainlink or other price feeds) and an implied volatility (IV) parameter (from an on-chain AMM or configured value). Using these, the oracle can calculate the fair theoretical price (mark price) of the perpetual option. For example, a Black-Scholes formula (with time to expiry approaching infinity or a certain horizon) can be used to compute the option’s price</w:t>
      </w:r>
      <w:hyperlink r:id="rId25">
        <w:r>
          <w:rPr>
            <w:rStyle w:val="Hyperlink"/>
          </w:rPr>
          <w:t xml:space="preserve">[5]</w:t>
        </w:r>
      </w:hyperlink>
      <w:r>
        <w:t xml:space="preserve">. The</w:t>
      </w:r>
      <w:r>
        <w:t xml:space="preserve"> </w:t>
      </w:r>
      <w:r>
        <w:rPr>
          <w:b/>
          <w:bCs/>
        </w:rPr>
        <w:t xml:space="preserve">funding rate</w:t>
      </w:r>
      <w:r>
        <w:t xml:space="preserve"> </w:t>
      </w:r>
      <w:r>
        <w:t xml:space="preserve">is then derived as</w:t>
      </w:r>
      <w:r>
        <w:t xml:space="preserve"> </w:t>
      </w:r>
      <w:r>
        <w:rPr>
          <w:b/>
          <w:bCs/>
        </w:rPr>
        <w:t xml:space="preserve">markPrice – intrinsicValue</w:t>
      </w:r>
      <w:r>
        <w:t xml:space="preserve"> </w:t>
      </w:r>
      <w:r>
        <w:t xml:space="preserve">(payoff)</w:t>
      </w:r>
      <w:hyperlink r:id="rId26">
        <w:r>
          <w:rPr>
            <w:rStyle w:val="Hyperlink"/>
          </w:rPr>
          <w:t xml:space="preserve">[6]</w:t>
        </w:r>
      </w:hyperlink>
      <w:r>
        <w:t xml:space="preserve">. This corresponds to the option’s time value, which is always non-negative</w:t>
      </w:r>
      <w:hyperlink r:id="rId27">
        <w:r>
          <w:rPr>
            <w:rStyle w:val="Hyperlink"/>
          </w:rPr>
          <w:t xml:space="preserve">[7]</w:t>
        </w:r>
      </w:hyperlink>
      <w:r>
        <w:t xml:space="preserve">. The FundingOracle contract provides functions for OptionManager to query the latest mark price and funding amount per second for a given option strike and underlying. It will use Chainlink Data Feeds for reliable on-chain price data (with a TWAP fallback if Chainlink is unavailable or stale)</w:t>
      </w:r>
      <w:hyperlink r:id="rId28">
        <w:r>
          <w:rPr>
            <w:rStyle w:val="Hyperlink"/>
          </w:rPr>
          <w:t xml:space="preserve">[8]</w:t>
        </w:r>
      </w:hyperlink>
      <w:r>
        <w:t xml:space="preserve">. The IV input may be updated by governance or fed from an on-chain volatility surface/AMM. By isolating pricing logic in a dedicated module, we keep the OptionManager contract simpler and make it easier to upgrade or adjust pricing models without touching core position logic.</w:t>
      </w:r>
    </w:p>
    <w:p>
      <w:pPr>
        <w:numPr>
          <w:ilvl w:val="0"/>
          <w:numId w:val="1001"/>
        </w:numPr>
      </w:pPr>
      <w:r>
        <w:rPr>
          <w:b/>
          <w:bCs/>
        </w:rPr>
        <w:t xml:space="preserve">RiskParams.sol</w:t>
      </w:r>
      <w:r>
        <w:t xml:space="preserve"> </w:t>
      </w:r>
      <w:r>
        <w:t xml:space="preserve">– A simple storage contract (or library) holding</w:t>
      </w:r>
      <w:r>
        <w:t xml:space="preserve"> </w:t>
      </w:r>
      <w:r>
        <w:rPr>
          <w:b/>
          <w:bCs/>
        </w:rPr>
        <w:t xml:space="preserve">configurable risk parameters</w:t>
      </w:r>
      <w:r>
        <w:t xml:space="preserve"> </w:t>
      </w:r>
      <w:r>
        <w:t xml:space="preserve">for the protocol. This includes values like minimum collateralization ratios, maintenance margin thresholds, funding rate caps, liquidation bonuses, and base implied volatility. Having a separate RiskParams module makes it clear which values are tunable by governance. For example, we might set a base volatility for pricing if no market IV is available, caps on funding (to prevent excessively high per-second charges), or a liquidation penalty percent. The OptionManager will read from RiskParams when checking collateral requirements or computing adjustments. Access control (e.g. only an admin multisig) will protect functions to update these parameters.</w:t>
      </w:r>
    </w:p>
    <w:p>
      <w:pPr>
        <w:pStyle w:val="FirstParagraph"/>
      </w:pPr>
      <w:r>
        <w:t xml:space="preserve">Each of these contracts is</w:t>
      </w:r>
      <w:r>
        <w:t xml:space="preserve"> </w:t>
      </w:r>
      <w:r>
        <w:rPr>
          <w:b/>
          <w:bCs/>
        </w:rPr>
        <w:t xml:space="preserve">designed to be modular and interact with each other through well-defined interfaces</w:t>
      </w:r>
      <w:r>
        <w:t xml:space="preserve">. For instance, OptionManager calls CollateralVault to lock/unlock assets and mints/burns NFTs in the PerpetualOptionNFT contract. This separation of concerns improves security (each contract has a limited scope) and makes the system more testable. The architecture also aligns with known DeFi patterns: many financial assets and derivative positions are non-fungible and benefit from NFT representation</w:t>
      </w:r>
      <w:hyperlink r:id="rId21">
        <w:r>
          <w:rPr>
            <w:rStyle w:val="Hyperlink"/>
          </w:rPr>
          <w:t xml:space="preserve">[1]</w:t>
        </w:r>
      </w:hyperlink>
      <w:r>
        <w:t xml:space="preserve">, and managing collateral via a standardized vault interface (ERC-4626) improves composability with the broader ecosystem.</w:t>
      </w:r>
    </w:p>
    <w:bookmarkEnd w:id="29"/>
    <w:bookmarkStart w:id="30" w:name="state-and-storage"/>
    <w:p>
      <w:pPr>
        <w:pStyle w:val="Heading2"/>
      </w:pPr>
      <w:r>
        <w:t xml:space="preserve">2. State and Storage</w:t>
      </w:r>
    </w:p>
    <w:p>
      <w:pPr>
        <w:pStyle w:val="FirstParagraph"/>
      </w:pPr>
      <w:r>
        <w:t xml:space="preserve">We will encode each option position’s data in a</w:t>
      </w:r>
      <w:r>
        <w:t xml:space="preserve"> </w:t>
      </w:r>
      <w:r>
        <w:rPr>
          <w:b/>
          <w:bCs/>
        </w:rPr>
        <w:t xml:space="preserve">struct</w:t>
      </w:r>
      <w:r>
        <w:t xml:space="preserve"> </w:t>
      </w:r>
      <w:r>
        <w:t xml:space="preserve">and maintain a mapping in the OptionManager keyed by the NFT token ID. This Position data structure includes at minimum:</w:t>
      </w:r>
    </w:p>
    <w:p>
      <w:pPr>
        <w:pStyle w:val="Compact"/>
        <w:numPr>
          <w:ilvl w:val="0"/>
          <w:numId w:val="1002"/>
        </w:numPr>
      </w:pPr>
      <w:r>
        <w:rPr>
          <w:rStyle w:val="VerbatimChar"/>
        </w:rPr>
        <w:t xml:space="preserve">optionType</w:t>
      </w:r>
      <w:r>
        <w:t xml:space="preserve"> </w:t>
      </w:r>
      <w:r>
        <w:t xml:space="preserve">– Call or Put (could use a boolean or enum).</w:t>
      </w:r>
    </w:p>
    <w:p>
      <w:pPr>
        <w:pStyle w:val="Compact"/>
        <w:numPr>
          <w:ilvl w:val="0"/>
          <w:numId w:val="1002"/>
        </w:numPr>
      </w:pPr>
      <w:r>
        <w:rPr>
          <w:rStyle w:val="VerbatimChar"/>
        </w:rPr>
        <w:t xml:space="preserve">underlying</w:t>
      </w:r>
      <w:r>
        <w:t xml:space="preserve"> </w:t>
      </w:r>
      <w:r>
        <w:t xml:space="preserve">– The underlying asset address (e.g. WETH for calls and puts on ETH).</w:t>
      </w:r>
    </w:p>
    <w:p>
      <w:pPr>
        <w:pStyle w:val="Compact"/>
        <w:numPr>
          <w:ilvl w:val="0"/>
          <w:numId w:val="1002"/>
        </w:numPr>
      </w:pPr>
      <w:r>
        <w:rPr>
          <w:rStyle w:val="VerbatimChar"/>
        </w:rPr>
        <w:t xml:space="preserve">strike</w:t>
      </w:r>
      <w:r>
        <w:t xml:space="preserve"> </w:t>
      </w:r>
      <w:r>
        <w:t xml:space="preserve">– The strike price (in terms of quote asset, e.g. USDC amount for 1 unit of underlying).</w:t>
      </w:r>
    </w:p>
    <w:p>
      <w:pPr>
        <w:pStyle w:val="Compact"/>
        <w:numPr>
          <w:ilvl w:val="0"/>
          <w:numId w:val="1002"/>
        </w:numPr>
      </w:pPr>
      <w:r>
        <w:rPr>
          <w:rStyle w:val="VerbatimChar"/>
        </w:rPr>
        <w:t xml:space="preserve">size</w:t>
      </w:r>
      <w:r>
        <w:t xml:space="preserve"> </w:t>
      </w:r>
      <w:r>
        <w:t xml:space="preserve">– Quantity of underlying units the option covers (e.g. 1 ETH, or could allow fractional sizes for flexibility).</w:t>
      </w:r>
    </w:p>
    <w:p>
      <w:pPr>
        <w:pStyle w:val="Compact"/>
        <w:numPr>
          <w:ilvl w:val="0"/>
          <w:numId w:val="1002"/>
        </w:numPr>
      </w:pPr>
      <w:r>
        <w:rPr>
          <w:rStyle w:val="VerbatimChar"/>
        </w:rPr>
        <w:t xml:space="preserve">shortOwner</w:t>
      </w:r>
      <w:r>
        <w:t xml:space="preserve"> </w:t>
      </w:r>
      <w:r>
        <w:t xml:space="preserve">– The address of the short counterparty (who deposited collateral).</w:t>
      </w:r>
    </w:p>
    <w:p>
      <w:pPr>
        <w:pStyle w:val="Compact"/>
        <w:numPr>
          <w:ilvl w:val="0"/>
          <w:numId w:val="1002"/>
        </w:numPr>
      </w:pPr>
      <w:r>
        <w:rPr>
          <w:rStyle w:val="VerbatimChar"/>
        </w:rPr>
        <w:t xml:space="preserve">collateralAmount</w:t>
      </w:r>
      <w:r>
        <w:t xml:space="preserve"> </w:t>
      </w:r>
      <w:r>
        <w:t xml:space="preserve">– Amount of collateral locked (WETH if call, USDC if put), initially equal to the full amount required (fully collateralized) but potentially adjusted over time if collateral is partially released.</w:t>
      </w:r>
    </w:p>
    <w:p>
      <w:pPr>
        <w:pStyle w:val="Compact"/>
        <w:numPr>
          <w:ilvl w:val="0"/>
          <w:numId w:val="1002"/>
        </w:numPr>
      </w:pPr>
      <w:r>
        <w:rPr>
          <w:rStyle w:val="VerbatimChar"/>
        </w:rPr>
        <w:t xml:space="preserve">lastFundingTime</w:t>
      </w:r>
      <w:r>
        <w:t xml:space="preserve"> </w:t>
      </w:r>
      <w:r>
        <w:t xml:space="preserve">– Timestamp of the last funding accrual update for this position.</w:t>
      </w:r>
    </w:p>
    <w:p>
      <w:pPr>
        <w:pStyle w:val="Compact"/>
        <w:numPr>
          <w:ilvl w:val="0"/>
          <w:numId w:val="1002"/>
        </w:numPr>
      </w:pPr>
      <w:r>
        <w:rPr>
          <w:rStyle w:val="VerbatimChar"/>
        </w:rPr>
        <w:t xml:space="preserve">pendingRent</w:t>
      </w:r>
      <w:r>
        <w:t xml:space="preserve"> </w:t>
      </w:r>
      <w:r>
        <w:t xml:space="preserve">– (Optional) an accounting of any funding fee accrued but not yet settled.</w:t>
      </w:r>
    </w:p>
    <w:p>
      <w:pPr>
        <w:pStyle w:val="Compact"/>
        <w:numPr>
          <w:ilvl w:val="0"/>
          <w:numId w:val="1002"/>
        </w:numPr>
      </w:pPr>
      <w:r>
        <w:rPr>
          <w:rStyle w:val="VerbatimChar"/>
        </w:rPr>
        <w:t xml:space="preserve">status</w:t>
      </w:r>
      <w:r>
        <w:t xml:space="preserve"> </w:t>
      </w:r>
      <w:r>
        <w:t xml:space="preserve">– Active or closed (to mark positions that have been exercised or liquidated).</w:t>
      </w:r>
    </w:p>
    <w:p>
      <w:pPr>
        <w:pStyle w:val="FirstParagraph"/>
      </w:pPr>
      <w:r>
        <w:t xml:space="preserve">Because each NFT token ID maps one-to-one with a unique option position, this mapping serves as the source of truth for option state. The NFT contract does not need to store all details itself; it can reference OptionManager’s data (for example, the</w:t>
      </w:r>
      <w:r>
        <w:t xml:space="preserve"> </w:t>
      </w:r>
      <w:r>
        <w:rPr>
          <w:rStyle w:val="VerbatimChar"/>
        </w:rPr>
        <w:t xml:space="preserve">tokenURI</w:t>
      </w:r>
      <w:r>
        <w:t xml:space="preserve"> </w:t>
      </w:r>
      <w:r>
        <w:t xml:space="preserve">function in PerpetualOptionNFT could read from OptionManager to compose metadata). This approach is similar to how Uniswap V3 uses an NFT to represent a liquidity position while storing the position data in the core contract</w:t>
      </w:r>
      <w:hyperlink r:id="rId21">
        <w:r>
          <w:rPr>
            <w:rStyle w:val="Hyperlink"/>
          </w:rPr>
          <w:t xml:space="preserve">[1]</w:t>
        </w:r>
      </w:hyperlink>
      <w:r>
        <w:t xml:space="preserve">.</w:t>
      </w:r>
    </w:p>
    <w:p>
      <w:pPr>
        <w:pStyle w:val="BodyText"/>
      </w:pPr>
      <w:r>
        <w:t xml:space="preserve">We will also maintain</w:t>
      </w:r>
      <w:r>
        <w:t xml:space="preserve"> </w:t>
      </w:r>
      <w:r>
        <w:rPr>
          <w:b/>
          <w:bCs/>
        </w:rPr>
        <w:t xml:space="preserve">global mappings or indexes</w:t>
      </w:r>
      <w:r>
        <w:t xml:space="preserve"> </w:t>
      </w:r>
      <w:r>
        <w:t xml:space="preserve">as needed, such as tracking active positions by owner, or by underlying asset and strike. For example,</w:t>
      </w:r>
      <w:r>
        <w:t xml:space="preserve"> </w:t>
      </w:r>
      <w:r>
        <w:rPr>
          <w:rStyle w:val="VerbatimChar"/>
        </w:rPr>
        <w:t xml:space="preserve">mapping(address =&gt; uint256[]) positionsByOwner</w:t>
      </w:r>
      <w:r>
        <w:t xml:space="preserve"> </w:t>
      </w:r>
      <w:r>
        <w:t xml:space="preserve">can help retrieve all NFTs a user holds (all their open positions), and</w:t>
      </w:r>
      <w:r>
        <w:t xml:space="preserve"> </w:t>
      </w:r>
      <w:r>
        <w:rPr>
          <w:rStyle w:val="VerbatimChar"/>
        </w:rPr>
        <w:t xml:space="preserve">mapping(bytes32 =&gt; uint256) openInterest</w:t>
      </w:r>
      <w:r>
        <w:t xml:space="preserve"> </w:t>
      </w:r>
      <w:r>
        <w:t xml:space="preserve">could track total active option size for each</w:t>
      </w:r>
      <w:r>
        <w:t xml:space="preserve"> </w:t>
      </w:r>
      <w:r>
        <w:rPr>
          <w:rStyle w:val="VerbatimChar"/>
        </w:rPr>
        <w:t xml:space="preserve">(underlying, strike, type)</w:t>
      </w:r>
      <w:r>
        <w:t xml:space="preserve"> </w:t>
      </w:r>
      <w:r>
        <w:t xml:space="preserve">combination (using a hash key). These are useful for risk monitoring (e.g. total exposure at a strike) and for liquidators scanning for undercollateralized positions.</w:t>
      </w:r>
    </w:p>
    <w:p>
      <w:pPr>
        <w:pStyle w:val="BodyText"/>
      </w:pPr>
      <w:r>
        <w:t xml:space="preserve">Storage will be laid out efficiently:</w:t>
      </w:r>
      <w:r>
        <w:t xml:space="preserve"> </w:t>
      </w:r>
      <w:r>
        <w:t xml:space="preserve">- Use of</w:t>
      </w:r>
      <w:r>
        <w:t xml:space="preserve"> </w:t>
      </w:r>
      <w:r>
        <w:rPr>
          <w:rStyle w:val="VerbatimChar"/>
        </w:rPr>
        <w:t xml:space="preserve">uint96</w:t>
      </w:r>
      <w:r>
        <w:t xml:space="preserve">/</w:t>
      </w:r>
      <w:r>
        <w:rPr>
          <w:rStyle w:val="VerbatimChar"/>
        </w:rPr>
        <w:t xml:space="preserve">uint128</w:t>
      </w:r>
      <w:r>
        <w:t xml:space="preserve"> </w:t>
      </w:r>
      <w:r>
        <w:t xml:space="preserve">types for prices and amounts (if within ranges) to pack data into fewer storage slots.</w:t>
      </w:r>
      <w:r>
        <w:t xml:space="preserve"> </w:t>
      </w:r>
      <w:r>
        <w:t xml:space="preserve">- Struct ordering to minimize padding. For instance, put smaller types together (like booleans or enums with small uints).</w:t>
      </w:r>
      <w:r>
        <w:t xml:space="preserve"> </w:t>
      </w:r>
      <w:r>
        <w:t xml:space="preserve">- If needed, critical parameters like strike could be scaled (e.g. store as integer representing USDC amount with 6 decimals).</w:t>
      </w:r>
    </w:p>
    <w:p>
      <w:pPr>
        <w:pStyle w:val="BodyText"/>
      </w:pPr>
      <w:r>
        <w:t xml:space="preserve">The design ensures that updating a position’s state (e.g. accruing funding or changing collateral) is a single storage write to the mapping entry. All reads (e.g. checking collateral or last update time) are O(1) via the mapping. This is important for gas efficiency, given that there could be many open positions (each being an NFT). By using the NFT’s unique token ID as the key, we guarantee no collisions and can leverage the NFT’s ID generation for uniqueness.</w:t>
      </w:r>
    </w:p>
    <w:bookmarkEnd w:id="30"/>
    <w:bookmarkStart w:id="32" w:name="rent-continuous-funding-logic"/>
    <w:p>
      <w:pPr>
        <w:pStyle w:val="Heading2"/>
      </w:pPr>
      <w:r>
        <w:t xml:space="preserve">3. Rent (Continuous Funding) Logic</w:t>
      </w:r>
    </w:p>
    <w:p>
      <w:pPr>
        <w:pStyle w:val="FirstParagraph"/>
      </w:pPr>
      <w:r>
        <w:t xml:space="preserve">A</w:t>
      </w:r>
      <w:r>
        <w:t xml:space="preserve"> </w:t>
      </w:r>
      <w:r>
        <w:rPr>
          <w:b/>
          <w:bCs/>
        </w:rPr>
        <w:t xml:space="preserve">defining feature</w:t>
      </w:r>
      <w:r>
        <w:t xml:space="preserve"> </w:t>
      </w:r>
      <w:r>
        <w:t xml:space="preserve">of perpetual options is the continuous</w:t>
      </w:r>
      <w:r>
        <w:t xml:space="preserve"> </w:t>
      </w:r>
      <w:r>
        <w:rPr>
          <w:b/>
          <w:bCs/>
        </w:rPr>
        <w:t xml:space="preserve">funding fee (rent)</w:t>
      </w:r>
      <w:r>
        <w:t xml:space="preserve"> </w:t>
      </w:r>
      <w:r>
        <w:t xml:space="preserve">that flows from the long position to the short position. We will implement rent accrual in the OptionManager such that it updates over time and charges the long appropriately:</w:t>
      </w:r>
    </w:p>
    <w:p>
      <w:pPr>
        <w:numPr>
          <w:ilvl w:val="0"/>
          <w:numId w:val="1003"/>
        </w:numPr>
      </w:pPr>
      <w:r>
        <w:rPr>
          <w:b/>
          <w:bCs/>
        </w:rPr>
        <w:t xml:space="preserve">Funding rate calculation:</w:t>
      </w:r>
      <w:r>
        <w:t xml:space="preserve"> </w:t>
      </w:r>
      <w:r>
        <w:t xml:space="preserve">As noted, the funding at any moment is</w:t>
      </w:r>
      <w:r>
        <w:t xml:space="preserve"> </w:t>
      </w:r>
      <w:r>
        <w:rPr>
          <w:rStyle w:val="VerbatimChar"/>
        </w:rPr>
        <w:t xml:space="preserve">markPrice – intrinsicValue</w:t>
      </w:r>
      <w:r>
        <w:t xml:space="preserve"> </w:t>
      </w:r>
      <w:r>
        <w:t xml:space="preserve">of the option</w:t>
      </w:r>
      <w:hyperlink r:id="rId26">
        <w:r>
          <w:rPr>
            <w:rStyle w:val="Hyperlink"/>
          </w:rPr>
          <w:t xml:space="preserve">[6]</w:t>
        </w:r>
      </w:hyperlink>
      <w:r>
        <w:t xml:space="preserve">. This difference represents the option’s</w:t>
      </w:r>
      <w:r>
        <w:t xml:space="preserve"> </w:t>
      </w:r>
      <w:r>
        <w:rPr>
          <w:b/>
          <w:bCs/>
        </w:rPr>
        <w:t xml:space="preserve">time value</w:t>
      </w:r>
      <w:r>
        <w:t xml:space="preserve"> </w:t>
      </w:r>
      <w:r>
        <w:t xml:space="preserve">(extrinsic value) since</w:t>
      </w:r>
      <w:r>
        <w:t xml:space="preserve"> </w:t>
      </w:r>
      <w:r>
        <w:rPr>
          <w:rStyle w:val="VerbatimChar"/>
        </w:rPr>
        <w:t xml:space="preserve">intrinsicValue</w:t>
      </w:r>
      <w:r>
        <w:t xml:space="preserve"> </w:t>
      </w:r>
      <w:r>
        <w:t xml:space="preserve">is the payoff if exercised immediately. In practice,</w:t>
      </w:r>
      <w:r>
        <w:t xml:space="preserve"> </w:t>
      </w:r>
      <w:r>
        <w:rPr>
          <w:rStyle w:val="VerbatimChar"/>
        </w:rPr>
        <w:t xml:space="preserve">markPrice</w:t>
      </w:r>
      <w:r>
        <w:t xml:space="preserve"> </w:t>
      </w:r>
      <w:r>
        <w:t xml:space="preserve">will be obtained from the FundingOracle, and intrinsic value is</w:t>
      </w:r>
      <w:r>
        <w:t xml:space="preserve"> </w:t>
      </w:r>
      <w:r>
        <w:rPr>
          <w:rStyle w:val="VerbatimChar"/>
        </w:rPr>
        <w:t xml:space="preserve">max(0, (Spot – Strike))</w:t>
      </w:r>
      <w:r>
        <w:t xml:space="preserve"> </w:t>
      </w:r>
      <w:r>
        <w:t xml:space="preserve">for calls or</w:t>
      </w:r>
      <w:r>
        <w:t xml:space="preserve"> </w:t>
      </w:r>
      <w:r>
        <w:rPr>
          <w:rStyle w:val="VerbatimChar"/>
        </w:rPr>
        <w:t xml:space="preserve">max(0, (Strike – Spot))</w:t>
      </w:r>
      <w:r>
        <w:t xml:space="preserve"> </w:t>
      </w:r>
      <w:r>
        <w:t xml:space="preserve">for puts at the current underlying price. Because mark price is always ≥ intrinsic (no-arbitrage for options), this difference is non-negative</w:t>
      </w:r>
      <w:hyperlink r:id="rId27">
        <w:r>
          <w:rPr>
            <w:rStyle w:val="Hyperlink"/>
          </w:rPr>
          <w:t xml:space="preserve">[7]</w:t>
        </w:r>
      </w:hyperlink>
      <w:r>
        <w:t xml:space="preserve">. Long holders thus</w:t>
      </w:r>
      <w:r>
        <w:t xml:space="preserve"> </w:t>
      </w:r>
      <w:r>
        <w:rPr>
          <w:b/>
          <w:bCs/>
        </w:rPr>
        <w:t xml:space="preserve">pay for the time value of the option continuously</w:t>
      </w:r>
      <w:r>
        <w:t xml:space="preserve">, analogous to how perp futures longs pay when the perp’s price is above the index</w:t>
      </w:r>
      <w:hyperlink r:id="rId31">
        <w:r>
          <w:rPr>
            <w:rStyle w:val="Hyperlink"/>
          </w:rPr>
          <w:t xml:space="preserve">[9]</w:t>
        </w:r>
      </w:hyperlink>
      <w:r>
        <w:t xml:space="preserve">. We will compute a</w:t>
      </w:r>
      <w:r>
        <w:t xml:space="preserve"> </w:t>
      </w:r>
      <w:r>
        <w:rPr>
          <w:b/>
          <w:bCs/>
        </w:rPr>
        <w:t xml:space="preserve">per-second funding amount</w:t>
      </w:r>
      <w:r>
        <w:t xml:space="preserve"> </w:t>
      </w:r>
      <w:r>
        <w:t xml:space="preserve">=</w:t>
      </w:r>
      <w:r>
        <w:t xml:space="preserve"> </w:t>
      </w:r>
      <w:r>
        <w:rPr>
          <w:rStyle w:val="VerbatimChar"/>
        </w:rPr>
        <w:t xml:space="preserve">(markPrice – intrinsic) * size</w:t>
      </w:r>
      <w:r>
        <w:t xml:space="preserve">. If markPrice is expressed in the quote currency (e.g. USDC) per unit, this gives a funding amount in USDC for that second.</w:t>
      </w:r>
    </w:p>
    <w:p>
      <w:pPr>
        <w:numPr>
          <w:ilvl w:val="0"/>
          <w:numId w:val="1003"/>
        </w:numPr>
      </w:pPr>
      <w:r>
        <w:rPr>
          <w:b/>
          <w:bCs/>
        </w:rPr>
        <w:t xml:space="preserve">Accrual mechanism:</w:t>
      </w:r>
      <w:r>
        <w:t xml:space="preserve"> </w:t>
      </w:r>
      <w:r>
        <w:t xml:space="preserve">Instead of literally transferring funds every second (which is infeasible on-chain), we use a cumulative approach. Each position’s struct has</w:t>
      </w:r>
      <w:r>
        <w:t xml:space="preserve"> </w:t>
      </w:r>
      <w:r>
        <w:rPr>
          <w:rStyle w:val="VerbatimChar"/>
        </w:rPr>
        <w:t xml:space="preserve">lastFundingTime</w:t>
      </w:r>
      <w:r>
        <w:t xml:space="preserve">. Whenever certain actions occur – e.g. the position is updated, transferred, or periodically by anyone – the contract will calculate the time elapsed since</w:t>
      </w:r>
      <w:r>
        <w:t xml:space="preserve"> </w:t>
      </w:r>
      <w:r>
        <w:rPr>
          <w:rStyle w:val="VerbatimChar"/>
        </w:rPr>
        <w:t xml:space="preserve">lastFundingTime</w:t>
      </w:r>
      <w:r>
        <w:t xml:space="preserve"> </w:t>
      </w:r>
      <w:r>
        <w:t xml:space="preserve">and compute the total rent due over that period. For example, if 1 hour (3600 seconds) has passed, it will fetch the current funding rate and multiply by 3600. In practice, markPrice can change over that hour, but for simplicity we may use the latest rate or an average. A more precise approach is to integrate the funding continuously by updating more frequently or whenever the mark price or intrinsic changes significantly (the protocol could allow anyone to call an</w:t>
      </w:r>
      <w:r>
        <w:t xml:space="preserve"> </w:t>
      </w:r>
      <w:r>
        <w:rPr>
          <w:rStyle w:val="VerbatimChar"/>
        </w:rPr>
        <w:t xml:space="preserve">accrueFunding(tokenId)</w:t>
      </w:r>
      <w:r>
        <w:t xml:space="preserve"> </w:t>
      </w:r>
      <w:r>
        <w:t xml:space="preserve">function to settle up to the current time). After computing the accrued rent, the contract will</w:t>
      </w:r>
      <w:r>
        <w:t xml:space="preserve"> </w:t>
      </w:r>
      <w:r>
        <w:rPr>
          <w:b/>
          <w:bCs/>
        </w:rPr>
        <w:t xml:space="preserve">deduct</w:t>
      </w:r>
      <w:r>
        <w:t xml:space="preserve"> </w:t>
      </w:r>
      <w:r>
        <w:t xml:space="preserve">that amount from the long’s balance and credit it to the short.</w:t>
      </w:r>
    </w:p>
    <w:p>
      <w:pPr>
        <w:numPr>
          <w:ilvl w:val="0"/>
          <w:numId w:val="1003"/>
        </w:numPr>
      </w:pPr>
      <w:r>
        <w:rPr>
          <w:b/>
          <w:bCs/>
        </w:rPr>
        <w:t xml:space="preserve">Long’s funding balance:</w:t>
      </w:r>
      <w:r>
        <w:t xml:space="preserve"> </w:t>
      </w:r>
      <w:r>
        <w:t xml:space="preserve">To facilitate continuous payments, the long side likely needs to deposit or have a</w:t>
      </w:r>
      <w:r>
        <w:t xml:space="preserve"> </w:t>
      </w:r>
      <w:r>
        <w:rPr>
          <w:b/>
          <w:bCs/>
        </w:rPr>
        <w:t xml:space="preserve">margin balance</w:t>
      </w:r>
      <w:r>
        <w:t xml:space="preserve"> </w:t>
      </w:r>
      <w:r>
        <w:t xml:space="preserve">in the protocol. When the option is opened, we can require the long to deposit an initial margin (for example, equal to some upfront premium or a buffer for funding payments). This deposit (in USDC for calls or USDC for puts, since we standardize payments in the quote currency) will be tracked as the long’s available balance for that position. Each funding accrual will</w:t>
      </w:r>
      <w:r>
        <w:t xml:space="preserve"> </w:t>
      </w:r>
      <w:r>
        <w:rPr>
          <w:i/>
          <w:iCs/>
        </w:rPr>
        <w:t xml:space="preserve">burn</w:t>
      </w:r>
      <w:r>
        <w:t xml:space="preserve"> </w:t>
      </w:r>
      <w:r>
        <w:t xml:space="preserve">(deduct) from this balance. If the balance is on the OptionManager, we simply decrement it; if we instead choose to hold long margins in the USDC CollateralVault, then the OptionManager would call the vault to withdraw the rent amount from the long’s share and transfer it to the short’s side.</w:t>
      </w:r>
    </w:p>
    <w:p>
      <w:pPr>
        <w:numPr>
          <w:ilvl w:val="0"/>
          <w:numId w:val="1003"/>
        </w:numPr>
      </w:pPr>
      <w:r>
        <w:rPr>
          <w:b/>
          <w:bCs/>
        </w:rPr>
        <w:t xml:space="preserve">Short’s accumulation:</w:t>
      </w:r>
      <w:r>
        <w:t xml:space="preserve"> </w:t>
      </w:r>
      <w:r>
        <w:t xml:space="preserve">The rent paid by the long is</w:t>
      </w:r>
      <w:r>
        <w:t xml:space="preserve"> </w:t>
      </w:r>
      <w:r>
        <w:rPr>
          <w:b/>
          <w:bCs/>
        </w:rPr>
        <w:t xml:space="preserve">transferred to the short</w:t>
      </w:r>
      <w:r>
        <w:t xml:space="preserve">. Since the short already locked collateral, the funding is effectively their earnings for selling the option. We can accumulate this to the short’s collateral vault or account. One approach is to add the funding amount to the short’s deposit in the vault – e.g. if a short of a call initially deposited 1 WETH, after some funding accrues, the protocol could convert the USDC funding to WETH (using price oracle rate) and add it to the vault, increasing the short’s WETH balance. However, conversion may add complexity. Simpler: for a short call, just record the earned USDC in a separate balance (short could later withdraw it from the protocol). For a short put, the funding is in USDC (same asset as collateral), so it can directly increase their vault shares. In any case, the short’s profit from funding is recognized and will be claimable. This mechanism ensures the short continuously receives compensation (like an insurance premium) for keeping their collateral tied up.</w:t>
      </w:r>
    </w:p>
    <w:p>
      <w:pPr>
        <w:numPr>
          <w:ilvl w:val="0"/>
          <w:numId w:val="1003"/>
        </w:numPr>
      </w:pPr>
      <w:r>
        <w:rPr>
          <w:b/>
          <w:bCs/>
        </w:rPr>
        <w:t xml:space="preserve">Rent payment enforcement:</w:t>
      </w:r>
      <w:r>
        <w:t xml:space="preserve"> </w:t>
      </w:r>
      <w:r>
        <w:t xml:space="preserve">If the long’s funding balance runs low (meaning they are close to not being able to pay the next funding installment), the protocol will mark the position for potential</w:t>
      </w:r>
      <w:r>
        <w:t xml:space="preserve"> </w:t>
      </w:r>
      <w:r>
        <w:rPr>
          <w:b/>
          <w:bCs/>
        </w:rPr>
        <w:t xml:space="preserve">auto-close or liquidation</w:t>
      </w:r>
      <w:r>
        <w:t xml:space="preserve">. The long must</w:t>
      </w:r>
      <w:r>
        <w:t xml:space="preserve"> </w:t>
      </w:r>
      <w:r>
        <w:rPr>
          <w:b/>
          <w:bCs/>
        </w:rPr>
        <w:t xml:space="preserve">top-up</w:t>
      </w:r>
      <w:r>
        <w:t xml:space="preserve"> </w:t>
      </w:r>
      <w:r>
        <w:t xml:space="preserve">their balance (much like adding margin) to keep the position open. If they do not, and the balance is insufficient to cover accrued funding, the OptionManager can declare the position in default: the long’s option NFT is canceled and the short’s obligation ends. Essentially, failing to pay rent is equivalent to letting the option lapse – the long loses the position (it could be considered as if the option expired worthless at that moment). The short would then keep their collateral (and any funds already paid). We will implement a check such that whenever</w:t>
      </w:r>
      <w:r>
        <w:t xml:space="preserve"> </w:t>
      </w:r>
      <w:r>
        <w:rPr>
          <w:rStyle w:val="VerbatimChar"/>
        </w:rPr>
        <w:t xml:space="preserve">accrueFunding</w:t>
      </w:r>
      <w:r>
        <w:t xml:space="preserve"> </w:t>
      </w:r>
      <w:r>
        <w:t xml:space="preserve">is called, if the long’s balance would go negative or below a threshold, it triggers an</w:t>
      </w:r>
      <w:r>
        <w:t xml:space="preserve"> </w:t>
      </w:r>
      <w:r>
        <w:rPr>
          <w:b/>
          <w:bCs/>
        </w:rPr>
        <w:t xml:space="preserve">auto-close</w:t>
      </w:r>
      <w:r>
        <w:t xml:space="preserve">: the NFT is burned and the short’s collateral is released back to them (position settled with no further payoff to the long because the option wasn’t exercised).</w:t>
      </w:r>
    </w:p>
    <w:p>
      <w:pPr>
        <w:numPr>
          <w:ilvl w:val="0"/>
          <w:numId w:val="1003"/>
        </w:numPr>
      </w:pPr>
      <w:r>
        <w:rPr>
          <w:b/>
          <w:bCs/>
        </w:rPr>
        <w:t xml:space="preserve">Edge cases:</w:t>
      </w:r>
      <w:r>
        <w:t xml:space="preserve"> </w:t>
      </w:r>
      <w:r>
        <w:t xml:space="preserve">We will cap the funding rate if needed (via RiskParams) to avoid pathological situations (for example, if implied volatility spikes and markPrice skyrockets, we may impose a max funding per second to avoid draining long’s balance too quickly or causing excessive volatility in payments). Also, in scenarios where</w:t>
      </w:r>
      <w:r>
        <w:t xml:space="preserve"> </w:t>
      </w:r>
      <w:r>
        <w:rPr>
          <w:rStyle w:val="VerbatimChar"/>
        </w:rPr>
        <w:t xml:space="preserve">markPrice == intrinsic</w:t>
      </w:r>
      <w:r>
        <w:t xml:space="preserve"> </w:t>
      </w:r>
      <w:r>
        <w:t xml:space="preserve">(deep in-the-money options might trade at intrinsic value), the funding rate becomes zero – our logic will handle that gracefully (no rent accrues, since there is no time value). In theory, if</w:t>
      </w:r>
      <w:r>
        <w:t xml:space="preserve"> </w:t>
      </w:r>
      <w:r>
        <w:rPr>
          <w:rStyle w:val="VerbatimChar"/>
        </w:rPr>
        <w:t xml:space="preserve">markPrice</w:t>
      </w:r>
      <w:r>
        <w:t xml:space="preserve"> </w:t>
      </w:r>
      <w:r>
        <w:t xml:space="preserve">ever fell below intrinsic (which should not happen under normal conditions), we would treat funding as zero to prevent reversing the payment direction.</w:t>
      </w:r>
    </w:p>
    <w:p>
      <w:pPr>
        <w:pStyle w:val="FirstParagraph"/>
      </w:pPr>
      <w:r>
        <w:t xml:space="preserve">The rent logic will be thoroughly unit tested. We will simulate time passage and ensure that the</w:t>
      </w:r>
      <w:r>
        <w:t xml:space="preserve"> </w:t>
      </w:r>
      <w:r>
        <w:rPr>
          <w:b/>
          <w:bCs/>
        </w:rPr>
        <w:t xml:space="preserve">math for accrual is accurate</w:t>
      </w:r>
      <w:r>
        <w:t xml:space="preserve">, e.g., if a long holds an option for 1 day, the total rent paid equals the integral of (mark – intrinsic) over that day. We will also test that when a long’s balance is exhausted, the contract properly handles the closure/liquidation. This continuous funding model aligns with the concept of everlasting options:</w:t>
      </w:r>
      <w:r>
        <w:t xml:space="preserve"> </w:t>
      </w:r>
      <w:r>
        <w:rPr>
          <w:i/>
          <w:iCs/>
        </w:rPr>
        <w:t xml:space="preserve">“a long position is maintained by paying funding fees to a short position... (mark – payoff) each period”</w:t>
      </w:r>
      <w:hyperlink r:id="rId27">
        <w:r>
          <w:rPr>
            <w:rStyle w:val="Hyperlink"/>
          </w:rPr>
          <w:t xml:space="preserve">[7]</w:t>
        </w:r>
      </w:hyperlink>
      <w:r>
        <w:t xml:space="preserve">.</w:t>
      </w:r>
    </w:p>
    <w:bookmarkEnd w:id="32"/>
    <w:bookmarkStart w:id="34" w:name="exercise-logic"/>
    <w:p>
      <w:pPr>
        <w:pStyle w:val="Heading2"/>
      </w:pPr>
      <w:r>
        <w:t xml:space="preserve">4. Exercise Logic</w:t>
      </w:r>
    </w:p>
    <w:p>
      <w:pPr>
        <w:pStyle w:val="FirstParagraph"/>
      </w:pPr>
      <w:r>
        <w:t xml:space="preserve">The protocol allows the</w:t>
      </w:r>
      <w:r>
        <w:t xml:space="preserve"> </w:t>
      </w:r>
      <w:r>
        <w:rPr>
          <w:b/>
          <w:bCs/>
        </w:rPr>
        <w:t xml:space="preserve">long NFT holder to exercise the option at any time</w:t>
      </w:r>
      <w:r>
        <w:t xml:space="preserve"> </w:t>
      </w:r>
      <w:r>
        <w:t xml:space="preserve">if it is advantageous (American-style exercise). Exercising settles the option immediately by exchanging the underlying and strike assets between the long and short. The implementation will be as follows:</w:t>
      </w:r>
    </w:p>
    <w:p>
      <w:pPr>
        <w:numPr>
          <w:ilvl w:val="0"/>
          <w:numId w:val="1004"/>
        </w:numPr>
      </w:pPr>
      <w:r>
        <w:rPr>
          <w:b/>
          <w:bCs/>
        </w:rPr>
        <w:t xml:space="preserve">Exercise conditions:</w:t>
      </w:r>
      <w:r>
        <w:t xml:space="preserve"> </w:t>
      </w:r>
      <w:r>
        <w:t xml:space="preserve">The long can call an</w:t>
      </w:r>
      <w:r>
        <w:t xml:space="preserve"> </w:t>
      </w:r>
      <w:r>
        <w:rPr>
          <w:rStyle w:val="VerbatimChar"/>
        </w:rPr>
        <w:t xml:space="preserve">exercise(tokenId)</w:t>
      </w:r>
      <w:r>
        <w:t xml:space="preserve"> </w:t>
      </w:r>
      <w:r>
        <w:t xml:space="preserve">function on OptionManager. We will typically require that the option is</w:t>
      </w:r>
      <w:r>
        <w:t xml:space="preserve"> </w:t>
      </w:r>
      <w:r>
        <w:rPr>
          <w:b/>
          <w:bCs/>
        </w:rPr>
        <w:t xml:space="preserve">in the money</w:t>
      </w:r>
      <w:r>
        <w:t xml:space="preserve"> </w:t>
      </w:r>
      <w:r>
        <w:t xml:space="preserve">for exercise to make economic sense (a call can be exercised if current spot ≥ strike; a put if spot ≤ strike). In practice, a rational long wouldn’t exercise if there’s no intrinsic value, since they would be paying strike to get an asset worth less (call) or selling an asset worth more (put). We can include a check using the oracle price to ensure intrinsic value &gt; 0, or at least warn/prevent exercising out-of-the-money to avoid mistakes. If the option is at-the-money or slightly in-the-money, the long may still choose to exercise to close the position and reclaim collateral, so our contract will allow it as long as the resulting asset transfers succeed.</w:t>
      </w:r>
    </w:p>
    <w:p>
      <w:pPr>
        <w:numPr>
          <w:ilvl w:val="0"/>
          <w:numId w:val="1004"/>
        </w:numPr>
      </w:pPr>
      <w:r>
        <w:rPr>
          <w:b/>
          <w:bCs/>
        </w:rPr>
        <w:t xml:space="preserve">Transfers for call exercise:</w:t>
      </w:r>
      <w:r>
        <w:t xml:space="preserve"> </w:t>
      </w:r>
      <w:r>
        <w:t xml:space="preserve">For a call option, the short has locked WETH (underlying) in the WETH CollateralVault. When the long exercises, the following happens:</w:t>
      </w:r>
    </w:p>
    <w:p>
      <w:pPr>
        <w:pStyle w:val="Compact"/>
        <w:numPr>
          <w:ilvl w:val="0"/>
          <w:numId w:val="1004"/>
        </w:numPr>
      </w:pPr>
      <w:r>
        <w:t xml:space="preserve">The long must</w:t>
      </w:r>
      <w:r>
        <w:t xml:space="preserve"> </w:t>
      </w:r>
      <w:r>
        <w:rPr>
          <w:b/>
          <w:bCs/>
        </w:rPr>
        <w:t xml:space="preserve">pay the strike price</w:t>
      </w:r>
      <w:r>
        <w:t xml:space="preserve"> </w:t>
      </w:r>
      <w:r>
        <w:t xml:space="preserve">in USDC. We will require the long to have approved the OptionManager to pull the necessary USDC (equal to</w:t>
      </w:r>
      <w:r>
        <w:t xml:space="preserve"> </w:t>
      </w:r>
      <w:r>
        <w:rPr>
          <w:rStyle w:val="VerbatimChar"/>
        </w:rPr>
        <w:t xml:space="preserve">strike * size</w:t>
      </w:r>
      <w:r>
        <w:t xml:space="preserve">). The contract uses</w:t>
      </w:r>
      <w:r>
        <w:t xml:space="preserve"> </w:t>
      </w:r>
      <w:r>
        <w:rPr>
          <w:rStyle w:val="VerbatimChar"/>
        </w:rPr>
        <w:t xml:space="preserve">transferFrom</w:t>
      </w:r>
      <w:r>
        <w:t xml:space="preserve"> </w:t>
      </w:r>
      <w:r>
        <w:t xml:space="preserve">to take USDC from the long’s address.</w:t>
      </w:r>
    </w:p>
    <w:p>
      <w:pPr>
        <w:pStyle w:val="Compact"/>
        <w:numPr>
          <w:ilvl w:val="0"/>
          <w:numId w:val="1004"/>
        </w:numPr>
      </w:pPr>
      <w:r>
        <w:t xml:space="preserve">The OptionManager calls the WETH vault to</w:t>
      </w:r>
      <w:r>
        <w:t xml:space="preserve"> </w:t>
      </w:r>
      <w:r>
        <w:rPr>
          <w:b/>
          <w:bCs/>
        </w:rPr>
        <w:t xml:space="preserve">withdraw</w:t>
      </w:r>
      <w:r>
        <w:t xml:space="preserve"> </w:t>
      </w:r>
      <w:r>
        <w:t xml:space="preserve">the corresponding amount of WETH collateral reserved for this option (e.g.</w:t>
      </w:r>
      <w:r>
        <w:t xml:space="preserve"> </w:t>
      </w:r>
      <w:r>
        <w:rPr>
          <w:rStyle w:val="VerbatimChar"/>
        </w:rPr>
        <w:t xml:space="preserve">size</w:t>
      </w:r>
      <w:r>
        <w:t xml:space="preserve"> </w:t>
      </w:r>
      <w:r>
        <w:t xml:space="preserve">WETH). This withdraw is sent directly to the long, delivering the underlying asset to them.</w:t>
      </w:r>
    </w:p>
    <w:p>
      <w:pPr>
        <w:pStyle w:val="Compact"/>
        <w:numPr>
          <w:ilvl w:val="0"/>
          <w:numId w:val="1004"/>
        </w:numPr>
      </w:pPr>
      <w:r>
        <w:t xml:space="preserve">The USDC paid by the long is delivered to the short. Since the short’s WETH is gone, they receive the strike payment as compensation. We can send this USDC either directly to the short’s address or deposit it into the USDC vault on behalf of the short (the simpler approach is direct transfer, as the position is closing).</w:t>
      </w:r>
    </w:p>
    <w:p>
      <w:pPr>
        <w:numPr>
          <w:ilvl w:val="0"/>
          <w:numId w:val="1004"/>
        </w:numPr>
      </w:pPr>
      <w:r>
        <w:t xml:space="preserve">The OptionManager then</w:t>
      </w:r>
      <w:r>
        <w:t xml:space="preserve"> </w:t>
      </w:r>
      <w:r>
        <w:rPr>
          <w:b/>
          <w:bCs/>
        </w:rPr>
        <w:t xml:space="preserve">burns</w:t>
      </w:r>
      <w:r>
        <w:t xml:space="preserve"> </w:t>
      </w:r>
      <w:r>
        <w:t xml:space="preserve">the option NFT (via a call to the PerpetualOptionNFT contract’s burn function). The position is marked as closed in storage (we may delete the struct or mark it as exercised to prevent reuse of the tokenId).</w:t>
      </w:r>
      <w:r>
        <w:t xml:space="preserve"> </w:t>
      </w:r>
      <w:r>
        <w:t xml:space="preserve">After these steps, the short ends up with the strike amount in USDC (realizing their obligation) and the long ends up with the underlying WETH asset. This is equivalent to the long “buying” the underlying from the short at the strike price. The vault and OptionManager records are updated to reflect the removal of that collateral.</w:t>
      </w:r>
    </w:p>
    <w:p>
      <w:pPr>
        <w:numPr>
          <w:ilvl w:val="0"/>
          <w:numId w:val="1004"/>
        </w:numPr>
      </w:pPr>
      <w:r>
        <w:rPr>
          <w:b/>
          <w:bCs/>
        </w:rPr>
        <w:t xml:space="preserve">Transfers for put exercise:</w:t>
      </w:r>
      <w:r>
        <w:t xml:space="preserve"> </w:t>
      </w:r>
      <w:r>
        <w:t xml:space="preserve">For a put option, the short has locked USDC (the strike currency) in the USDC vault. When the long exercises:</w:t>
      </w:r>
    </w:p>
    <w:p>
      <w:pPr>
        <w:pStyle w:val="Compact"/>
        <w:numPr>
          <w:ilvl w:val="0"/>
          <w:numId w:val="1004"/>
        </w:numPr>
      </w:pPr>
      <w:r>
        <w:t xml:space="preserve">The long must</w:t>
      </w:r>
      <w:r>
        <w:t xml:space="preserve"> </w:t>
      </w:r>
      <w:r>
        <w:rPr>
          <w:b/>
          <w:bCs/>
        </w:rPr>
        <w:t xml:space="preserve">deliver the underlying asset (WETH)</w:t>
      </w:r>
      <w:r>
        <w:t xml:space="preserve"> </w:t>
      </w:r>
      <w:r>
        <w:t xml:space="preserve">equal to the size of the option, since they are effectively selling the underlying at the strike. We will require the long to approve the OptionManager to transfer</w:t>
      </w:r>
      <w:r>
        <w:t xml:space="preserve"> </w:t>
      </w:r>
      <w:r>
        <w:rPr>
          <w:rStyle w:val="VerbatimChar"/>
        </w:rPr>
        <w:t xml:space="preserve">size</w:t>
      </w:r>
      <w:r>
        <w:t xml:space="preserve"> </w:t>
      </w:r>
      <w:r>
        <w:t xml:space="preserve">WETH from their address.</w:t>
      </w:r>
    </w:p>
    <w:p>
      <w:pPr>
        <w:pStyle w:val="Compact"/>
        <w:numPr>
          <w:ilvl w:val="0"/>
          <w:numId w:val="1004"/>
        </w:numPr>
      </w:pPr>
      <w:r>
        <w:t xml:space="preserve">OptionManager transfers the required WETH from long to the short. (We can either send it directly to the short’s address or into the WETH vault for the short – likely directly, as the short will want to take possession of the underlying after closure).</w:t>
      </w:r>
    </w:p>
    <w:p>
      <w:pPr>
        <w:pStyle w:val="Compact"/>
        <w:numPr>
          <w:ilvl w:val="0"/>
          <w:numId w:val="1004"/>
        </w:numPr>
      </w:pPr>
      <w:r>
        <w:t xml:space="preserve">The OptionManager withdraws the locked USDC from the USDC vault (amount =</w:t>
      </w:r>
      <w:r>
        <w:t xml:space="preserve"> </w:t>
      </w:r>
      <w:r>
        <w:rPr>
          <w:rStyle w:val="VerbatimChar"/>
        </w:rPr>
        <w:t xml:space="preserve">strike * size</w:t>
      </w:r>
      <w:r>
        <w:t xml:space="preserve">) and transfers that USDC to the long. This gives the long the agreed strike value in stablecoin, completing the sale of their asset at the strike price.</w:t>
      </w:r>
    </w:p>
    <w:p>
      <w:pPr>
        <w:numPr>
          <w:ilvl w:val="0"/>
          <w:numId w:val="1004"/>
        </w:numPr>
      </w:pPr>
      <w:r>
        <w:t xml:space="preserve">The NFT is burned and the position closed in storage.</w:t>
      </w:r>
      <w:r>
        <w:t xml:space="preserve"> </w:t>
      </w:r>
      <w:r>
        <w:t xml:space="preserve">After a put exercise, the short now holds the underlying asset (WETH) that the long sold, and the long receives cash (USDC) at the strike price. Essentially, the short bought the underlying at strike from the long.</w:t>
      </w:r>
    </w:p>
    <w:p>
      <w:pPr>
        <w:numPr>
          <w:ilvl w:val="0"/>
          <w:numId w:val="1004"/>
        </w:numPr>
      </w:pPr>
      <w:r>
        <w:rPr>
          <w:b/>
          <w:bCs/>
        </w:rPr>
        <w:t xml:space="preserve">Partial exercises and size:</w:t>
      </w:r>
      <w:r>
        <w:t xml:space="preserve"> </w:t>
      </w:r>
      <w:r>
        <w:t xml:space="preserve">In this design, each NFT represents a fixed size (like 1 underlying unit or a set size). We will treat exercise as all-or-nothing (exercising the entire position). If we wanted to allow partial exercise, the design could mint multiple NFTs or adjust the size, but for simplicity each position is exercised in full and then closed. The long could always open multiple smaller positions (NFTs) if they want flexibility to exercise in tranches.</w:t>
      </w:r>
    </w:p>
    <w:p>
      <w:pPr>
        <w:numPr>
          <w:ilvl w:val="0"/>
          <w:numId w:val="1004"/>
        </w:numPr>
      </w:pPr>
      <w:r>
        <w:rPr>
          <w:b/>
          <w:bCs/>
        </w:rPr>
        <w:t xml:space="preserve">Oracle usage:</w:t>
      </w:r>
      <w:r>
        <w:t xml:space="preserve"> </w:t>
      </w:r>
      <w:r>
        <w:t xml:space="preserve">The oracle price feed will be used to determine if exercise is allowed (ITM check) and potentially for sanity checks (e.g. ensuring the strike payment and underlying amounts correspond to a fair trade). However, the actual transfer uses on-chain amounts provided by the user (the user pays exactly the strike in USDC and delivers or receives the exact underlying). There’s no price slippage here because it’s a predefined contract term; the oracle mainly guards against unintended exercise when there’s no payoff. For instance, if due to oracle latency the price is slightly different, the long might exercise thinking it’s ITM. But since the long actually has to deliver or pay assets, they will naturally only do so if it profits them.</w:t>
      </w:r>
    </w:p>
    <w:p>
      <w:pPr>
        <w:numPr>
          <w:ilvl w:val="0"/>
          <w:numId w:val="1004"/>
        </w:numPr>
      </w:pPr>
      <w:r>
        <w:rPr>
          <w:b/>
          <w:bCs/>
        </w:rPr>
        <w:t xml:space="preserve">Collateral release:</w:t>
      </w:r>
      <w:r>
        <w:t xml:space="preserve"> </w:t>
      </w:r>
      <w:r>
        <w:t xml:space="preserve">Upon exercise, any collateral remaining beyond what was needed is handled. In these fully collateralized scenarios, essentially all collateral is used: e.g., short call’s entire WETH is given to long, short put’s entire USDC is given to long. If by chance there was any extra (say the short had earned some funding that remained in vault), those extras should still belong to the short. We will ensure the short can withdraw any residual from the vault after exercise.</w:t>
      </w:r>
    </w:p>
    <w:p>
      <w:pPr>
        <w:numPr>
          <w:ilvl w:val="0"/>
          <w:numId w:val="1004"/>
        </w:numPr>
      </w:pPr>
      <w:r>
        <w:rPr>
          <w:b/>
          <w:bCs/>
        </w:rPr>
        <w:t xml:space="preserve">Event logging:</w:t>
      </w:r>
      <w:r>
        <w:t xml:space="preserve"> </w:t>
      </w:r>
      <w:r>
        <w:t xml:space="preserve">We will emit events like</w:t>
      </w:r>
      <w:r>
        <w:t xml:space="preserve"> </w:t>
      </w:r>
      <w:r>
        <w:rPr>
          <w:rStyle w:val="VerbatimChar"/>
        </w:rPr>
        <w:t xml:space="preserve">Exercised(tokenId, long, short, payoffAmount)</w:t>
      </w:r>
      <w:r>
        <w:t xml:space="preserve"> </w:t>
      </w:r>
      <w:r>
        <w:t xml:space="preserve">to record the action. This helps with off-chain indexing and UI updates.</w:t>
      </w:r>
    </w:p>
    <w:p>
      <w:pPr>
        <w:pStyle w:val="FirstParagraph"/>
      </w:pPr>
      <w:r>
        <w:t xml:space="preserve">Overall, the exercise function finalizes the contract between long and short. It will be secured by proper access control (only the NFT owner can call exercise on that tokenId), and we will include</w:t>
      </w:r>
      <w:r>
        <w:t xml:space="preserve"> </w:t>
      </w:r>
      <w:r>
        <w:rPr>
          <w:i/>
          <w:iCs/>
        </w:rPr>
        <w:t xml:space="preserve">reentrancy guards</w:t>
      </w:r>
      <w:r>
        <w:t xml:space="preserve"> </w:t>
      </w:r>
      <w:r>
        <w:t xml:space="preserve">to prevent any complex callbacks (since we are transferring tokens, we’ll use OpenZeppelin’s</w:t>
      </w:r>
      <w:r>
        <w:t xml:space="preserve"> </w:t>
      </w:r>
      <w:r>
        <w:rPr>
          <w:rStyle w:val="VerbatimChar"/>
        </w:rPr>
        <w:t xml:space="preserve">ReentrancyGuard</w:t>
      </w:r>
      <w:r>
        <w:t xml:space="preserve"> </w:t>
      </w:r>
      <w:r>
        <w:t xml:space="preserve">on OptionManager’s external functions</w:t>
      </w:r>
      <w:hyperlink r:id="rId33">
        <w:r>
          <w:rPr>
            <w:rStyle w:val="Hyperlink"/>
          </w:rPr>
          <w:t xml:space="preserve">[10]</w:t>
        </w:r>
      </w:hyperlink>
      <w:r>
        <w:t xml:space="preserve"> </w:t>
      </w:r>
      <w:r>
        <w:t xml:space="preserve">for safety).</w:t>
      </w:r>
    </w:p>
    <w:p>
      <w:pPr>
        <w:pStyle w:val="BodyText"/>
      </w:pPr>
      <w:r>
        <w:t xml:space="preserve">We will test exercise logic with scenarios:</w:t>
      </w:r>
      <w:r>
        <w:t xml:space="preserve"> </w:t>
      </w:r>
      <w:r>
        <w:t xml:space="preserve">- In-the-money calls and puts result in expected final balances for both parties (long gains profit equal to intrinsic value).</w:t>
      </w:r>
      <w:r>
        <w:t xml:space="preserve"> </w:t>
      </w:r>
      <w:r>
        <w:t xml:space="preserve">- Out-of-the-money attempts are rejected or result in no value transfer.</w:t>
      </w:r>
      <w:r>
        <w:t xml:space="preserve"> </w:t>
      </w:r>
      <w:r>
        <w:t xml:space="preserve">- Ensure that after exercise, the NFT is invalid (burned) and collateral vaults show the short’s remaining assets correctly.</w:t>
      </w:r>
    </w:p>
    <w:bookmarkEnd w:id="34"/>
    <w:bookmarkStart w:id="37" w:name="liquidation-mechanism"/>
    <w:p>
      <w:pPr>
        <w:pStyle w:val="Heading2"/>
      </w:pPr>
      <w:r>
        <w:t xml:space="preserve">5. Liquidation Mechanism</w:t>
      </w:r>
    </w:p>
    <w:p>
      <w:pPr>
        <w:pStyle w:val="FirstParagraph"/>
      </w:pPr>
      <w:r>
        <w:t xml:space="preserve">To maintain system solvency given the possibility of</w:t>
      </w:r>
      <w:r>
        <w:t xml:space="preserve"> </w:t>
      </w:r>
      <w:r>
        <w:rPr>
          <w:b/>
          <w:bCs/>
        </w:rPr>
        <w:t xml:space="preserve">adaptive collateral release</w:t>
      </w:r>
      <w:r>
        <w:t xml:space="preserve"> </w:t>
      </w:r>
      <w:r>
        <w:t xml:space="preserve">(shorts withdrawing some collateral when safe), we include a liquidation mechanism. Liquidation is triggered when a short’s collateral falls below a</w:t>
      </w:r>
      <w:r>
        <w:t xml:space="preserve"> </w:t>
      </w:r>
      <w:r>
        <w:rPr>
          <w:b/>
          <w:bCs/>
        </w:rPr>
        <w:t xml:space="preserve">maintenance threshold</w:t>
      </w:r>
      <w:r>
        <w:t xml:space="preserve"> </w:t>
      </w:r>
      <w:r>
        <w:t xml:space="preserve">relative to the option’s current value. This is analogous to margin calls in lending protocols: if the short’s position becomes undercollateralized due to market moves or collateral withdrawal, anyone (usually a bot) can liquidate the position for a reward</w:t>
      </w:r>
      <w:hyperlink r:id="rId33">
        <w:r>
          <w:rPr>
            <w:rStyle w:val="Hyperlink"/>
          </w:rPr>
          <w:t xml:space="preserve">[10]</w:t>
        </w:r>
      </w:hyperlink>
      <w:r>
        <w:t xml:space="preserve">.</w:t>
      </w:r>
    </w:p>
    <w:p>
      <w:pPr>
        <w:pStyle w:val="BodyText"/>
      </w:pPr>
      <w:r>
        <w:t xml:space="preserve">Key aspects of liquidation design:</w:t>
      </w:r>
    </w:p>
    <w:p>
      <w:pPr>
        <w:numPr>
          <w:ilvl w:val="0"/>
          <w:numId w:val="1005"/>
        </w:numPr>
      </w:pPr>
      <w:r>
        <w:rPr>
          <w:b/>
          <w:bCs/>
        </w:rPr>
        <w:t xml:space="preserve">Collateral requirements:</w:t>
      </w:r>
      <w:r>
        <w:t xml:space="preserve"> </w:t>
      </w:r>
      <w:r>
        <w:t xml:space="preserve">We define a maintenance collateral ratio in RiskParams. For example, we might require that the short’s collateral value is at least 120% of the option’s current intrinsic value (or some function of spot price and strike) at all times. Initially, shorts deposit 100% of the maximum payoff (fully collateralized). But if the option goes deep out-of-the-money, the protocol may allow the short to withdraw some collateral, leaving, say, 50% of initial collateral. If the market reverses (underlying price moves toward making the option in-the-money), that reduced collateral could become insufficient to cover the payoff. The</w:t>
      </w:r>
      <w:r>
        <w:t xml:space="preserve"> </w:t>
      </w:r>
      <w:r>
        <w:rPr>
          <w:b/>
          <w:bCs/>
        </w:rPr>
        <w:t xml:space="preserve">maintenance threshold</w:t>
      </w:r>
      <w:r>
        <w:t xml:space="preserve"> </w:t>
      </w:r>
      <w:r>
        <w:t xml:space="preserve">ensures we catch this before the short is unable to pay. For instance, for a call, if the underlying price rises such that</w:t>
      </w:r>
      <w:r>
        <w:t xml:space="preserve"> </w:t>
      </w:r>
      <w:r>
        <w:rPr>
          <w:rStyle w:val="VerbatimChar"/>
        </w:rPr>
        <w:t xml:space="preserve">current intrinsic ≈ short’s remaining WETH</w:t>
      </w:r>
      <w:r>
        <w:t xml:space="preserve">, the collateral ratio drops to ~100% and triggers liquidation; for a put, if underlying price falls similarly relative to short’s USDC.</w:t>
      </w:r>
    </w:p>
    <w:p>
      <w:pPr>
        <w:numPr>
          <w:ilvl w:val="0"/>
          <w:numId w:val="1005"/>
        </w:numPr>
      </w:pPr>
      <w:r>
        <w:rPr>
          <w:b/>
          <w:bCs/>
        </w:rPr>
        <w:t xml:space="preserve">Liquidation trigger:</w:t>
      </w:r>
      <w:r>
        <w:t xml:space="preserve"> </w:t>
      </w:r>
      <w:r>
        <w:t xml:space="preserve">The OptionManager will have a function</w:t>
      </w:r>
      <w:r>
        <w:t xml:space="preserve"> </w:t>
      </w:r>
      <w:r>
        <w:rPr>
          <w:rStyle w:val="VerbatimChar"/>
        </w:rPr>
        <w:t xml:space="preserve">liquidate(tokenId)</w:t>
      </w:r>
      <w:r>
        <w:t xml:space="preserve"> </w:t>
      </w:r>
      <w:r>
        <w:t xml:space="preserve">that can be called by anyone when a position’s collateral ratio is below the threshold. Internally, this function uses the FundingOracle (Chainlink price) to get the current fair underlying price. It then computes the option’s</w:t>
      </w:r>
      <w:r>
        <w:t xml:space="preserve"> </w:t>
      </w:r>
      <w:r>
        <w:rPr>
          <w:i/>
          <w:iCs/>
        </w:rPr>
        <w:t xml:space="preserve">intrinsic value</w:t>
      </w:r>
      <w:r>
        <w:t xml:space="preserve"> </w:t>
      </w:r>
      <w:r>
        <w:t xml:space="preserve">at that price. If</w:t>
      </w:r>
      <w:r>
        <w:t xml:space="preserve"> </w:t>
      </w:r>
      <w:r>
        <w:rPr>
          <w:rStyle w:val="VerbatimChar"/>
        </w:rPr>
        <w:t xml:space="preserve">collateralValue &lt; maintenanceRatio * intrinsicValue</w:t>
      </w:r>
      <w:r>
        <w:t xml:space="preserve">, the liquidation proceeds. We ensure using the freshest price data (Chainlink or a TWAP) to prevent manipulation; in practice, Chainlink’s decentralized feeds help provide a tamper-resistant price</w:t>
      </w:r>
      <w:hyperlink r:id="rId28">
        <w:r>
          <w:rPr>
            <w:rStyle w:val="Hyperlink"/>
          </w:rPr>
          <w:t xml:space="preserve">[8]</w:t>
        </w:r>
      </w:hyperlink>
      <w:r>
        <w:t xml:space="preserve">.</w:t>
      </w:r>
    </w:p>
    <w:p>
      <w:pPr>
        <w:numPr>
          <w:ilvl w:val="0"/>
          <w:numId w:val="1005"/>
        </w:numPr>
      </w:pPr>
      <w:r>
        <w:rPr>
          <w:b/>
          <w:bCs/>
        </w:rPr>
        <w:t xml:space="preserve">Settlement at oracle price:</w:t>
      </w:r>
      <w:r>
        <w:t xml:space="preserve"> </w:t>
      </w:r>
      <w:r>
        <w:t xml:space="preserve">Liquidation essentially forces an</w:t>
      </w:r>
      <w:r>
        <w:t xml:space="preserve"> </w:t>
      </w:r>
      <w:r>
        <w:rPr>
          <w:b/>
          <w:bCs/>
        </w:rPr>
        <w:t xml:space="preserve">early settlement</w:t>
      </w:r>
      <w:r>
        <w:t xml:space="preserve"> </w:t>
      </w:r>
      <w:r>
        <w:t xml:space="preserve">of the option at the current price. The simplest model is to</w:t>
      </w:r>
      <w:r>
        <w:t xml:space="preserve"> </w:t>
      </w:r>
      <w:r>
        <w:rPr>
          <w:b/>
          <w:bCs/>
        </w:rPr>
        <w:t xml:space="preserve">cash-settle</w:t>
      </w:r>
      <w:r>
        <w:t xml:space="preserve"> </w:t>
      </w:r>
      <w:r>
        <w:t xml:space="preserve">the option:</w:t>
      </w:r>
    </w:p>
    <w:p>
      <w:pPr>
        <w:pStyle w:val="Compact"/>
        <w:numPr>
          <w:ilvl w:val="0"/>
          <w:numId w:val="1005"/>
        </w:numPr>
      </w:pPr>
      <w:r>
        <w:t xml:space="preserve">For a call: The intrinsic value = max(Spot – Strike, 0) (in USDC). The short’s remaining collateral (WETH) is taken by the contract. We convert that WETH to its USDC equivalent at the oracle price (conceptually). The goal is to pay the long their intrinsic profit in stablecoins. In implementation, one way is: transfer the short’s WETH to the liquidator,</w:t>
      </w:r>
      <w:r>
        <w:t xml:space="preserve"> </w:t>
      </w:r>
      <w:r>
        <w:rPr>
          <w:b/>
          <w:bCs/>
        </w:rPr>
        <w:t xml:space="preserve">in exchange</w:t>
      </w:r>
      <w:r>
        <w:t xml:space="preserve"> </w:t>
      </w:r>
      <w:r>
        <w:t xml:space="preserve">the liquidator pays the required USDC to the long equal to intrinsic value. The liquidator essentially buys the short’s WETH at a discount, which is their reward. For example, if intrinsic value is $150 and the short had 1 WETH (worth $160 at oracle price), a 5% liquidation bonus might allow the liquidator to pay $150 to the long, and keep $10 worth of WETH as profit</w:t>
      </w:r>
      <w:hyperlink r:id="rId35">
        <w:r>
          <w:rPr>
            <w:rStyle w:val="Hyperlink"/>
          </w:rPr>
          <w:t xml:space="preserve">[11]</w:t>
        </w:r>
      </w:hyperlink>
      <w:r>
        <w:t xml:space="preserve">. If the short’s collateral is exactly equal to intrinsic value (100% collat), the liquidator might break even (or a small protocol-defined reward is given in addition). We will structure it so the liquidator is incentivized (i.e. can seize a bit more collateral than the payout they provide).</w:t>
      </w:r>
    </w:p>
    <w:p>
      <w:pPr>
        <w:numPr>
          <w:ilvl w:val="0"/>
          <w:numId w:val="1005"/>
        </w:numPr>
      </w:pPr>
      <w:r>
        <w:t xml:space="preserve">For a put: Intrinsic = max(Strike – Spot, 0) in USDC. The contract would use the short’s USDC collateral to pay the long that amount. In a full liquidation, the long is paid their intrinsic profit in USDC directly. The long is not required to provide the underlying in this cash-settlement; effectively, the option is closed for the same net outcome. The liquidator’s role could be to take the remaining collateral or the underlying. For instance, if short’s USDC collateral is more than needed to pay intrinsic, the extra could go to the liquidator as a reward (or returned to short if we design a minimal penalty system, but usually there’s a penalty). If the short’s collateral is less than intrinsic (shouldn’t happen if threshold is above 100%), then the long might not get fully paid – we avoid this by setting threshold conservatively.</w:t>
      </w:r>
    </w:p>
    <w:p>
      <w:pPr>
        <w:numPr>
          <w:ilvl w:val="0"/>
          <w:numId w:val="1005"/>
        </w:numPr>
      </w:pPr>
      <w:r>
        <w:rPr>
          <w:b/>
          <w:bCs/>
        </w:rPr>
        <w:t xml:space="preserve">Liquidator reward:</w:t>
      </w:r>
      <w:r>
        <w:t xml:space="preserve"> </w:t>
      </w:r>
      <w:r>
        <w:t xml:space="preserve">We will incorporate a</w:t>
      </w:r>
      <w:r>
        <w:t xml:space="preserve"> </w:t>
      </w:r>
      <w:r>
        <w:rPr>
          <w:b/>
          <w:bCs/>
        </w:rPr>
        <w:t xml:space="preserve">liquidation bonus</w:t>
      </w:r>
      <w:r>
        <w:t xml:space="preserve">, a common practice in DeFi liquidation systems</w:t>
      </w:r>
      <w:hyperlink r:id="rId35">
        <w:r>
          <w:rPr>
            <w:rStyle w:val="Hyperlink"/>
          </w:rPr>
          <w:t xml:space="preserve">[11]</w:t>
        </w:r>
      </w:hyperlink>
      <w:r>
        <w:t xml:space="preserve">. This could be a percentage (e.g. 5-10%) of the collateral that the liquidator gets to keep as profit. The mechanism may allow the liquidator to claim slightly more collateral than the exact debt owed. For example, in a call liquidation, the liquidator might only have to pay 95% of the WETH’s value to cover the long’s payoff, effectively buying WETH at a 5% discount</w:t>
      </w:r>
      <w:hyperlink r:id="rId36">
        <w:r>
          <w:rPr>
            <w:rStyle w:val="Hyperlink"/>
          </w:rPr>
          <w:t xml:space="preserve">[12]</w:t>
        </w:r>
      </w:hyperlink>
      <w:r>
        <w:t xml:space="preserve">. The exact parameters will be set in RiskParams. This reward motivates third parties to monitor and liquidate risky positions promptly, keeping the system safe.</w:t>
      </w:r>
    </w:p>
    <w:p>
      <w:pPr>
        <w:numPr>
          <w:ilvl w:val="0"/>
          <w:numId w:val="1005"/>
        </w:numPr>
      </w:pPr>
      <w:r>
        <w:rPr>
          <w:b/>
          <w:bCs/>
        </w:rPr>
        <w:t xml:space="preserve">Result of liquidation:</w:t>
      </w:r>
      <w:r>
        <w:t xml:space="preserve"> </w:t>
      </w:r>
      <w:r>
        <w:t xml:space="preserve">When liquidation occurs, the option position is closed similar to exercise: the long is paid what they are entitled to (if any intrinsic value exists), the short’s obligation is settled by giving up their collateral, and the NFT is burned. The short is effectively wiped out of that position (they lose their remaining collateral to the long and liquidator). The long either receives the intrinsic value in stablecoins (for cash-settlement) or equivalent assets. We favor cash-settlement for simplicity: it avoids requiring the long to interact (the liquidator handles it) and handles both calls and puts uniformly in terms of value. After liquidation, the short has no further liability and the position is removed from active tracking. We will emit an event</w:t>
      </w:r>
      <w:r>
        <w:t xml:space="preserve"> </w:t>
      </w:r>
      <w:r>
        <w:rPr>
          <w:rStyle w:val="VerbatimChar"/>
        </w:rPr>
        <w:t xml:space="preserve">Liquidate(tokenId, liquidator, longPayout, reward)</w:t>
      </w:r>
      <w:r>
        <w:t xml:space="preserve">.</w:t>
      </w:r>
    </w:p>
    <w:p>
      <w:pPr>
        <w:numPr>
          <w:ilvl w:val="0"/>
          <w:numId w:val="1005"/>
        </w:numPr>
      </w:pPr>
      <w:r>
        <w:rPr>
          <w:b/>
          <w:bCs/>
        </w:rPr>
        <w:t xml:space="preserve">Adaptive collateral release logic:</w:t>
      </w:r>
      <w:r>
        <w:t xml:space="preserve"> </w:t>
      </w:r>
      <w:r>
        <w:t xml:space="preserve">To enable shorts to withdraw excess collateral safely, OptionManager might provide a function like</w:t>
      </w:r>
      <w:r>
        <w:t xml:space="preserve"> </w:t>
      </w:r>
      <w:r>
        <w:rPr>
          <w:rStyle w:val="VerbatimChar"/>
        </w:rPr>
        <w:t xml:space="preserve">releaseCollateral(tokenId, amount)</w:t>
      </w:r>
      <w:r>
        <w:t xml:space="preserve"> </w:t>
      </w:r>
      <w:r>
        <w:t xml:space="preserve">which only lets the short remove collateral if</w:t>
      </w:r>
      <w:r>
        <w:t xml:space="preserve"> </w:t>
      </w:r>
      <w:r>
        <w:rPr>
          <w:b/>
          <w:bCs/>
        </w:rPr>
        <w:t xml:space="preserve">post-withdrawal, their collateral is still above a</w:t>
      </w:r>
      <w:r>
        <w:t xml:space="preserve"> </w:t>
      </w:r>
      <w:r>
        <w:t xml:space="preserve">higher</w:t>
      </w:r>
      <w:r>
        <w:t xml:space="preserve"> </w:t>
      </w:r>
      <w:r>
        <w:rPr>
          <w:b/>
          <w:bCs/>
        </w:rPr>
        <w:t xml:space="preserve">threshold (initial margin requirement, say 150% of current intrinsic)</w:t>
      </w:r>
      <w:r>
        <w:t xml:space="preserve">. This ensures a buffer so that any subsequent move triggers liquidation before insolvency. If a short over-withdraws, the check will fail. Shorts will likely gradually adjust collateral as the option’s delta (moneyness) changes – e.g., as a call goes OTM, its intrinsic is 0 and a portion of the locked asset could be freed. We will carefully test this functionality to ensure that at no point can a short withdraw so much that even a small price move leaves the position uncollateralized without time for liquidation. The combination of conservative withdrawal limits and prompt liquidation should protect longs from shortfall losses.</w:t>
      </w:r>
    </w:p>
    <w:p>
      <w:pPr>
        <w:pStyle w:val="FirstParagraph"/>
      </w:pPr>
      <w:r>
        <w:t xml:space="preserve">We will write unit tests to simulate scenarios where the underlying price moves adversely for the short:</w:t>
      </w:r>
      <w:r>
        <w:t xml:space="preserve"> </w:t>
      </w:r>
      <w:r>
        <w:t xml:space="preserve">- The short withdraws some collateral when safe, then the price moves and triggers liquidation. We check that the long receives the correct payout (neither more nor less than intrinsic) and the liquidator gets the bonus.</w:t>
      </w:r>
      <w:r>
        <w:t xml:space="preserve"> </w:t>
      </w:r>
      <w:r>
        <w:t xml:space="preserve">- Ensure that if the short’s collateral ratio never falls below threshold,</w:t>
      </w:r>
      <w:r>
        <w:t xml:space="preserve"> </w:t>
      </w:r>
      <w:r>
        <w:rPr>
          <w:rStyle w:val="VerbatimChar"/>
        </w:rPr>
        <w:t xml:space="preserve">liquidate()</w:t>
      </w:r>
      <w:r>
        <w:t xml:space="preserve"> </w:t>
      </w:r>
      <w:r>
        <w:t xml:space="preserve">cannot be called (should revert).</w:t>
      </w:r>
      <w:r>
        <w:t xml:space="preserve"> </w:t>
      </w:r>
      <w:r>
        <w:t xml:space="preserve">- Test different reward percentages to see that liquidators profit accordingly and shorts receive any leftover if designed so.</w:t>
      </w:r>
    </w:p>
    <w:p>
      <w:pPr>
        <w:pStyle w:val="BodyText"/>
      </w:pPr>
      <w:r>
        <w:t xml:space="preserve">By incorporating a robust liquidation mechanism, we mirror the design of proven DeFi protocols (Maker, Aave, etc.) where</w:t>
      </w:r>
      <w:r>
        <w:t xml:space="preserve"> </w:t>
      </w:r>
      <w:r>
        <w:rPr>
          <w:b/>
          <w:bCs/>
        </w:rPr>
        <w:t xml:space="preserve">anyone can liquidate an unsafe position and earn a fee</w:t>
      </w:r>
      <w:hyperlink r:id="rId33">
        <w:r>
          <w:rPr>
            <w:rStyle w:val="Hyperlink"/>
          </w:rPr>
          <w:t xml:space="preserve">[10]</w:t>
        </w:r>
      </w:hyperlink>
      <w:r>
        <w:t xml:space="preserve">, thereby safeguarding the protocol from default.</w:t>
      </w:r>
    </w:p>
    <w:bookmarkEnd w:id="37"/>
    <w:bookmarkStart w:id="40" w:name="oracle-integration-and-pricing-feeds"/>
    <w:p>
      <w:pPr>
        <w:pStyle w:val="Heading2"/>
      </w:pPr>
      <w:r>
        <w:t xml:space="preserve">6. Oracle Integration and Pricing Feeds</w:t>
      </w:r>
    </w:p>
    <w:p>
      <w:pPr>
        <w:pStyle w:val="FirstParagraph"/>
      </w:pPr>
      <w:r>
        <w:t xml:space="preserve">Accurate and reliable pricing is critical for this protocol – it affects funding calculations, exercise decisions, and liquidation triggers. We will integrate</w:t>
      </w:r>
      <w:r>
        <w:t xml:space="preserve"> </w:t>
      </w:r>
      <w:r>
        <w:rPr>
          <w:b/>
          <w:bCs/>
        </w:rPr>
        <w:t xml:space="preserve">Chainlink price feeds</w:t>
      </w:r>
      <w:r>
        <w:t xml:space="preserve"> </w:t>
      </w:r>
      <w:r>
        <w:t xml:space="preserve">on Base for real-time data, and have a fallback mechanism:</w:t>
      </w:r>
    </w:p>
    <w:p>
      <w:pPr>
        <w:numPr>
          <w:ilvl w:val="0"/>
          <w:numId w:val="1006"/>
        </w:numPr>
      </w:pPr>
      <w:r>
        <w:rPr>
          <w:b/>
          <w:bCs/>
        </w:rPr>
        <w:t xml:space="preserve">Underlying price feed:</w:t>
      </w:r>
      <w:r>
        <w:t xml:space="preserve"> </w:t>
      </w:r>
      <w:r>
        <w:t xml:space="preserve">The primary oracle input is the</w:t>
      </w:r>
      <w:r>
        <w:t xml:space="preserve"> </w:t>
      </w:r>
      <w:r>
        <w:rPr>
          <w:b/>
          <w:bCs/>
        </w:rPr>
        <w:t xml:space="preserve">spot price of the underlying asset</w:t>
      </w:r>
      <w:r>
        <w:t xml:space="preserve"> </w:t>
      </w:r>
      <w:r>
        <w:t xml:space="preserve">(e.g. ETH/USD price for WETH). We will use Chainlink Data Feeds, which aggregate prices from many sources and are secured by a decentralized network of nodes</w:t>
      </w:r>
      <w:hyperlink r:id="rId28">
        <w:r>
          <w:rPr>
            <w:rStyle w:val="Hyperlink"/>
          </w:rPr>
          <w:t xml:space="preserve">[8]</w:t>
        </w:r>
      </w:hyperlink>
      <w:r>
        <w:t xml:space="preserve">. Chainlink is available on Base, and we can fetch the latest price by calling the aggregator contract (e.g. ETH/USD feed address). The OptionManager and FundingOracle will use this for computing intrinsic values and mark prices. If Chainlink is temporarily unavailable or the update is stale (older than X minutes as per RiskParams), our FundingOracle can fallback to a TWAP (time-weighted average price) from a decentralized exchange on Base (such as Uniswap v3 if available). This ensures continuity of service in edge cases, though Chainlink is expected to be the default given its reliability.</w:t>
      </w:r>
    </w:p>
    <w:p>
      <w:pPr>
        <w:numPr>
          <w:ilvl w:val="0"/>
          <w:numId w:val="1006"/>
        </w:numPr>
      </w:pPr>
      <w:r>
        <w:rPr>
          <w:b/>
          <w:bCs/>
        </w:rPr>
        <w:t xml:space="preserve">Implied Volatility source:</w:t>
      </w:r>
      <w:r>
        <w:t xml:space="preserve"> </w:t>
      </w:r>
      <w:r>
        <w:t xml:space="preserve">To compute the option’s</w:t>
      </w:r>
      <w:r>
        <w:t xml:space="preserve"> </w:t>
      </w:r>
      <w:r>
        <w:rPr>
          <w:b/>
          <w:bCs/>
        </w:rPr>
        <w:t xml:space="preserve">mark price</w:t>
      </w:r>
      <w:r>
        <w:t xml:space="preserve">, we need an implied volatility (IV). In a simple implementation, this can be a constant configured in RiskParams (e.g. a base implied vol of 80% for ETH). A more advanced approach is to derive IV from an on-chain</w:t>
      </w:r>
      <w:r>
        <w:t xml:space="preserve"> </w:t>
      </w:r>
      <w:r>
        <w:rPr>
          <w:b/>
          <w:bCs/>
        </w:rPr>
        <w:t xml:space="preserve">AMM pricing</w:t>
      </w:r>
      <w:r>
        <w:t xml:space="preserve"> </w:t>
      </w:r>
      <w:r>
        <w:t xml:space="preserve">or an oracle of volatility. One idea is to deploy an automated market maker for these perpetual options and derive IV from its quote (similar to how protocols like Lyra determine IV from pool liquidity). Another approach is using a rolling realized volatility as a proxy. In our initial design, we will include a configurable parameter for IV per underlying or per strike, which the FundingOracle uses in the pricing formula. This can later be upgraded to an automated feed.</w:t>
      </w:r>
    </w:p>
    <w:p>
      <w:pPr>
        <w:numPr>
          <w:ilvl w:val="0"/>
          <w:numId w:val="1006"/>
        </w:numPr>
      </w:pPr>
      <w:r>
        <w:rPr>
          <w:b/>
          <w:bCs/>
        </w:rPr>
        <w:t xml:space="preserve">Mark price computation:</w:t>
      </w:r>
      <w:r>
        <w:t xml:space="preserve"> </w:t>
      </w:r>
      <w:r>
        <w:t xml:space="preserve">Given spot price (S) and IV, the FundingOracle can compute the theoretical option price. If using Black-Scholes (BS) for a call and put:</w:t>
      </w:r>
    </w:p>
    <w:p>
      <w:pPr>
        <w:pStyle w:val="Compact"/>
        <w:numPr>
          <w:ilvl w:val="0"/>
          <w:numId w:val="1006"/>
        </w:numPr>
      </w:pPr>
      <w:r>
        <w:t xml:space="preserve">Call price ≈ S * N(d1) – K * N(d2) (ignoring interest), and</w:t>
      </w:r>
    </w:p>
    <w:p>
      <w:pPr>
        <w:numPr>
          <w:ilvl w:val="0"/>
          <w:numId w:val="1006"/>
        </w:numPr>
      </w:pPr>
      <w:r>
        <w:t xml:space="preserve">Put price ≈ K * N(–d2) – S * N(–d1),</w:t>
      </w:r>
      <w:r>
        <w:t xml:space="preserve"> </w:t>
      </w:r>
      <w:r>
        <w:t xml:space="preserve">where d1, d2 are functions of S, K, IV (for a chosen time horizon)</w:t>
      </w:r>
      <w:hyperlink r:id="rId25">
        <w:r>
          <w:rPr>
            <w:rStyle w:val="Hyperlink"/>
          </w:rPr>
          <w:t xml:space="preserve">[5]</w:t>
        </w:r>
      </w:hyperlink>
      <w:r>
        <w:t xml:space="preserve">. For perpetual options, one way is to assume an exponentially decaying series of traditional options</w:t>
      </w:r>
      <w:hyperlink r:id="rId38">
        <w:r>
          <w:rPr>
            <w:rStyle w:val="Hyperlink"/>
          </w:rPr>
          <w:t xml:space="preserve">[13]</w:t>
        </w:r>
      </w:hyperlink>
      <w:r>
        <w:t xml:space="preserve">. However, a simpler approximation: treat it like a very long-dated option or use the perpetual pricing formula derived in research</w:t>
      </w:r>
      <w:hyperlink r:id="rId39">
        <w:r>
          <w:rPr>
            <w:rStyle w:val="Hyperlink"/>
          </w:rPr>
          <w:t xml:space="preserve">[14]</w:t>
        </w:r>
      </w:hyperlink>
      <w:r>
        <w:t xml:space="preserve"> </w:t>
      </w:r>
      <w:r>
        <w:t xml:space="preserve">(which often yields call and put having equal time value for same strike). We will implement a function that returns</w:t>
      </w:r>
      <w:r>
        <w:t xml:space="preserve"> </w:t>
      </w:r>
      <w:r>
        <w:rPr>
          <w:rStyle w:val="VerbatimChar"/>
        </w:rPr>
        <w:t xml:space="preserve">markPrice</w:t>
      </w:r>
      <w:r>
        <w:t xml:space="preserve"> </w:t>
      </w:r>
      <w:r>
        <w:t xml:space="preserve">for a given strike using these formulas. If that’s too heavy on-chain (BS involves exponentials and error functions for N(), which might be approximated or looked up), we could simplify by piecewise linear approximations or have the mark price fed by an off-chain process. Initially, a rough IV-based estimate is sufficient to determine funding.</w:t>
      </w:r>
    </w:p>
    <w:p>
      <w:pPr>
        <w:numPr>
          <w:ilvl w:val="0"/>
          <w:numId w:val="1006"/>
        </w:numPr>
      </w:pPr>
      <w:r>
        <w:rPr>
          <w:b/>
          <w:bCs/>
        </w:rPr>
        <w:t xml:space="preserve">Intrinsic value calculation:</w:t>
      </w:r>
      <w:r>
        <w:t xml:space="preserve"> </w:t>
      </w:r>
      <w:r>
        <w:t xml:space="preserve">This is straightforward using the Chainlink price:</w:t>
      </w:r>
      <w:r>
        <w:t xml:space="preserve"> </w:t>
      </w:r>
      <w:r>
        <w:rPr>
          <w:rStyle w:val="VerbatimChar"/>
        </w:rPr>
        <w:t xml:space="preserve">intrinsic = max(0, S – K)</w:t>
      </w:r>
      <w:r>
        <w:t xml:space="preserve"> </w:t>
      </w:r>
      <w:r>
        <w:t xml:space="preserve">for call (where K is strike in USDC, S is spot in USDC), or</w:t>
      </w:r>
      <w:r>
        <w:t xml:space="preserve"> </w:t>
      </w:r>
      <w:r>
        <w:rPr>
          <w:rStyle w:val="VerbatimChar"/>
        </w:rPr>
        <w:t xml:space="preserve">max(0, K – S)</w:t>
      </w:r>
      <w:r>
        <w:t xml:space="preserve"> </w:t>
      </w:r>
      <w:r>
        <w:t xml:space="preserve">for put. This will be computed in OptionManager for checking exercise and liquidation.</w:t>
      </w:r>
    </w:p>
    <w:p>
      <w:pPr>
        <w:numPr>
          <w:ilvl w:val="0"/>
          <w:numId w:val="1006"/>
        </w:numPr>
      </w:pPr>
      <w:r>
        <w:rPr>
          <w:b/>
          <w:bCs/>
        </w:rPr>
        <w:t xml:space="preserve">Oracle security:</w:t>
      </w:r>
      <w:r>
        <w:t xml:space="preserve"> </w:t>
      </w:r>
      <w:r>
        <w:t xml:space="preserve">We will incorporate sanity checks such as:</w:t>
      </w:r>
    </w:p>
    <w:p>
      <w:pPr>
        <w:pStyle w:val="Compact"/>
        <w:numPr>
          <w:ilvl w:val="0"/>
          <w:numId w:val="1006"/>
        </w:numPr>
      </w:pPr>
      <w:r>
        <w:t xml:space="preserve">Only use price feeds that are fresh (Chainlink provides a</w:t>
      </w:r>
      <w:r>
        <w:t xml:space="preserve"> </w:t>
      </w:r>
      <w:r>
        <w:rPr>
          <w:rStyle w:val="VerbatimChar"/>
        </w:rPr>
        <w:t xml:space="preserve">updatedAt</w:t>
      </w:r>
      <w:r>
        <w:t xml:space="preserve"> </w:t>
      </w:r>
      <w:r>
        <w:t xml:space="preserve">timestamp).</w:t>
      </w:r>
    </w:p>
    <w:p>
      <w:pPr>
        <w:pStyle w:val="Compact"/>
        <w:numPr>
          <w:ilvl w:val="0"/>
          <w:numId w:val="1006"/>
        </w:numPr>
      </w:pPr>
      <w:r>
        <w:t xml:space="preserve">Perhaps compare multiple sources (if Pyth or other oracles are available on Base, could cross-check).</w:t>
      </w:r>
    </w:p>
    <w:p>
      <w:pPr>
        <w:numPr>
          <w:ilvl w:val="0"/>
          <w:numId w:val="1006"/>
        </w:numPr>
      </w:pPr>
      <w:r>
        <w:t xml:space="preserve">In case of extreme volatility or oracle downtime, pause certain actions (the protocol could have a circuit breaker via an admin or automatic if price feed is off).</w:t>
      </w:r>
      <w:r>
        <w:t xml:space="preserve"> </w:t>
      </w:r>
      <w:r>
        <w:t xml:space="preserve">The FundingOracle contract might store the last known good price and use it if current feed is unavailable.</w:t>
      </w:r>
    </w:p>
    <w:p>
      <w:pPr>
        <w:numPr>
          <w:ilvl w:val="0"/>
          <w:numId w:val="1006"/>
        </w:numPr>
      </w:pPr>
      <w:r>
        <w:rPr>
          <w:b/>
          <w:bCs/>
        </w:rPr>
        <w:t xml:space="preserve">TWAP fallback:</w:t>
      </w:r>
      <w:r>
        <w:t xml:space="preserve"> </w:t>
      </w:r>
      <w:r>
        <w:t xml:space="preserve">If we implement a TWAP, we might integrate with a DEX like Uniswap. This requires having a pool for the asset (e.g. WETH/USDC) and using the pool’s accumulator to compute a time-weighted average. We can maintain a simple price oracle using observation snapshots for a short window (e.g. last 30 minutes) to avoid using a single possibly manipulated spot. This would primarily come into play if Chainlink stops updating or for additional confidence during liquidation (some protocols use dual oracles for safety).</w:t>
      </w:r>
    </w:p>
    <w:p>
      <w:pPr>
        <w:pStyle w:val="FirstParagraph"/>
      </w:pPr>
      <w:r>
        <w:t xml:space="preserve">By modularizing oracle access in</w:t>
      </w:r>
      <w:r>
        <w:t xml:space="preserve"> </w:t>
      </w:r>
      <w:r>
        <w:rPr>
          <w:b/>
          <w:bCs/>
        </w:rPr>
        <w:t xml:space="preserve">FundingOracle.sol</w:t>
      </w:r>
      <w:r>
        <w:t xml:space="preserve">, we keep OptionManager’s logic clean. FundingOracle can expose functions like</w:t>
      </w:r>
      <w:r>
        <w:t xml:space="preserve"> </w:t>
      </w:r>
      <w:r>
        <w:rPr>
          <w:rStyle w:val="VerbatimChar"/>
        </w:rPr>
        <w:t xml:space="preserve">currentPrice(underlying)</w:t>
      </w:r>
      <w:r>
        <w:t xml:space="preserve"> </w:t>
      </w:r>
      <w:r>
        <w:t xml:space="preserve">and</w:t>
      </w:r>
      <w:r>
        <w:t xml:space="preserve"> </w:t>
      </w:r>
      <w:r>
        <w:rPr>
          <w:rStyle w:val="VerbatimChar"/>
        </w:rPr>
        <w:t xml:space="preserve">currentMark(optionType, strike)</w:t>
      </w:r>
      <w:r>
        <w:t xml:space="preserve"> </w:t>
      </w:r>
      <w:r>
        <w:t xml:space="preserve">that internally handle all the above logic.</w:t>
      </w:r>
    </w:p>
    <w:p>
      <w:pPr>
        <w:pStyle w:val="BodyText"/>
      </w:pPr>
      <w:r>
        <w:t xml:space="preserve">In testing, we will</w:t>
      </w:r>
      <w:r>
        <w:t xml:space="preserve"> </w:t>
      </w:r>
      <w:r>
        <w:rPr>
          <w:b/>
          <w:bCs/>
        </w:rPr>
        <w:t xml:space="preserve">mock the oracle feeds</w:t>
      </w:r>
      <w:r>
        <w:t xml:space="preserve"> </w:t>
      </w:r>
      <w:r>
        <w:t xml:space="preserve">to feed in known values and ensure the rest of the system responds correctly (for example, simulate a price jump and see that funding, intrinsic, and liquidations trigger as expected). On Base, deploying and using Chainlink feeds should be straightforward (Base’s official docs provide guidance on consuming Chainlink prices in contracts</w:t>
      </w:r>
      <w:hyperlink r:id="rId28">
        <w:r>
          <w:rPr>
            <w:rStyle w:val="Hyperlink"/>
          </w:rPr>
          <w:t xml:space="preserve">[8]</w:t>
        </w:r>
      </w:hyperlink>
      <w:r>
        <w:t xml:space="preserve">).</w:t>
      </w:r>
    </w:p>
    <w:bookmarkEnd w:id="40"/>
    <w:bookmarkStart w:id="42" w:name="security-considerations-testing-plan"/>
    <w:p>
      <w:pPr>
        <w:pStyle w:val="Heading2"/>
      </w:pPr>
      <w:r>
        <w:t xml:space="preserve">7. Security Considerations &amp; Testing Plan</w:t>
      </w:r>
    </w:p>
    <w:p>
      <w:pPr>
        <w:pStyle w:val="FirstParagraph"/>
      </w:pPr>
      <w:r>
        <w:t xml:space="preserve">Building a financial protocol demands strict security practices. We will implement the following safeguards and thoroughly test each component:</w:t>
      </w:r>
    </w:p>
    <w:p>
      <w:pPr>
        <w:numPr>
          <w:ilvl w:val="0"/>
          <w:numId w:val="1007"/>
        </w:numPr>
      </w:pPr>
      <w:r>
        <w:rPr>
          <w:b/>
          <w:bCs/>
        </w:rPr>
        <w:t xml:space="preserve">Access Control:</w:t>
      </w:r>
      <w:r>
        <w:t xml:space="preserve"> </w:t>
      </w:r>
      <w:r>
        <w:t xml:space="preserve">Certain functions should be restricted. For instance, only the OptionManager (or addresses it designates) can mint or burn NFTs in the PerpetualOptionNFT contract. We will use OpenZeppelin’s Ownable or AccessControl in the vault and NFT contracts to ensure only authorized calls can reserve/release collateral. The RiskParams can be updatable only by an owner (governance multisig). Any administrative function (like pausing the contract in emergencies) will be protected.</w:t>
      </w:r>
    </w:p>
    <w:p>
      <w:pPr>
        <w:numPr>
          <w:ilvl w:val="0"/>
          <w:numId w:val="1007"/>
        </w:numPr>
      </w:pPr>
      <w:r>
        <w:rPr>
          <w:b/>
          <w:bCs/>
        </w:rPr>
        <w:t xml:space="preserve">Reentrancy Guards:</w:t>
      </w:r>
      <w:r>
        <w:t xml:space="preserve"> </w:t>
      </w:r>
      <w:r>
        <w:t xml:space="preserve">Functions that transfer tokens (ERC-20 or ERC-721) will be marked</w:t>
      </w:r>
      <w:r>
        <w:t xml:space="preserve"> </w:t>
      </w:r>
      <w:r>
        <w:rPr>
          <w:rStyle w:val="VerbatimChar"/>
        </w:rPr>
        <w:t xml:space="preserve">nonReentrant</w:t>
      </w:r>
      <w:r>
        <w:t xml:space="preserve"> </w:t>
      </w:r>
      <w:r>
        <w:t xml:space="preserve">to prevent any malicious token callback from re-entering the protocol. For example, exercise and liquidate involve external transfers; using a ReentrancyGuard (as OpenZeppelin provides) around these will mitigate reentrancy attacks</w:t>
      </w:r>
      <w:hyperlink r:id="rId33">
        <w:r>
          <w:rPr>
            <w:rStyle w:val="Hyperlink"/>
          </w:rPr>
          <w:t xml:space="preserve">[10]</w:t>
        </w:r>
      </w:hyperlink>
      <w:r>
        <w:t xml:space="preserve">.</w:t>
      </w:r>
    </w:p>
    <w:p>
      <w:pPr>
        <w:numPr>
          <w:ilvl w:val="0"/>
          <w:numId w:val="1007"/>
        </w:numPr>
      </w:pPr>
      <w:r>
        <w:rPr>
          <w:b/>
          <w:bCs/>
        </w:rPr>
        <w:t xml:space="preserve">Input Validation:</w:t>
      </w:r>
      <w:r>
        <w:t xml:space="preserve"> </w:t>
      </w:r>
      <w:r>
        <w:t xml:space="preserve">We will validate critical inputs (e.g., strike price must be positive and within some sensible range, option size &gt; 0, etc.). When pulling in price from oracles, ensure the feed answers are non-zero and within expected bounds (e.g., not drastically different from the last price unless a large market move occurred).</w:t>
      </w:r>
    </w:p>
    <w:p>
      <w:pPr>
        <w:numPr>
          <w:ilvl w:val="0"/>
          <w:numId w:val="1007"/>
        </w:numPr>
      </w:pPr>
      <w:r>
        <w:rPr>
          <w:b/>
          <w:bCs/>
        </w:rPr>
        <w:t xml:space="preserve">Collateral Safety:</w:t>
      </w:r>
      <w:r>
        <w:t xml:space="preserve"> </w:t>
      </w:r>
      <w:r>
        <w:t xml:space="preserve">The CollateralVault contracts will be simple but we must ensure no scenario where collateral can be siphoned. Since they follow ERC-4626, deposits and withdrawals are balanced by minting/burning shares</w:t>
      </w:r>
      <w:hyperlink r:id="rId24">
        <w:r>
          <w:rPr>
            <w:rStyle w:val="Hyperlink"/>
          </w:rPr>
          <w:t xml:space="preserve">[4]</w:t>
        </w:r>
      </w:hyperlink>
      <w:r>
        <w:t xml:space="preserve">. We will likely disable direct deposits/withdrawals for normal users – instead, all collateral flows are mediated by OptionManager to enforce reservation logic. The vault’s share token could even be non-transferable or internal if we want to simplify (since the vault is mostly an accounting tool in this design, not a user-facing yield vault). This prevents misuse of vault shares.</w:t>
      </w:r>
    </w:p>
    <w:p>
      <w:pPr>
        <w:numPr>
          <w:ilvl w:val="0"/>
          <w:numId w:val="1007"/>
        </w:numPr>
      </w:pPr>
      <w:r>
        <w:rPr>
          <w:b/>
          <w:bCs/>
        </w:rPr>
        <w:t xml:space="preserve">Testing each module:</w:t>
      </w:r>
      <w:r>
        <w:t xml:space="preserve"> </w:t>
      </w:r>
      <w:r>
        <w:t xml:space="preserve">We will use</w:t>
      </w:r>
      <w:r>
        <w:t xml:space="preserve"> </w:t>
      </w:r>
      <w:r>
        <w:rPr>
          <w:b/>
          <w:bCs/>
        </w:rPr>
        <w:t xml:space="preserve">Foundry</w:t>
      </w:r>
      <w:r>
        <w:t xml:space="preserve"> </w:t>
      </w:r>
      <w:r>
        <w:t xml:space="preserve">for writing and running tests (as Base developers commonly do</w:t>
      </w:r>
      <w:hyperlink r:id="rId41">
        <w:r>
          <w:rPr>
            <w:rStyle w:val="Hyperlink"/>
          </w:rPr>
          <w:t xml:space="preserve">[15]</w:t>
        </w:r>
      </w:hyperlink>
      <w:r>
        <w:t xml:space="preserve">). The testing strategy:</w:t>
      </w:r>
    </w:p>
    <w:p>
      <w:pPr>
        <w:pStyle w:val="Compact"/>
        <w:numPr>
          <w:ilvl w:val="0"/>
          <w:numId w:val="1007"/>
        </w:numPr>
      </w:pPr>
      <w:r>
        <w:rPr>
          <w:i/>
          <w:iCs/>
        </w:rPr>
        <w:t xml:space="preserve">PerpetualOptionNFT tests:</w:t>
      </w:r>
      <w:r>
        <w:t xml:space="preserve"> </w:t>
      </w:r>
      <w:r>
        <w:t xml:space="preserve">Verify that only OptionManager (when set as minter) can mint/burn. Test transferring NFTs between accounts and ensure the ownership in OptionManager’s mapping updates accordingly (if we allow transfers, we need a hook or function in OptionManager to update the short/long owner field). We may consider restricting transfers if a position with debt shouldn’t be freely transferable, but ideally it is transferable (the new holder would assume the obligation to pay funding).</w:t>
      </w:r>
    </w:p>
    <w:p>
      <w:pPr>
        <w:pStyle w:val="Compact"/>
        <w:numPr>
          <w:ilvl w:val="0"/>
          <w:numId w:val="1007"/>
        </w:numPr>
      </w:pPr>
      <w:r>
        <w:rPr>
          <w:i/>
          <w:iCs/>
        </w:rPr>
        <w:t xml:space="preserve">CollateralVault tests:</w:t>
      </w:r>
      <w:r>
        <w:t xml:space="preserve"> </w:t>
      </w:r>
      <w:r>
        <w:t xml:space="preserve">Simulate deposits and withdrawals. Ensure that when OptionManager reserves collateral, the vault correctly reduces the short’s withdrawable balance. Test edge cases like withdrawing too much (should revert). If using share tokens, test that share to asset conversion is consistent.</w:t>
      </w:r>
    </w:p>
    <w:p>
      <w:pPr>
        <w:pStyle w:val="Compact"/>
        <w:numPr>
          <w:ilvl w:val="0"/>
          <w:numId w:val="1007"/>
        </w:numPr>
      </w:pPr>
      <w:r>
        <w:rPr>
          <w:i/>
          <w:iCs/>
        </w:rPr>
        <w:t xml:space="preserve">OptionManager funding tests:</w:t>
      </w:r>
      <w:r>
        <w:t xml:space="preserve"> </w:t>
      </w:r>
      <w:r>
        <w:t xml:space="preserve">Create a dummy FundingOracle that returns known mark prices. Open a position and advance time (Foundry can manipulate</w:t>
      </w:r>
      <w:r>
        <w:t xml:space="preserve"> </w:t>
      </w:r>
      <w:r>
        <w:rPr>
          <w:rStyle w:val="VerbatimChar"/>
        </w:rPr>
        <w:t xml:space="preserve">block.timestamp</w:t>
      </w:r>
      <w:r>
        <w:t xml:space="preserve">). Call the function to accrue funding and verify that the long’s balance decreased and short’s increased by the expected amount. Repeat with different intervals and rates. Test the logic for auto-closing when long’s balance is insufficient (simulate a long not adding funds and let funding drain their margin).</w:t>
      </w:r>
    </w:p>
    <w:p>
      <w:pPr>
        <w:pStyle w:val="Compact"/>
        <w:numPr>
          <w:ilvl w:val="0"/>
          <w:numId w:val="1007"/>
        </w:numPr>
      </w:pPr>
      <w:r>
        <w:rPr>
          <w:i/>
          <w:iCs/>
        </w:rPr>
        <w:t xml:space="preserve">Exercise tests:</w:t>
      </w:r>
      <w:r>
        <w:t xml:space="preserve"> </w:t>
      </w:r>
      <w:r>
        <w:t xml:space="preserve">Set up scenarios for both calls and puts. For a call, have short deposit WETH, long tries to exercise at various prices. Ensure if spot &lt; strike, exercise is either blocked or results in no payout (perhaps we will block it). If spot &gt; strike, exercise executes: check final balances (long’s WETH = original + size, long’s USDC = original – strike</w:t>
      </w:r>
      <w:r>
        <w:rPr>
          <w:i/>
          <w:iCs/>
        </w:rPr>
        <w:t xml:space="preserve">size, short’s WETH removed, short’s USDC increased by strike</w:t>
      </w:r>
      <w:r>
        <w:t xml:space="preserve">size). Also test that funding is accounted for up to exercise time (perhaps call accrueFunding before exercise or incorporate it in exercise). Test put similarly (long must have WETH to deliver).</w:t>
      </w:r>
    </w:p>
    <w:p>
      <w:pPr>
        <w:pStyle w:val="Compact"/>
        <w:numPr>
          <w:ilvl w:val="0"/>
          <w:numId w:val="1007"/>
        </w:numPr>
      </w:pPr>
      <w:r>
        <w:rPr>
          <w:i/>
          <w:iCs/>
        </w:rPr>
        <w:t xml:space="preserve">Liquidation tests:</w:t>
      </w:r>
      <w:r>
        <w:t xml:space="preserve"> </w:t>
      </w:r>
      <w:r>
        <w:t xml:space="preserve">Simulate a short withdrawing collateral and then the price moving. We can directly manipulate the stored collateral and oracle price in tests to create an undercollateralized condition. Then call</w:t>
      </w:r>
      <w:r>
        <w:t xml:space="preserve"> </w:t>
      </w:r>
      <w:r>
        <w:rPr>
          <w:rStyle w:val="VerbatimChar"/>
        </w:rPr>
        <w:t xml:space="preserve">liquidate</w:t>
      </w:r>
      <w:r>
        <w:t xml:space="preserve"> </w:t>
      </w:r>
      <w:r>
        <w:t xml:space="preserve">from a third-party address and verify:</w:t>
      </w:r>
    </w:p>
    <w:p>
      <w:pPr>
        <w:pStyle w:val="Compact"/>
        <w:numPr>
          <w:ilvl w:val="1"/>
          <w:numId w:val="1008"/>
        </w:numPr>
      </w:pPr>
      <w:r>
        <w:t xml:space="preserve">The long receives the correct payout (intrinsic value).</w:t>
      </w:r>
    </w:p>
    <w:p>
      <w:pPr>
        <w:pStyle w:val="Compact"/>
        <w:numPr>
          <w:ilvl w:val="1"/>
          <w:numId w:val="1008"/>
        </w:numPr>
      </w:pPr>
      <w:r>
        <w:t xml:space="preserve">The liquidator receives the bonus (we can have the function return the reward or emit an event and check balances).</w:t>
      </w:r>
    </w:p>
    <w:p>
      <w:pPr>
        <w:pStyle w:val="Compact"/>
        <w:numPr>
          <w:ilvl w:val="1"/>
          <w:numId w:val="1008"/>
        </w:numPr>
      </w:pPr>
      <w:r>
        <w:t xml:space="preserve">The short’s remaining collateral is gone (they shouldn’t get it back).</w:t>
      </w:r>
    </w:p>
    <w:p>
      <w:pPr>
        <w:pStyle w:val="Compact"/>
        <w:numPr>
          <w:ilvl w:val="1"/>
          <w:numId w:val="1008"/>
        </w:numPr>
      </w:pPr>
      <w:r>
        <w:t xml:space="preserve">The position is closed (cannot be exercised afterward, NFT is burned).</w:t>
      </w:r>
    </w:p>
    <w:p>
      <w:pPr>
        <w:pStyle w:val="Compact"/>
        <w:numPr>
          <w:ilvl w:val="0"/>
          <w:numId w:val="1007"/>
        </w:numPr>
      </w:pPr>
      <w:r>
        <w:rPr>
          <w:i/>
          <w:iCs/>
        </w:rPr>
        <w:t xml:space="preserve">Oracle tests:</w:t>
      </w:r>
      <w:r>
        <w:t xml:space="preserve"> </w:t>
      </w:r>
      <w:r>
        <w:t xml:space="preserve">Mock the Chainlink feed contract to return a known price, ensure our FundingOracle picks it up. Change the price and see that funding rates adjust. Test the TWAP fallback by simulating a condition where Chainlink’s round is stale (e.g. last update too old) and then ensure the contract uses an alternate price (we might simulate this by feeding in a second price source).</w:t>
      </w:r>
    </w:p>
    <w:p>
      <w:pPr>
        <w:numPr>
          <w:ilvl w:val="0"/>
          <w:numId w:val="1007"/>
        </w:numPr>
      </w:pPr>
      <w:r>
        <w:rPr>
          <w:i/>
          <w:iCs/>
        </w:rPr>
        <w:t xml:space="preserve">General scenario tests:</w:t>
      </w:r>
      <w:r>
        <w:t xml:space="preserve"> </w:t>
      </w:r>
      <w:r>
        <w:t xml:space="preserve">Integrate the pieces in a scenario: a user opens a call, pays funding for a while, the underlying price moves significantly, perhaps triggers a partial collateral release or liquidation, or the long exercises. This end-to-end test would validate that all state changes and transfers align with expectations and no funds are unaccounted.</w:t>
      </w:r>
    </w:p>
    <w:p>
      <w:pPr>
        <w:numPr>
          <w:ilvl w:val="0"/>
          <w:numId w:val="1007"/>
        </w:numPr>
      </w:pPr>
      <w:r>
        <w:rPr>
          <w:b/>
          <w:bCs/>
        </w:rPr>
        <w:t xml:space="preserve">Optimization and audit:</w:t>
      </w:r>
      <w:r>
        <w:t xml:space="preserve"> </w:t>
      </w:r>
      <w:r>
        <w:t xml:space="preserve">We will also focus on gas optimization (without sacrificing clarity). Using events for major actions (Opened, Exercised, Liquidated, FundingPaid) will help with off-chain monitoring. Before deploying to production, a professional audit will be sought due to the complexity of an options protocol.</w:t>
      </w:r>
    </w:p>
    <w:p>
      <w:pPr>
        <w:pStyle w:val="FirstParagraph"/>
      </w:pPr>
      <w:r>
        <w:t xml:space="preserve">Finally, since Base is EVM-compatible, we can leverage many standard contracts and libraries. OpenZeppelin’s implementations (ERC-721, ERC-4626, ERC-20) will be used where possible to minimize custom code, which reduces risk</w:t>
      </w:r>
      <w:hyperlink r:id="rId22">
        <w:r>
          <w:rPr>
            <w:rStyle w:val="Hyperlink"/>
          </w:rPr>
          <w:t xml:space="preserve">[2]</w:t>
        </w:r>
      </w:hyperlink>
      <w:hyperlink r:id="rId23">
        <w:r>
          <w:rPr>
            <w:rStyle w:val="Hyperlink"/>
          </w:rPr>
          <w:t xml:space="preserve">[3]</w:t>
        </w:r>
      </w:hyperlink>
      <w:r>
        <w:t xml:space="preserve">. The logic that is custom (funding calculations, option settlement) will be kept as straightforward as possible and reviewed extensively. By building and testing in</w:t>
      </w:r>
      <w:r>
        <w:t xml:space="preserve"> </w:t>
      </w:r>
      <w:r>
        <w:rPr>
          <w:b/>
          <w:bCs/>
        </w:rPr>
        <w:t xml:space="preserve">incremental steps</w:t>
      </w:r>
      <w:r>
        <w:t xml:space="preserve">, we ensure each module works in isolation and in concert with others.</w:t>
      </w:r>
    </w:p>
    <w:bookmarkEnd w:id="42"/>
    <w:bookmarkStart w:id="43" w:name="deliverables"/>
    <w:p>
      <w:pPr>
        <w:pStyle w:val="Heading2"/>
      </w:pPr>
      <w:r>
        <w:t xml:space="preserve">8. Deliverables</w:t>
      </w:r>
    </w:p>
    <w:p>
      <w:pPr>
        <w:pStyle w:val="FirstParagraph"/>
      </w:pPr>
      <w:r>
        <w:t xml:space="preserve">By following the above plan, we will deliver the following artifacts:</w:t>
      </w:r>
    </w:p>
    <w:p>
      <w:pPr>
        <w:numPr>
          <w:ilvl w:val="0"/>
          <w:numId w:val="1009"/>
        </w:numPr>
      </w:pPr>
      <w:r>
        <w:rPr>
          <w:b/>
          <w:bCs/>
        </w:rPr>
        <w:t xml:space="preserve">Solidity Contracts:</w:t>
      </w:r>
      <w:r>
        <w:t xml:space="preserve"> </w:t>
      </w:r>
      <w:r>
        <w:t xml:space="preserve">All five core contracts (</w:t>
      </w:r>
      <w:r>
        <w:rPr>
          <w:rStyle w:val="VerbatimChar"/>
        </w:rPr>
        <w:t xml:space="preserve">PerpetualOptionNFT.sol</w:t>
      </w:r>
      <w:r>
        <w:t xml:space="preserve">,</w:t>
      </w:r>
      <w:r>
        <w:t xml:space="preserve"> </w:t>
      </w:r>
      <w:r>
        <w:rPr>
          <w:rStyle w:val="VerbatimChar"/>
        </w:rPr>
        <w:t xml:space="preserve">CollateralVault.sol</w:t>
      </w:r>
      <w:r>
        <w:t xml:space="preserve"> </w:t>
      </w:r>
      <w:r>
        <w:t xml:space="preserve">for USDC,</w:t>
      </w:r>
      <w:r>
        <w:t xml:space="preserve"> </w:t>
      </w:r>
      <w:r>
        <w:rPr>
          <w:rStyle w:val="VerbatimChar"/>
        </w:rPr>
        <w:t xml:space="preserve">CollateralVault.sol</w:t>
      </w:r>
      <w:r>
        <w:t xml:space="preserve"> </w:t>
      </w:r>
      <w:r>
        <w:t xml:space="preserve">(or a subclass) for WETH,</w:t>
      </w:r>
      <w:r>
        <w:t xml:space="preserve"> </w:t>
      </w:r>
      <w:r>
        <w:rPr>
          <w:rStyle w:val="VerbatimChar"/>
        </w:rPr>
        <w:t xml:space="preserve">OptionManager.sol</w:t>
      </w:r>
      <w:r>
        <w:t xml:space="preserve">,</w:t>
      </w:r>
      <w:r>
        <w:t xml:space="preserve"> </w:t>
      </w:r>
      <w:r>
        <w:rPr>
          <w:rStyle w:val="VerbatimChar"/>
        </w:rPr>
        <w:t xml:space="preserve">FundingOracle.sol</w:t>
      </w:r>
      <w:r>
        <w:t xml:space="preserve">, and</w:t>
      </w:r>
      <w:r>
        <w:t xml:space="preserve"> </w:t>
      </w:r>
      <w:r>
        <w:rPr>
          <w:rStyle w:val="VerbatimChar"/>
        </w:rPr>
        <w:t xml:space="preserve">RiskParams.sol</w:t>
      </w:r>
      <w:r>
        <w:t xml:space="preserve">). The code will be well-commented, using NatSpec comments to document the purpose and behavior of each function. Gas usage and error handling will be considered in implementation. Where applicable, contract methods will emit events (e.g.,</w:t>
      </w:r>
      <w:r>
        <w:t xml:space="preserve"> </w:t>
      </w:r>
      <w:r>
        <w:rPr>
          <w:rStyle w:val="VerbatimChar"/>
        </w:rPr>
        <w:t xml:space="preserve">OpenPosition</w:t>
      </w:r>
      <w:r>
        <w:t xml:space="preserve">,</w:t>
      </w:r>
      <w:r>
        <w:t xml:space="preserve"> </w:t>
      </w:r>
      <w:r>
        <w:rPr>
          <w:rStyle w:val="VerbatimChar"/>
        </w:rPr>
        <w:t xml:space="preserve">ClosePosition</w:t>
      </w:r>
      <w:r>
        <w:t xml:space="preserve">,</w:t>
      </w:r>
      <w:r>
        <w:t xml:space="preserve"> </w:t>
      </w:r>
      <w:r>
        <w:rPr>
          <w:rStyle w:val="VerbatimChar"/>
        </w:rPr>
        <w:t xml:space="preserve">Liquidation</w:t>
      </w:r>
      <w:r>
        <w:t xml:space="preserve">,</w:t>
      </w:r>
      <w:r>
        <w:t xml:space="preserve"> </w:t>
      </w:r>
      <w:r>
        <w:rPr>
          <w:rStyle w:val="VerbatimChar"/>
        </w:rPr>
        <w:t xml:space="preserve">FundingAccrued</w:t>
      </w:r>
      <w:r>
        <w:t xml:space="preserve">) to facilitate transparency.</w:t>
      </w:r>
    </w:p>
    <w:p>
      <w:pPr>
        <w:numPr>
          <w:ilvl w:val="0"/>
          <w:numId w:val="1009"/>
        </w:numPr>
      </w:pPr>
      <w:r>
        <w:rPr>
          <w:b/>
          <w:bCs/>
        </w:rPr>
        <w:t xml:space="preserve">Deployment Scripts:</w:t>
      </w:r>
      <w:r>
        <w:t xml:space="preserve"> </w:t>
      </w:r>
      <w:r>
        <w:t xml:space="preserve">Scripts (likely in Foundry as</w:t>
      </w:r>
      <w:r>
        <w:t xml:space="preserve"> </w:t>
      </w:r>
      <w:r>
        <w:rPr>
          <w:rStyle w:val="VerbatimChar"/>
        </w:rPr>
        <w:t xml:space="preserve">.s.sol</w:t>
      </w:r>
      <w:r>
        <w:t xml:space="preserve"> </w:t>
      </w:r>
      <w:r>
        <w:t xml:space="preserve">scripts or Hardhat, depending on stack) to deploy the contracts on Base. For Foundry, we’ll create a script that:</w:t>
      </w:r>
    </w:p>
    <w:p>
      <w:pPr>
        <w:pStyle w:val="Compact"/>
        <w:numPr>
          <w:ilvl w:val="0"/>
          <w:numId w:val="1009"/>
        </w:numPr>
      </w:pPr>
      <w:r>
        <w:t xml:space="preserve">Deploys the two CollateralVaults (initialized with the respective ERC20 asset addresses for USDC and WETH).</w:t>
      </w:r>
    </w:p>
    <w:p>
      <w:pPr>
        <w:pStyle w:val="Compact"/>
        <w:numPr>
          <w:ilvl w:val="0"/>
          <w:numId w:val="1009"/>
        </w:numPr>
      </w:pPr>
      <w:r>
        <w:t xml:space="preserve">Deploys the PerpetualOptionNFT contract.</w:t>
      </w:r>
    </w:p>
    <w:p>
      <w:pPr>
        <w:pStyle w:val="Compact"/>
        <w:numPr>
          <w:ilvl w:val="0"/>
          <w:numId w:val="1009"/>
        </w:numPr>
      </w:pPr>
      <w:r>
        <w:t xml:space="preserve">Deploys the RiskParams contract with initial settings.</w:t>
      </w:r>
    </w:p>
    <w:p>
      <w:pPr>
        <w:pStyle w:val="Compact"/>
        <w:numPr>
          <w:ilvl w:val="0"/>
          <w:numId w:val="1009"/>
        </w:numPr>
      </w:pPr>
      <w:r>
        <w:t xml:space="preserve">Deploys the FundingOracle, providing it the addresses of Chainlink feeds and the RiskParams (for IV, etc.).</w:t>
      </w:r>
    </w:p>
    <w:p>
      <w:pPr>
        <w:pStyle w:val="Compact"/>
        <w:numPr>
          <w:ilvl w:val="0"/>
          <w:numId w:val="1009"/>
        </w:numPr>
      </w:pPr>
      <w:r>
        <w:t xml:space="preserve">Deploys the OptionManager, giving it references to the NFT contract, both vaults, the oracle, and the risk params.</w:t>
      </w:r>
    </w:p>
    <w:p>
      <w:pPr>
        <w:numPr>
          <w:ilvl w:val="0"/>
          <w:numId w:val="1009"/>
        </w:numPr>
      </w:pPr>
      <w:r>
        <w:t xml:space="preserve">Sets the OptionManager as the minter/burner role on the NFT contract and the manager on the vaults.</w:t>
      </w:r>
      <w:r>
        <w:t xml:space="preserve"> </w:t>
      </w:r>
      <w:r>
        <w:t xml:space="preserve">These steps ensure the system is properly wired up. The script will log deployed addresses and any important post-deployment setup (like transferring ownership of contracts to a multisig or setting the admin of RiskParams).</w:t>
      </w:r>
    </w:p>
    <w:p>
      <w:pPr>
        <w:numPr>
          <w:ilvl w:val="0"/>
          <w:numId w:val="1009"/>
        </w:numPr>
      </w:pPr>
      <w:r>
        <w:rPr>
          <w:b/>
          <w:bCs/>
        </w:rPr>
        <w:t xml:space="preserve">Comprehensive Test Suite:</w:t>
      </w:r>
      <w:r>
        <w:t xml:space="preserve"> </w:t>
      </w:r>
      <w:r>
        <w:t xml:space="preserve">A suite of unit tests (using Foundry’s</w:t>
      </w:r>
      <w:r>
        <w:t xml:space="preserve"> </w:t>
      </w:r>
      <w:r>
        <w:rPr>
          <w:rStyle w:val="VerbatimChar"/>
        </w:rPr>
        <w:t xml:space="preserve">forge test</w:t>
      </w:r>
      <w:r>
        <w:t xml:space="preserve">) covering all key functionality as described in the Testing Plan. Tests will be organized by module, and also include integration tests that simulate user stories (open -&gt; pay funding -&gt; exercise, etc.). We will also include</w:t>
      </w:r>
      <w:r>
        <w:t xml:space="preserve"> </w:t>
      </w:r>
      <w:r>
        <w:rPr>
          <w:b/>
          <w:bCs/>
        </w:rPr>
        <w:t xml:space="preserve">fuzz tests</w:t>
      </w:r>
      <w:r>
        <w:t xml:space="preserve"> </w:t>
      </w:r>
      <w:r>
        <w:t xml:space="preserve">for critical math functions (e.g., funding calc, collateral checks) to ensure stability across ranges of inputs.</w:t>
      </w:r>
    </w:p>
    <w:p>
      <w:pPr>
        <w:numPr>
          <w:ilvl w:val="0"/>
          <w:numId w:val="1009"/>
        </w:numPr>
      </w:pPr>
      <w:r>
        <w:rPr>
          <w:b/>
          <w:bCs/>
        </w:rPr>
        <w:t xml:space="preserve">Optional</w:t>
      </w:r>
      <w:r>
        <w:t xml:space="preserve">: Documentation of the system (we can provide a Markdown or a docs site describing how to use the protocol, the meaning of NFT metadata fields, and developer guides for integrating with the contracts). This might include an</w:t>
      </w:r>
      <w:r>
        <w:t xml:space="preserve"> </w:t>
      </w:r>
      <w:r>
        <w:rPr>
          <w:b/>
          <w:bCs/>
        </w:rPr>
        <w:t xml:space="preserve">API or interface specification</w:t>
      </w:r>
      <w:r>
        <w:t xml:space="preserve"> </w:t>
      </w:r>
      <w:r>
        <w:t xml:space="preserve">for each contract’s external functions and events.</w:t>
      </w:r>
    </w:p>
    <w:p>
      <w:pPr>
        <w:pStyle w:val="FirstParagraph"/>
      </w:pPr>
      <w:r>
        <w:t xml:space="preserve">By providing these deliverables, the protocol can be reviewed and iterated on. The modular design means each piece can be upgraded or replaced (with care, possibly via proxy patterns or new deployments, if needed for future improvements).</w:t>
      </w:r>
    </w:p>
    <w:bookmarkEnd w:id="43"/>
    <w:bookmarkStart w:id="45" w:name="optional-extensions-and-improvements"/>
    <w:p>
      <w:pPr>
        <w:pStyle w:val="Heading2"/>
      </w:pPr>
      <w:r>
        <w:t xml:space="preserve">9. Optional Extensions and Improvements</w:t>
      </w:r>
    </w:p>
    <w:p>
      <w:pPr>
        <w:pStyle w:val="FirstParagraph"/>
      </w:pPr>
      <w:r>
        <w:t xml:space="preserve">Once the core protocol is functional and tested, we can consider several</w:t>
      </w:r>
      <w:r>
        <w:t xml:space="preserve"> </w:t>
      </w:r>
      <w:r>
        <w:rPr>
          <w:b/>
          <w:bCs/>
        </w:rPr>
        <w:t xml:space="preserve">extensions</w:t>
      </w:r>
      <w:r>
        <w:t xml:space="preserve"> </w:t>
      </w:r>
      <w:r>
        <w:t xml:space="preserve">to enhance functionality:</w:t>
      </w:r>
    </w:p>
    <w:p>
      <w:pPr>
        <w:numPr>
          <w:ilvl w:val="0"/>
          <w:numId w:val="1010"/>
        </w:numPr>
      </w:pPr>
      <w:r>
        <w:rPr>
          <w:b/>
          <w:bCs/>
        </w:rPr>
        <w:t xml:space="preserve">Floating Strike Options:</w:t>
      </w:r>
      <w:r>
        <w:t xml:space="preserve"> </w:t>
      </w:r>
      <w:r>
        <w:t xml:space="preserve">Introduce options whose strike price can move (e.g., pegged to an index or adjusted over time). This would require updating position metadata and pricing formulas. It’s an exotic feature that could allow products like moving-strike or range options.</w:t>
      </w:r>
    </w:p>
    <w:p>
      <w:pPr>
        <w:numPr>
          <w:ilvl w:val="0"/>
          <w:numId w:val="1010"/>
        </w:numPr>
      </w:pPr>
      <w:r>
        <w:rPr>
          <w:b/>
          <w:bCs/>
        </w:rPr>
        <w:t xml:space="preserve">Auto-Compounding Vault Yield:</w:t>
      </w:r>
      <w:r>
        <w:t xml:space="preserve"> </w:t>
      </w:r>
      <w:r>
        <w:t xml:space="preserve">The collateral vaults could integrate with yield strategies to earn passive income on locked collateral. For instance, USDC in the vault could be deposited into a Base-native money market to earn interest, and WETH could be staked in an ETH staking yield contract. The vault would then periodically harvest yield, increasing the shares’ value. This can offset some of the cost of funding for shorts (since their collateral earns yield). Implementing this would involve adding strategy hooks in CollateralVault or deploying an upgraded vault that inherits ERC-4626 but overrides asset management (e.g., using strategies like Yearn vaults). We’d have to ensure that assets can be quickly withdrawn from strategies when an exercise or liquidation happens (so likely only very liquid, low-risk strategies). This extension would make the protocol more capital-efficient.</w:t>
      </w:r>
    </w:p>
    <w:p>
      <w:pPr>
        <w:numPr>
          <w:ilvl w:val="0"/>
          <w:numId w:val="1010"/>
        </w:numPr>
      </w:pPr>
      <w:r>
        <w:rPr>
          <w:b/>
          <w:bCs/>
        </w:rPr>
        <w:t xml:space="preserve">NFT Metadata &amp; Frontend Integration:</w:t>
      </w:r>
      <w:r>
        <w:t xml:space="preserve"> </w:t>
      </w:r>
      <w:r>
        <w:t xml:space="preserve">We can create a rich metadata scheme for the option NFTs. This could include a JSON with attributes such as “Option Type: Call/Put”, “Strike Price”, “Underlying Asset”, “Collateral Locked”, “Current Delta”, “Time Open (days)”, “Rent Paid To Date”, etc. Dynamic fields like delta or rent can be updated by a base URI that points to an API or by using on-chain data via</w:t>
      </w:r>
      <w:r>
        <w:t xml:space="preserve"> </w:t>
      </w:r>
      <w:r>
        <w:rPr>
          <w:b/>
          <w:bCs/>
        </w:rPr>
        <w:t xml:space="preserve">ERC-721 metadata callbacks</w:t>
      </w:r>
      <w:r>
        <w:t xml:space="preserve">. This would allow NFT marketplaces or wallets to display option position details visually. For example, an NFT image could be generated showing the payoff diagram or status (ITM/OTM) of the option. While not essential to functionality, this greatly improves</w:t>
      </w:r>
      <w:r>
        <w:t xml:space="preserve"> </w:t>
      </w:r>
      <w:r>
        <w:rPr>
          <w:b/>
          <w:bCs/>
        </w:rPr>
        <w:t xml:space="preserve">UX</w:t>
      </w:r>
      <w:r>
        <w:t xml:space="preserve"> </w:t>
      </w:r>
      <w:r>
        <w:t xml:space="preserve">and transparency, helping users manage their positions. We might build a small metadata server or use a decentralized solution (like an on-chain SVG generator or Tableland for storing metadata updates).</w:t>
      </w:r>
    </w:p>
    <w:p>
      <w:pPr>
        <w:numPr>
          <w:ilvl w:val="0"/>
          <w:numId w:val="1010"/>
        </w:numPr>
      </w:pPr>
      <w:r>
        <w:rPr>
          <w:b/>
          <w:bCs/>
        </w:rPr>
        <w:t xml:space="preserve">Multiple Underlyings and Custom Assets:</w:t>
      </w:r>
      <w:r>
        <w:t xml:space="preserve"> </w:t>
      </w:r>
      <w:r>
        <w:t xml:space="preserve">The design can be extended to support multiple underlying assets (BTC, other ERC20 tokens, etc.) by deploying additional vaults and linking additional Chainlink feeds. The contracts are mostly generic, so adding a new underlying would be a matter of configuration (and possibly deploying a new instance of OptionManager or extending it to handle multiple assets via mappings keyed by underlying).</w:t>
      </w:r>
    </w:p>
    <w:p>
      <w:pPr>
        <w:numPr>
          <w:ilvl w:val="0"/>
          <w:numId w:val="1010"/>
        </w:numPr>
      </w:pPr>
      <w:r>
        <w:rPr>
          <w:b/>
          <w:bCs/>
        </w:rPr>
        <w:t xml:space="preserve">Integration with other protocols:</w:t>
      </w:r>
      <w:r>
        <w:t xml:space="preserve"> </w:t>
      </w:r>
      <w:r>
        <w:t xml:space="preserve">The NFT positions could be used as collateral elsewhere or traded in a secondary market. For instance, one could allow borrowing against these NFTs or allow them to be sold over the counter. Since each NFT represents a live option, transferring it will transfer the obligation to pay funding and the right to exercise. We’d ensure that the</w:t>
      </w:r>
      <w:r>
        <w:t xml:space="preserve"> </w:t>
      </w:r>
      <w:r>
        <w:rPr>
          <w:b/>
          <w:bCs/>
        </w:rPr>
        <w:t xml:space="preserve">transfer hook</w:t>
      </w:r>
      <w:r>
        <w:t xml:space="preserve"> </w:t>
      </w:r>
      <w:r>
        <w:t xml:space="preserve">in NFT informs OptionManager to start charging the new owner for funding. This opens possibilities like a marketplace for perpetual options (similar to how traditional options can be resold).</w:t>
      </w:r>
    </w:p>
    <w:p>
      <w:pPr>
        <w:pStyle w:val="FirstParagraph"/>
      </w:pPr>
      <w:r>
        <w:t xml:space="preserve">By tackling these extensions after the core is stable, we avoid scope creep during initial development. Each extension can be developed and tested in isolation. For example, implementing the NFT metadata API doesn’t affect the core protocol mechanics, so it can be built on top without risk. Floating strikes or other product types might require deeper changes, so those would be carefully specified in a future iteration document.</w:t>
      </w:r>
    </w:p>
    <w:p>
      <w:r>
        <w:pict>
          <v:rect style="width:0;height:1.5pt" o:hralign="center" o:hrstd="t" o:hr="t"/>
        </w:pict>
      </w:r>
    </w:p>
    <w:p>
      <w:pPr>
        <w:pStyle w:val="FirstParagraph"/>
      </w:pPr>
      <w:r>
        <w:rPr>
          <w:b/>
          <w:bCs/>
        </w:rPr>
        <w:t xml:space="preserve">In summary</w:t>
      </w:r>
      <w:r>
        <w:t xml:space="preserve">, this plan lays out a structured path to build a perpetual options protocol on Base. Starting with a solid foundation (NFT for positions, vaults for collateral, continuous funding mechanics), we incrementally add the necessary logic for pricing, exercise, and liquidation, with a strong emphasis on security and testability. By breaking the implementation into clear modules and steps, we can develop and verify each part, ensuring the final system is robust, accurate, and ready for real-world use. The end result will be a novel DeFi protocol enabling everlasting call and put options – a powerful primitive for traders and hedgers – implemented with best practices in smart contract development and with the extensibility to grow in the future</w:t>
      </w:r>
      <w:hyperlink r:id="rId44">
        <w:r>
          <w:rPr>
            <w:rStyle w:val="Hyperlink"/>
          </w:rPr>
          <w:t xml:space="preserve">[16]</w:t>
        </w:r>
      </w:hyperlink>
      <w:r>
        <w:t xml:space="preserve">.</w:t>
      </w:r>
    </w:p>
    <w:bookmarkEnd w:id="45"/>
    <w:bookmarkEnd w:id="46"/>
    <w:bookmarkEnd w:id="47"/>
    <w:p>
      <w:r>
        <w:pict>
          <v:rect style="width:0;height:1.5pt" o:hralign="center" o:hrstd="t" o:hr="t"/>
        </w:pict>
      </w:r>
    </w:p>
    <w:bookmarkStart w:id="55" w:name="citations"/>
    <w:p>
      <w:pPr>
        <w:pStyle w:val="FirstParagraph"/>
      </w:pPr>
      <w:hyperlink r:id="rId21">
        <w:r>
          <w:rPr>
            <w:rStyle w:val="Hyperlink"/>
          </w:rPr>
          <w:t xml:space="preserve">[1]</w:t>
        </w:r>
      </w:hyperlink>
      <w:r>
        <w:t xml:space="preserve"> </w:t>
      </w:r>
      <w:r>
        <w:t xml:space="preserve">Beyond 721 &amp; 1155: Revisiting the NFT Design Space</w:t>
      </w:r>
    </w:p>
    <w:p>
      <w:pPr>
        <w:pStyle w:val="BodyText"/>
      </w:pPr>
      <w:hyperlink r:id="rId48">
        <w:r>
          <w:rPr>
            <w:rStyle w:val="Hyperlink"/>
          </w:rPr>
          <w:t xml:space="preserve">https://volt.capital/blog/beyond-721-1155-revisiting-the-nft-design-space</w:t>
        </w:r>
      </w:hyperlink>
    </w:p>
    <w:p>
      <w:pPr>
        <w:pStyle w:val="BodyText"/>
      </w:pPr>
      <w:hyperlink r:id="rId22">
        <w:r>
          <w:rPr>
            <w:rStyle w:val="Hyperlink"/>
          </w:rPr>
          <w:t xml:space="preserve">[2]</w:t>
        </w:r>
      </w:hyperlink>
      <w:r>
        <w:t xml:space="preserve"> </w:t>
      </w:r>
      <w:r>
        <w:t xml:space="preserve">ERC-721 Token - Base Documentation</w:t>
      </w:r>
    </w:p>
    <w:p>
      <w:pPr>
        <w:pStyle w:val="BodyText"/>
      </w:pPr>
      <w:hyperlink r:id="rId49">
        <w:r>
          <w:rPr>
            <w:rStyle w:val="Hyperlink"/>
          </w:rPr>
          <w:t xml:space="preserve">https://docs.base.org/learn/token-development/erc-721-token/erc-721-sbs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ERC-4626 | OpenZeppelin Docs</w:t>
      </w:r>
    </w:p>
    <w:p>
      <w:pPr>
        <w:pStyle w:val="BodyText"/>
      </w:pPr>
      <w:hyperlink r:id="rId50">
        <w:r>
          <w:rPr>
            <w:rStyle w:val="Hyperlink"/>
          </w:rPr>
          <w:t xml:space="preserve">https://docs.openzeppelin.com/contracts/5.x/erc4626</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31">
        <w:r>
          <w:rPr>
            <w:rStyle w:val="Hyperlink"/>
          </w:rPr>
          <w:t xml:space="preserve">[9]</w:t>
        </w:r>
      </w:hyperlink>
      <w:r>
        <w:t xml:space="preserve"> </w:t>
      </w:r>
      <w:hyperlink r:id="rId39">
        <w:r>
          <w:rPr>
            <w:rStyle w:val="Hyperlink"/>
          </w:rPr>
          <w:t xml:space="preserve">[14]</w:t>
        </w:r>
      </w:hyperlink>
      <w:r>
        <w:t xml:space="preserve"> </w:t>
      </w:r>
      <w:hyperlink r:id="rId44">
        <w:r>
          <w:rPr>
            <w:rStyle w:val="Hyperlink"/>
          </w:rPr>
          <w:t xml:space="preserve">[16]</w:t>
        </w:r>
      </w:hyperlink>
      <w:r>
        <w:t xml:space="preserve"> </w:t>
      </w:r>
      <w:r>
        <w:t xml:space="preserve">Pricing Continuously Funded Everlasting Options | by Deri Protocol | Medium</w:t>
      </w:r>
    </w:p>
    <w:p>
      <w:pPr>
        <w:pStyle w:val="BodyText"/>
      </w:pPr>
      <w:hyperlink r:id="rId51">
        <w:r>
          <w:rPr>
            <w:rStyle w:val="Hyperlink"/>
          </w:rPr>
          <w:t xml:space="preserve">https://deri-protocol.medium.com/pricing-continuously-funded-everlasting-options-acf609a06937</w:t>
        </w:r>
      </w:hyperlink>
    </w:p>
    <w:p>
      <w:pPr>
        <w:pStyle w:val="BodyText"/>
      </w:pPr>
      <w:hyperlink r:id="rId26">
        <w:r>
          <w:rPr>
            <w:rStyle w:val="Hyperlink"/>
          </w:rPr>
          <w:t xml:space="preserve">[6]</w:t>
        </w:r>
      </w:hyperlink>
      <w:r>
        <w:t xml:space="preserve"> </w:t>
      </w:r>
      <w:hyperlink r:id="rId38">
        <w:r>
          <w:rPr>
            <w:rStyle w:val="Hyperlink"/>
          </w:rPr>
          <w:t xml:space="preserve">[13]</w:t>
        </w:r>
      </w:hyperlink>
      <w:r>
        <w:t xml:space="preserve"> </w:t>
      </w:r>
      <w:r>
        <w:t xml:space="preserve">Everlasting Options - Paradigm</w:t>
      </w:r>
    </w:p>
    <w:p>
      <w:pPr>
        <w:pStyle w:val="BodyText"/>
      </w:pPr>
      <w:hyperlink r:id="rId52">
        <w:r>
          <w:rPr>
            <w:rStyle w:val="Hyperlink"/>
          </w:rPr>
          <w:t xml:space="preserve">https://www.paradigm.xyz/2021/05/everlasting-options</w:t>
        </w:r>
      </w:hyperlink>
    </w:p>
    <w:p>
      <w:pPr>
        <w:pStyle w:val="BodyText"/>
      </w:pPr>
      <w:hyperlink r:id="rId28">
        <w:r>
          <w:rPr>
            <w:rStyle w:val="Hyperlink"/>
          </w:rPr>
          <w:t xml:space="preserve">[8]</w:t>
        </w:r>
      </w:hyperlink>
      <w:r>
        <w:t xml:space="preserve"> </w:t>
      </w:r>
      <w:hyperlink r:id="rId41">
        <w:r>
          <w:rPr>
            <w:rStyle w:val="Hyperlink"/>
          </w:rPr>
          <w:t xml:space="preserve">[15]</w:t>
        </w:r>
      </w:hyperlink>
      <w:r>
        <w:t xml:space="preserve"> </w:t>
      </w:r>
      <w:r>
        <w:t xml:space="preserve">Accessing real-world data using Chainlink Data Feeds - Base Documentation</w:t>
      </w:r>
    </w:p>
    <w:p>
      <w:pPr>
        <w:pStyle w:val="BodyText"/>
      </w:pPr>
      <w:hyperlink r:id="rId53">
        <w:r>
          <w:rPr>
            <w:rStyle w:val="Hyperlink"/>
          </w:rPr>
          <w:t xml:space="preserve">https://docs.base.org/learn/onchain-app-development/finance/access-real-world-data-chainlink</w:t>
        </w:r>
      </w:hyperlink>
    </w:p>
    <w:p>
      <w:pPr>
        <w:pStyle w:val="BodyText"/>
      </w:pPr>
      <w:hyperlink r:id="rId33">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r>
        <w:t xml:space="preserve">COTI Fixes This #4: Vault Liquidation Fee “Thefts” | by COTI | COTI | Medium</w:t>
      </w:r>
    </w:p>
    <w:p>
      <w:pPr>
        <w:pStyle w:val="BodyText"/>
      </w:pPr>
      <w:hyperlink r:id="rId54">
        <w:r>
          <w:rPr>
            <w:rStyle w:val="Hyperlink"/>
          </w:rPr>
          <w:t xml:space="preserve">https://medium.com/cotinetwork/coti-fixes-this-4-vault-liquidation-fee-thefts-6d0795523a7c</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eri-protocol.medium.com/pricing-continuously-funded-everlasting-options-acf609a06937" TargetMode="External" /><Relationship Type="http://schemas.openxmlformats.org/officeDocument/2006/relationships/hyperlink" Id="rId27" Target="https://deri-protocol.medium.com/pricing-continuously-funded-everlasting-options-acf609a06937#:~:text=Everlasting%20Options%20work%20similarly%20to,associated%20with%20specific%20funding%20periods" TargetMode="External" /><Relationship Type="http://schemas.openxmlformats.org/officeDocument/2006/relationships/hyperlink" Id="rId25" Target="https://deri-protocol.medium.com/pricing-continuously-funded-everlasting-options-acf609a06937#:~:text=Specifically%2C%20for%20everlasting%20call%20and,put%20options%2C%20we%20have" TargetMode="External" /><Relationship Type="http://schemas.openxmlformats.org/officeDocument/2006/relationships/hyperlink" Id="rId39" Target="https://deri-protocol.medium.com/pricing-continuously-funded-everlasting-options-acf609a06937#:~:text=everlasting%20options" TargetMode="External" /><Relationship Type="http://schemas.openxmlformats.org/officeDocument/2006/relationships/hyperlink" Id="rId31" Target="https://deri-protocol.medium.com/pricing-continuously-funded-everlasting-options-acf609a06937#:~:text=everlasting%20options%2C%20the%20funding%20fee,associated%20with%20specific%20funding%20periods" TargetMode="External" /><Relationship Type="http://schemas.openxmlformats.org/officeDocument/2006/relationships/hyperlink" Id="rId44" Target="https://deri-protocol.medium.com/pricing-continuously-funded-everlasting-options-acf609a06937#:~:text=hedge%2C%20to%20speculate%2C%20to%20arbitrage%2C,blocks%20of%20the%20DeFi%20infrastructure" TargetMode="External" /><Relationship Type="http://schemas.openxmlformats.org/officeDocument/2006/relationships/hyperlink" Id="rId53" Target="https://docs.base.org/learn/onchain-app-development/finance/access-real-world-data-chainlink" TargetMode="External" /><Relationship Type="http://schemas.openxmlformats.org/officeDocument/2006/relationships/hyperlink" Id="rId41" Target="https://docs.base.org/learn/onchain-app-development/finance/access-real-world-data-chainlink#:~:text=,your%20smart%20contracts%20on%20Base" TargetMode="External" /><Relationship Type="http://schemas.openxmlformats.org/officeDocument/2006/relationships/hyperlink" Id="rId28" Target="https://docs.base.org/learn/onchain-app-development/finance/access-real-world-data-chainlink#:~:text=Accurate%20price%20data%20is%20essential,prices%20and%20onchain%20smart%20contracts" TargetMode="External" /><Relationship Type="http://schemas.openxmlformats.org/officeDocument/2006/relationships/hyperlink" Id="rId49" Target="https://docs.base.org/learn/token-development/erc-721-token/erc-721-sbs" TargetMode="External" /><Relationship Type="http://schemas.openxmlformats.org/officeDocument/2006/relationships/hyperlink" Id="rId22" Target="https://docs.base.org/learn/token-development/erc-721-token/erc-721-sbs#:~:text=Conclusion" TargetMode="External" /><Relationship Type="http://schemas.openxmlformats.org/officeDocument/2006/relationships/hyperlink" Id="rId50" Target="https://docs.openzeppelin.com/contracts/5.x/erc4626" TargetMode="External" /><Relationship Type="http://schemas.openxmlformats.org/officeDocument/2006/relationships/hyperlink" Id="rId23" Target="https://docs.openzeppelin.com/contracts/5.x/erc4626#:~:text=ERC,compliant%20and%20composable%20token%20vault" TargetMode="External" /><Relationship Type="http://schemas.openxmlformats.org/officeDocument/2006/relationships/hyperlink" Id="rId24" Target="https://docs.openzeppelin.com/contracts/5.x/erc4626#:~:text=In%20exchange%20for%20the%20assets,liquidity%20held%20by%20the%20vault" TargetMode="External" /><Relationship Type="http://schemas.openxmlformats.org/officeDocument/2006/relationships/hyperlink" Id="rId54" Target="https://medium.com/cotinetwork/coti-fixes-this-4-vault-liquidation-fee-thefts-6d0795523a7c" TargetMode="External" /><Relationship Type="http://schemas.openxmlformats.org/officeDocument/2006/relationships/hyperlink" Id="rId35" Target="https://medium.com/cotinetwork/coti-fixes-this-4-vault-liquidation-fee-thefts-6d0795523a7c#:~:text=Anyone%20can%20repay%20the%20debt,lucrative%20rewards%3F%20Not%20a%20chance" TargetMode="External" /><Relationship Type="http://schemas.openxmlformats.org/officeDocument/2006/relationships/hyperlink" Id="rId33" Target="https://medium.com/cotinetwork/coti-fixes-this-4-vault-liquidation-fee-thefts-6d0795523a7c#:~:text=DeFi%20lending%20protocols%20like%20Aave,the%20protocol%20accruing%20bad%20debt" TargetMode="External" /><Relationship Type="http://schemas.openxmlformats.org/officeDocument/2006/relationships/hyperlink" Id="rId36" Target="https://medium.com/cotinetwork/coti-fixes-this-4-vault-liquidation-fee-thefts-6d0795523a7c#:~:text=the%20protocol%20accruing%20bad%20debt" TargetMode="External" /><Relationship Type="http://schemas.openxmlformats.org/officeDocument/2006/relationships/hyperlink" Id="rId48" Target="https://volt.capital/blog/beyond-721-1155-revisiting-the-nft-design-space" TargetMode="External" /><Relationship Type="http://schemas.openxmlformats.org/officeDocument/2006/relationships/hyperlink" Id="rId21" Target="https://volt.capital/blog/beyond-721-1155-revisiting-the-nft-design-space#:~:text=turns%20out%20that%20many%20financial,obvious%20use%20case%20in%20DeFi" TargetMode="External" /><Relationship Type="http://schemas.openxmlformats.org/officeDocument/2006/relationships/hyperlink" Id="rId52" Target="https://www.paradigm.xyz/2021/05/everlasting-options" TargetMode="External" /><Relationship Type="http://schemas.openxmlformats.org/officeDocument/2006/relationships/hyperlink" Id="rId38" Target="https://www.paradigm.xyz/2021/05/everlasting-options#:~:text=If%20funding%20is%20paid%20once,as%20the%20everlasting%20option%20itself" TargetMode="External" /><Relationship Type="http://schemas.openxmlformats.org/officeDocument/2006/relationships/hyperlink" Id="rId26" Target="https://www.paradigm.xyz/2021/05/everlasting-options#:~:text=Mechanism" TargetMode="External" /></Relationships>
</file>

<file path=word/_rels/footnotes.xml.rels><?xml version="1.0" encoding="UTF-8"?><Relationships xmlns="http://schemas.openxmlformats.org/package/2006/relationships"><Relationship Type="http://schemas.openxmlformats.org/officeDocument/2006/relationships/hyperlink" Id="rId51" Target="https://deri-protocol.medium.com/pricing-continuously-funded-everlasting-options-acf609a06937" TargetMode="External" /><Relationship Type="http://schemas.openxmlformats.org/officeDocument/2006/relationships/hyperlink" Id="rId27" Target="https://deri-protocol.medium.com/pricing-continuously-funded-everlasting-options-acf609a06937#:~:text=Everlasting%20Options%20work%20similarly%20to,associated%20with%20specific%20funding%20periods" TargetMode="External" /><Relationship Type="http://schemas.openxmlformats.org/officeDocument/2006/relationships/hyperlink" Id="rId25" Target="https://deri-protocol.medium.com/pricing-continuously-funded-everlasting-options-acf609a06937#:~:text=Specifically%2C%20for%20everlasting%20call%20and,put%20options%2C%20we%20have" TargetMode="External" /><Relationship Type="http://schemas.openxmlformats.org/officeDocument/2006/relationships/hyperlink" Id="rId39" Target="https://deri-protocol.medium.com/pricing-continuously-funded-everlasting-options-acf609a06937#:~:text=everlasting%20options" TargetMode="External" /><Relationship Type="http://schemas.openxmlformats.org/officeDocument/2006/relationships/hyperlink" Id="rId31" Target="https://deri-protocol.medium.com/pricing-continuously-funded-everlasting-options-acf609a06937#:~:text=everlasting%20options%2C%20the%20funding%20fee,associated%20with%20specific%20funding%20periods" TargetMode="External" /><Relationship Type="http://schemas.openxmlformats.org/officeDocument/2006/relationships/hyperlink" Id="rId44" Target="https://deri-protocol.medium.com/pricing-continuously-funded-everlasting-options-acf609a06937#:~:text=hedge%2C%20to%20speculate%2C%20to%20arbitrage%2C,blocks%20of%20the%20DeFi%20infrastructure" TargetMode="External" /><Relationship Type="http://schemas.openxmlformats.org/officeDocument/2006/relationships/hyperlink" Id="rId53" Target="https://docs.base.org/learn/onchain-app-development/finance/access-real-world-data-chainlink" TargetMode="External" /><Relationship Type="http://schemas.openxmlformats.org/officeDocument/2006/relationships/hyperlink" Id="rId41" Target="https://docs.base.org/learn/onchain-app-development/finance/access-real-world-data-chainlink#:~:text=,your%20smart%20contracts%20on%20Base" TargetMode="External" /><Relationship Type="http://schemas.openxmlformats.org/officeDocument/2006/relationships/hyperlink" Id="rId28" Target="https://docs.base.org/learn/onchain-app-development/finance/access-real-world-data-chainlink#:~:text=Accurate%20price%20data%20is%20essential,prices%20and%20onchain%20smart%20contracts" TargetMode="External" /><Relationship Type="http://schemas.openxmlformats.org/officeDocument/2006/relationships/hyperlink" Id="rId49" Target="https://docs.base.org/learn/token-development/erc-721-token/erc-721-sbs" TargetMode="External" /><Relationship Type="http://schemas.openxmlformats.org/officeDocument/2006/relationships/hyperlink" Id="rId22" Target="https://docs.base.org/learn/token-development/erc-721-token/erc-721-sbs#:~:text=Conclusion" TargetMode="External" /><Relationship Type="http://schemas.openxmlformats.org/officeDocument/2006/relationships/hyperlink" Id="rId50" Target="https://docs.openzeppelin.com/contracts/5.x/erc4626" TargetMode="External" /><Relationship Type="http://schemas.openxmlformats.org/officeDocument/2006/relationships/hyperlink" Id="rId23" Target="https://docs.openzeppelin.com/contracts/5.x/erc4626#:~:text=ERC,compliant%20and%20composable%20token%20vault" TargetMode="External" /><Relationship Type="http://schemas.openxmlformats.org/officeDocument/2006/relationships/hyperlink" Id="rId24" Target="https://docs.openzeppelin.com/contracts/5.x/erc4626#:~:text=In%20exchange%20for%20the%20assets,liquidity%20held%20by%20the%20vault" TargetMode="External" /><Relationship Type="http://schemas.openxmlformats.org/officeDocument/2006/relationships/hyperlink" Id="rId54" Target="https://medium.com/cotinetwork/coti-fixes-this-4-vault-liquidation-fee-thefts-6d0795523a7c" TargetMode="External" /><Relationship Type="http://schemas.openxmlformats.org/officeDocument/2006/relationships/hyperlink" Id="rId35" Target="https://medium.com/cotinetwork/coti-fixes-this-4-vault-liquidation-fee-thefts-6d0795523a7c#:~:text=Anyone%20can%20repay%20the%20debt,lucrative%20rewards%3F%20Not%20a%20chance" TargetMode="External" /><Relationship Type="http://schemas.openxmlformats.org/officeDocument/2006/relationships/hyperlink" Id="rId33" Target="https://medium.com/cotinetwork/coti-fixes-this-4-vault-liquidation-fee-thefts-6d0795523a7c#:~:text=DeFi%20lending%20protocols%20like%20Aave,the%20protocol%20accruing%20bad%20debt" TargetMode="External" /><Relationship Type="http://schemas.openxmlformats.org/officeDocument/2006/relationships/hyperlink" Id="rId36" Target="https://medium.com/cotinetwork/coti-fixes-this-4-vault-liquidation-fee-thefts-6d0795523a7c#:~:text=the%20protocol%20accruing%20bad%20debt" TargetMode="External" /><Relationship Type="http://schemas.openxmlformats.org/officeDocument/2006/relationships/hyperlink" Id="rId48" Target="https://volt.capital/blog/beyond-721-1155-revisiting-the-nft-design-space" TargetMode="External" /><Relationship Type="http://schemas.openxmlformats.org/officeDocument/2006/relationships/hyperlink" Id="rId21" Target="https://volt.capital/blog/beyond-721-1155-revisiting-the-nft-design-space#:~:text=turns%20out%20that%20many%20financial,obvious%20use%20case%20in%20DeFi" TargetMode="External" /><Relationship Type="http://schemas.openxmlformats.org/officeDocument/2006/relationships/hyperlink" Id="rId52" Target="https://www.paradigm.xyz/2021/05/everlasting-options" TargetMode="External" /><Relationship Type="http://schemas.openxmlformats.org/officeDocument/2006/relationships/hyperlink" Id="rId38" Target="https://www.paradigm.xyz/2021/05/everlasting-options#:~:text=If%20funding%20is%20paid%20once,as%20the%20everlasting%20option%20itself" TargetMode="External" /><Relationship Type="http://schemas.openxmlformats.org/officeDocument/2006/relationships/hyperlink" Id="rId26" Target="https://www.paradigm.xyz/2021/05/everlasting-options#:~:text=Mechani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2026-02-06T00:10:02Z</dcterms:created>
  <dcterms:modified xsi:type="dcterms:W3CDTF">2026-02-06T00:10:02Z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