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</w:pPr>
      <w:r>
        <w:t xml:space="preserve"/>
      </w:r>
    </w:p>
    <w:p>
      <w:pPr>
        <w:spacing w:after="480" w:before="0"/>
        <w:jc w:val="center"/>
      </w:pPr>
      <w:r>
        <w:rPr>
          <w:rFonts w:ascii="Arial" w:cs="Arial" w:eastAsia="Arial" w:hAnsi="Arial"/>
          <w:b/>
          <w:bCs/>
          <w:color w:val="1A237E"/>
          <w:sz w:val="64"/>
          <w:szCs w:val="64"/>
        </w:rPr>
        <w:t xml:space="preserve">GharSetu — Solution Overview</w:t>
      </w:r>
    </w:p>
    <w:p>
      <w:pPr>
        <w:pBdr>
          <w:bottom w:val="single" w:color="FF6F00" w:sz="16" w:space="1"/>
        </w:pBdr>
        <w:spacing w:after="1200" w:before="0"/>
        <w:jc w:val="center"/>
      </w:pPr>
    </w:p>
    <w:p>
      <w:pPr>
        <w:spacing w:after="240" w:before="0"/>
        <w:jc w:val="center"/>
      </w:pPr>
      <w:r>
        <w:rPr>
          <w:rFonts w:ascii="Arial" w:cs="Arial" w:eastAsia="Arial" w:hAnsi="Arial"/>
          <w:b/>
          <w:bCs/>
          <w:i/>
          <w:iCs/>
          <w:color w:val="FF6F00"/>
          <w:spacing w:val="40"/>
          <w:sz w:val="28"/>
          <w:szCs w:val="28"/>
        </w:rPr>
        <w:t xml:space="preserve">DRAFT</w:t>
      </w:r>
    </w:p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color w:val="212121"/>
          <w:sz w:val="26"/>
          <w:szCs w:val="26"/>
        </w:rPr>
        <w:t xml:space="preserve">Date: </w:t>
      </w:r>
      <w:r>
        <w:rPr>
          <w:rFonts w:ascii="Arial" w:cs="Arial" w:eastAsia="Arial" w:hAnsi="Arial"/>
          <w:color w:val="212121"/>
          <w:sz w:val="26"/>
          <w:szCs w:val="26"/>
        </w:rPr>
        <w:t xml:space="preserve">26 May 2026</w:t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212121"/>
          <w:sz w:val="26"/>
          <w:szCs w:val="26"/>
        </w:rPr>
        <w:t xml:space="preserve">Prepared by: </w:t>
      </w:r>
      <w:r>
        <w:rPr>
          <w:rFonts w:ascii="Arial" w:cs="Arial" w:eastAsia="Arial" w:hAnsi="Arial"/>
          <w:color w:val="212121"/>
          <w:sz w:val="26"/>
          <w:szCs w:val="26"/>
        </w:rPr>
        <w:t xml:space="preserve">Aayush Kumar, Triline</w:t>
      </w:r>
    </w:p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color w:val="546E7A"/>
          <w:sz w:val="22"/>
          <w:szCs w:val="22"/>
        </w:rPr>
        <w:t xml:space="preserve">Contact: </w:t>
      </w:r>
      <w:r>
        <w:rPr>
          <w:rFonts w:ascii="Arial" w:cs="Arial" w:eastAsia="Arial" w:hAnsi="Arial"/>
          <w:color w:val="546E7A"/>
          <w:sz w:val="22"/>
          <w:szCs w:val="22"/>
        </w:rPr>
        <w:t xml:space="preserve">aayush@triline.co.in</w:t>
      </w:r>
    </w:p>
    <w:p>
      <w:pPr>
        <w:spacing w:after="0" w:before="0"/>
        <w:jc w:val="center"/>
      </w:pPr>
      <w:r>
        <w:rPr>
          <w:rFonts w:ascii="Arial" w:cs="Arial" w:eastAsia="Arial" w:hAnsi="Arial"/>
          <w:b/>
          <w:bCs/>
          <w:color w:val="212121"/>
          <w:sz w:val="26"/>
          <w:szCs w:val="26"/>
        </w:rPr>
        <w:t xml:space="preserve">Prepared for: </w:t>
      </w:r>
      <w:r>
        <w:rPr>
          <w:rFonts w:ascii="Arial" w:cs="Arial" w:eastAsia="Arial" w:hAnsi="Arial"/>
          <w:color w:val="212121"/>
          <w:sz w:val="26"/>
          <w:szCs w:val="26"/>
        </w:rPr>
        <w:t xml:space="preserve">GharSetu Operations</w:t>
      </w:r>
    </w:p>
    <w:p>
      <w:r>
        <w:br w:type="page"/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440" w:right="1080" w:bottom="1080" w:left="1080" w:header="708" w:footer="708" w:gutter="0"/>
          <w:pgNumType/>
          <w:titlePg/>
          <w:docGrid w:linePitch="360"/>
        </w:sectPr>
      </w:pPr>
    </w:p>
    <w:p>
      <w:pPr>
        <w:pBdr>
          <w:bottom w:val="single" w:color="FF6F00" w:sz="12" w:space="1"/>
        </w:pBdr>
        <w:spacing w:after="280" w:before="0"/>
      </w:pPr>
      <w:r>
        <w:rPr>
          <w:rFonts w:ascii="Arial" w:cs="Arial" w:eastAsia="Arial" w:hAnsi="Arial"/>
          <w:b/>
          <w:bCs/>
          <w:color w:val="1A237E"/>
          <w:sz w:val="40"/>
          <w:szCs w:val="40"/>
        </w:rPr>
        <w:t xml:space="preserve">Fixes in Existing Modules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7680"/>
      </w:tblGrid>
      <w:tr>
        <w:trPr>
          <w:tblHeader/>
        </w:trP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1A237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type="dxa" w:w="7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1A237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Fixes</w:t>
            </w:r>
          </w:p>
        </w:tc>
      </w:tr>
      <w:t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Users &amp; Access</w:t>
            </w:r>
          </w:p>
        </w:tc>
        <w:tc>
          <w:tcPr>
            <w:tcW w:type="dxa" w:w="7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Create User form lets Admin pick any role; only Property Manager and Maintenance Team should be selectable. Tenants must come from lease signing, not direct creation.</w:t>
            </w:r>
          </w:p>
        </w:tc>
      </w:tr>
      <w:t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Properties &amp; Units</w:t>
            </w:r>
          </w:p>
        </w:tc>
        <w:tc>
          <w:tcPr>
            <w:tcW w:type="dxa" w:w="7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Property reassignment exposed in the UI but the action never completes.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No amenities field on the property form — amenity selection cannot be recorded against a unit.</w:t>
            </w:r>
          </w:p>
        </w:tc>
      </w:tr>
      <w:t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Leases &amp; Tenants</w:t>
            </w:r>
          </w:p>
        </w:tc>
        <w:tc>
          <w:tcPr>
            <w:tcW w:type="dxa" w:w="7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Admin has no UI path to create a lease.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Lease renewal cannot add or remove tenants.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Early termination flow does not complete end-to-end (including tenant consent).</w:t>
            </w:r>
          </w:p>
        </w:tc>
      </w:tr>
      <w:t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Maintenance Requests</w:t>
            </w:r>
          </w:p>
        </w:tc>
        <w:tc>
          <w:tcPr>
            <w:tcW w:type="dxa" w:w="7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No per-request detail view — only flat summary, no history.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No role can close or reopen a request — status flow never ends.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Admin cannot reassign across properties. Maintenance Team cannot change priority.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PM-raised requests on a tenant’s unit do not appear on the tenant’s portal.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Requests can be raised against vacant units (no active-lease gate); maintenance categories not modelled, no category field on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5+ maintenance requests alert missing on the Admin dashboard — when a single lease (or a single room in shared accommodation) raises 5 or more requests in one calendar month, the Admin should see an alert on the dashboard; this is not surfaced today.</w:t>
            </w:r>
          </w:p>
        </w:tc>
      </w:tr>
      <w:t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Rent Collection</w:t>
            </w:r>
          </w:p>
        </w:tc>
        <w:tc>
          <w:tcPr>
            <w:tcW w:type="dxa" w:w="7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Admin has no UI path to record a payment.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Late fee and outstanding amount only refresh once a day — figures on screen can be a day out of date between refreshes.</w:t>
            </w:r>
          </w:p>
        </w:tc>
      </w:tr>
      <w:t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Dashboard</w:t>
            </w:r>
          </w:p>
        </w:tc>
        <w:tc>
          <w:tcPr>
            <w:tcW w:type="dxa" w:w="7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Admin and Property Manager dashboards incomplete — missing rent collection %, overdue tenant count, open maintenance by priority, and upcoming lease expirations.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Maintenance Team has no working dashboard — landing errors. Needs a daily queue (assigned tickets by priority and status).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Tenant has no dashboard — only a lease snapshot today. Needs rent status, outstanding, recent payments and active maintenance in one place.</w:t>
            </w:r>
          </w:p>
        </w:tc>
      </w:tr>
    </w:tbl>
    <w:p>
      <w:pPr>
        <w:spacing w:after="240" w:before="0"/>
      </w:pPr>
      <w:r>
        <w:t xml:space="preserve"/>
      </w:r>
    </w:p>
    <w:p>
      <w:pPr>
        <w:pBdr>
          <w:bottom w:val="single" w:color="FF6F00" w:sz="12" w:space="1"/>
        </w:pBdr>
        <w:spacing w:after="280" w:before="0"/>
      </w:pPr>
      <w:r>
        <w:rPr>
          <w:rFonts w:ascii="Arial" w:cs="Arial" w:eastAsia="Arial" w:hAnsi="Arial"/>
          <w:b/>
          <w:bCs/>
          <w:color w:val="1A237E"/>
          <w:sz w:val="40"/>
          <w:szCs w:val="40"/>
        </w:rPr>
        <w:t xml:space="preserve">New Roles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7680"/>
      </w:tblGrid>
      <w:tr>
        <w:trPr>
          <w:tblHeader/>
        </w:trP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1A237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7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1A237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capabilities</w:t>
            </w:r>
          </w:p>
        </w:tc>
      </w:tr>
      <w:t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Super Admin</w:t>
            </w:r>
          </w:p>
        </w:tc>
        <w:tc>
          <w:tcPr>
            <w:tcW w:type="dxa" w:w="7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Review and approve organization sign-up requests; on approval, provision the organization and auto-create its first Admin.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Manage the Subscription Plan catalogue (Basic / Standard / Premium) and assign or change the plan on any organization.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View, deactivate or reactivate any organization on the platform.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Cross-organization visibility — the only role that reads across organization boundaries.</w:t>
            </w:r>
          </w:p>
        </w:tc>
      </w:tr>
    </w:tbl>
    <w:p>
      <w:pPr>
        <w:spacing w:after="240" w:before="0"/>
      </w:pPr>
      <w:r>
        <w:t xml:space="preserve"/>
      </w:r>
    </w:p>
    <w:p>
      <w:pPr>
        <w:pBdr>
          <w:bottom w:val="single" w:color="FF6F00" w:sz="12" w:space="1"/>
        </w:pBdr>
        <w:spacing w:after="280" w:before="0"/>
      </w:pPr>
      <w:r>
        <w:rPr>
          <w:rFonts w:ascii="Arial" w:cs="Arial" w:eastAsia="Arial" w:hAnsi="Arial"/>
          <w:b/>
          <w:bCs/>
          <w:color w:val="1A237E"/>
          <w:sz w:val="40"/>
          <w:szCs w:val="40"/>
        </w:rPr>
        <w:t xml:space="preserve">New Features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7680"/>
      </w:tblGrid>
      <w:tr>
        <w:trPr>
          <w:tblHeader/>
        </w:trP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1A237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type="dxa" w:w="7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1A237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Features added</w:t>
            </w:r>
          </w:p>
        </w:tc>
      </w:tr>
      <w:t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Leases &amp; Tenants — Per-Room Leasing</w:t>
            </w:r>
          </w:p>
        </w:tc>
        <w:tc>
          <w:tcPr>
            <w:tcW w:type="dxa" w:w="7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37E"/>
                <w:sz w:val="22"/>
                <w:szCs w:val="22"/>
              </w:rPr>
              <w:t xml:space="preserve">Room-based leasing mode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22"/>
                <w:szCs w:val="22"/>
              </w:rPr>
              <w:t xml:space="preserve">— a property is set to Room-based at creation; each room of a unit can carry its own active lease. A 4-BHK can hold up to 4 independent leases.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37E"/>
                <w:sz w:val="22"/>
                <w:szCs w:val="22"/>
              </w:rPr>
              <w:t xml:space="preserve">Per-room rent, deposit, term, end date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22"/>
                <w:szCs w:val="22"/>
              </w:rPr>
              <w:t xml:space="preserve">— each room lease is independent of the others on the same unit.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37E"/>
                <w:sz w:val="22"/>
                <w:szCs w:val="22"/>
              </w:rPr>
              <w:t xml:space="preserve">Shared common areas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22"/>
                <w:szCs w:val="22"/>
              </w:rPr>
              <w:t xml:space="preserve">— maintenance on shared areas is visible to every room tenant; room-specific work is private to the room’s tenant.</w:t>
            </w:r>
          </w:p>
        </w:tc>
      </w:tr>
      <w:t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Users &amp; Access — Admin Impersonation</w:t>
            </w:r>
          </w:p>
        </w:tc>
        <w:tc>
          <w:tcPr>
            <w:tcW w:type="dxa" w:w="7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37E"/>
                <w:sz w:val="22"/>
                <w:szCs w:val="22"/>
              </w:rPr>
              <w:t xml:space="preserve">Login-as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22"/>
                <w:szCs w:val="22"/>
              </w:rPr>
              <w:t xml:space="preserve">— Admin can start an impersonation session as any Property Manager, Maintenance Team member or Tenant within their own Organization; the Admin can end the session at any time.</w:t>
            </w:r>
          </w:p>
        </w:tc>
      </w:tr>
      <w:t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Users &amp; Access — Task Delegation</w:t>
            </w:r>
          </w:p>
        </w:tc>
        <w:tc>
          <w:tcPr>
            <w:tcW w:type="dxa" w:w="7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37E"/>
                <w:sz w:val="22"/>
                <w:szCs w:val="22"/>
              </w:rPr>
              <w:t xml:space="preserve">Delegate from Admin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22"/>
                <w:szCs w:val="22"/>
              </w:rPr>
              <w:t xml:space="preserve">— Admin assigns specific tasks to a Property Manager or Maintenance Team member for a defined date range.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37E"/>
                <w:sz w:val="22"/>
                <w:szCs w:val="22"/>
              </w:rPr>
              <w:t xml:space="preserve">Window-bounded rights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22"/>
                <w:szCs w:val="22"/>
              </w:rPr>
              <w:t xml:space="preserve">— the delegate has the extra rights only inside the window; before or after it, normal role-scope rules apply.</w:t>
            </w:r>
          </w:p>
        </w:tc>
      </w:tr>
      <w:t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Visitor Management</w:t>
            </w:r>
          </w:p>
        </w:tc>
        <w:tc>
          <w:tcPr>
            <w:tcW w:type="dxa" w:w="7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37E"/>
                <w:sz w:val="22"/>
                <w:szCs w:val="22"/>
              </w:rPr>
              <w:t xml:space="preserve">Tenant pre-approval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22"/>
                <w:szCs w:val="22"/>
              </w:rPr>
              <w:t xml:space="preserve">— name, phone, purpose, expected date and time.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37E"/>
                <w:sz w:val="22"/>
                <w:szCs w:val="22"/>
              </w:rPr>
              <w:t xml:space="preserve">PM approval + check-in / out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22"/>
                <w:szCs w:val="22"/>
              </w:rPr>
              <w:t xml:space="preserve">— approve or deny; arrival and departure timestamped.</w:t>
            </w:r>
          </w:p>
        </w:tc>
      </w:tr>
      <w:t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Master Data Administration</w:t>
            </w:r>
          </w:p>
        </w:tc>
        <w:tc>
          <w:tcPr>
            <w:tcW w:type="dxa" w:w="7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37E"/>
                <w:sz w:val="22"/>
                <w:szCs w:val="22"/>
              </w:rPr>
              <w:t xml:space="preserve">Reference lists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22"/>
                <w:szCs w:val="22"/>
              </w:rPr>
              <w:t xml:space="preserve">— Amenities, Maintenance Categories, Payment Methods, City, State; Admin creates, edits and deactivates them from the UI.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37E"/>
                <w:sz w:val="22"/>
                <w:szCs w:val="22"/>
              </w:rPr>
              <w:t xml:space="preserve">Deactivate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22"/>
                <w:szCs w:val="22"/>
              </w:rPr>
              <w:t xml:space="preserve">— deactivated entries become unselectable on new records (deactivation is only permitted once no records reference them).</w:t>
            </w:r>
          </w:p>
        </w:tc>
      </w:tr>
      <w:t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Settings</w:t>
            </w:r>
          </w:p>
        </w:tc>
        <w:tc>
          <w:tcPr>
            <w:tcW w:type="dxa" w:w="7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37E"/>
                <w:sz w:val="22"/>
                <w:szCs w:val="22"/>
              </w:rPr>
              <w:t xml:space="preserve">Tunable values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22"/>
                <w:szCs w:val="22"/>
              </w:rPr>
              <w:t xml:space="preserve">— late-fee rate, grace period and rent-change notice window; Admin tunes them from the UI.</w:t>
            </w:r>
          </w:p>
        </w:tc>
      </w:tr>
      <w:t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Organization Management (SAAS layer)</w:t>
            </w:r>
          </w:p>
        </w:tc>
        <w:tc>
          <w:tcPr>
            <w:tcW w:type="dxa" w:w="7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37E"/>
                <w:sz w:val="22"/>
                <w:szCs w:val="22"/>
              </w:rPr>
              <w:t xml:space="preserve">Public organization sign-up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22"/>
                <w:szCs w:val="22"/>
              </w:rPr>
              <w:t xml:space="preserve">— prospects submit an organization application; the request queues for Super Admin review.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37E"/>
                <w:sz w:val="22"/>
                <w:szCs w:val="22"/>
              </w:rPr>
              <w:t xml:space="preserve">Super Admin approval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22"/>
                <w:szCs w:val="22"/>
              </w:rPr>
              <w:t xml:space="preserve">— on approval the organization is provisioned and its first Admin is auto-created.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37E"/>
                <w:sz w:val="22"/>
                <w:szCs w:val="22"/>
              </w:rPr>
              <w:t xml:space="preserve">Subscription plans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22"/>
                <w:szCs w:val="22"/>
              </w:rPr>
              <w:t xml:space="preserve">— Basic / Standard / Premium catalogue managed by Super Admin; the plan caps active users.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37E"/>
                <w:sz w:val="22"/>
                <w:szCs w:val="22"/>
              </w:rPr>
              <w:t xml:space="preserve">Organization lifecycle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22"/>
                <w:szCs w:val="22"/>
              </w:rPr>
              <w:t xml:space="preserve">— Super Admin can view, deactivate or change the plan on any organization.</w:t>
            </w:r>
          </w:p>
        </w:tc>
      </w:tr>
    </w:tbl>
    <w:p>
      <w:pPr>
        <w:spacing w:after="240" w:before="0"/>
      </w:pPr>
      <w:r>
        <w:t xml:space="preserve"/>
      </w:r>
    </w:p>
    <w:p>
      <w:pPr>
        <w:pBdr>
          <w:bottom w:val="single" w:color="FF6F00" w:sz="12" w:space="1"/>
        </w:pBdr>
        <w:spacing w:after="280" w:before="0"/>
      </w:pPr>
      <w:r>
        <w:rPr>
          <w:rFonts w:ascii="Arial" w:cs="Arial" w:eastAsia="Arial" w:hAnsi="Arial"/>
          <w:b/>
          <w:bCs/>
          <w:color w:val="1A237E"/>
          <w:sz w:val="40"/>
          <w:szCs w:val="40"/>
        </w:rPr>
        <w:t xml:space="preserve">Business Rules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Leasing mode (Unit-based or Room-based) locks once any active lease exists on a property; switching requires terminating all active leases first.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Shared (whole-unit) maintenance requests are visible to every room tenant on the unit, the Property Manager and the Maintenance Team. Room-specific requests are visible to that room’s tenant, the Property Manager and the Maintenance Team only.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Amenities, Maintenance Categories and Payment Methods are sourced from Master Data (Admin-managed). Forms read the active list from Master Data at the time of selection; values are no longer hardcoded anywhere in the system.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Master Data entries that are in use on active records cannot be deactivated until they are no longer referenced.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Every user belongs to exactly one Organization, with the sole exception of the Super Admin. The Super Admin is a platform-level role and sits above all organizations. No other role — including Admin — can read or write outside its own Organization; the platform enforces this on every request.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Each Organization has exactly one Subscription Plan (Basic / Standard / Premium). The plan caps active users; the Super Admin can change an Organization’s plan at any time, and the new cap applies immediately to subsequent user additions.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During an Admin impersonation session, every action is recorded against the Admin in the audit log — never the impersonated user. The Admin cannot impersonate the Super Admin, and cannot impersonate users outside their own Organization.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A delegated task runs under the delegate (Property Manager or Maintenance Team) inside the Admin-defined date range. Actions during the delegation window are recorded against the delegate, not the Admin. Outside the window the delegate has no extra rights.</w:t>
      </w:r>
    </w:p>
    <w:p>
      <w:pPr>
        <w:spacing w:after="240" w:before="0"/>
      </w:pPr>
      <w:r>
        <w:t xml:space="preserve"/>
      </w:r>
    </w:p>
    <w:p>
      <w:pPr>
        <w:pBdr>
          <w:bottom w:val="single" w:color="FF6F00" w:sz="12" w:space="1"/>
        </w:pBdr>
        <w:spacing w:after="280" w:before="0"/>
      </w:pPr>
      <w:r>
        <w:rPr>
          <w:rFonts w:ascii="Arial" w:cs="Arial" w:eastAsia="Arial" w:hAnsi="Arial"/>
          <w:b/>
          <w:bCs/>
          <w:color w:val="1A237E"/>
          <w:sz w:val="40"/>
          <w:szCs w:val="40"/>
        </w:rPr>
        <w:t xml:space="preserve">Details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FF6F00"/>
          <w:spacing w:val="20"/>
          <w:sz w:val="20"/>
          <w:szCs w:val="20"/>
        </w:rPr>
        <w:t xml:space="preserve">SUBSCRIPTION PLANS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3000"/>
        <w:gridCol w:w="4680"/>
      </w:tblGrid>
      <w:tr>
        <w:trPr>
          <w:tblHeader/>
        </w:trP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1A237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Plan</w:t>
            </w:r>
          </w:p>
        </w:tc>
        <w:tc>
          <w:tcPr>
            <w:tcW w:type="dxa" w:w="30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1A237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Active-user cap</w:t>
            </w:r>
          </w:p>
        </w:tc>
        <w:tc>
          <w:tcPr>
            <w:tcW w:type="dxa" w:w="4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1A237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Scope</w:t>
            </w:r>
          </w:p>
        </w:tc>
      </w:tr>
      <w:t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Basic</w:t>
            </w:r>
          </w:p>
        </w:tc>
        <w:tc>
          <w:tcPr>
            <w:tcW w:type="dxa" w:w="30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5 users</w:t>
            </w:r>
          </w:p>
        </w:tc>
        <w:tc>
          <w:tcPr>
            <w:tcW w:type="dxa" w:w="4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Limited features</w:t>
            </w:r>
          </w:p>
        </w:tc>
      </w:tr>
      <w:t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Standard</w:t>
            </w:r>
          </w:p>
        </w:tc>
        <w:tc>
          <w:tcPr>
            <w:tcW w:type="dxa" w:w="30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20 users</w:t>
            </w:r>
          </w:p>
        </w:tc>
        <w:tc>
          <w:tcPr>
            <w:tcW w:type="dxa" w:w="4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Core features</w:t>
            </w:r>
          </w:p>
        </w:tc>
      </w:tr>
      <w:t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Premium</w:t>
            </w:r>
          </w:p>
        </w:tc>
        <w:tc>
          <w:tcPr>
            <w:tcW w:type="dxa" w:w="30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Unlimited</w:t>
            </w:r>
          </w:p>
        </w:tc>
        <w:tc>
          <w:tcPr>
            <w:tcW w:type="dxa" w:w="4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All features</w:t>
            </w:r>
          </w:p>
        </w:tc>
      </w:tr>
    </w:tbl>
    <w:p>
      <w:pPr>
        <w:spacing w:after="200" w:before="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FF6F00"/>
          <w:spacing w:val="20"/>
          <w:sz w:val="20"/>
          <w:szCs w:val="20"/>
        </w:rPr>
        <w:t xml:space="preserve">ADMIN IMPERSONATION SCOPE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1A237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Target role</w:t>
            </w:r>
          </w:p>
        </w:tc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1A237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Within own Organization</w:t>
            </w:r>
          </w:p>
        </w:tc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1A237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Cross-organization</w:t>
            </w:r>
          </w:p>
        </w:tc>
      </w:tr>
      <w:tr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Property Manager</w:t>
            </w:r>
          </w:p>
        </w:tc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✓</w:t>
            </w:r>
          </w:p>
        </w:tc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✗</w:t>
            </w:r>
          </w:p>
        </w:tc>
      </w:tr>
      <w:tr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Maintenance Team</w:t>
            </w:r>
          </w:p>
        </w:tc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✓</w:t>
            </w:r>
          </w:p>
        </w:tc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✗</w:t>
            </w:r>
          </w:p>
        </w:tc>
      </w:tr>
      <w:tr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Tenant</w:t>
            </w:r>
          </w:p>
        </w:tc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✓</w:t>
            </w:r>
          </w:p>
        </w:tc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✗</w:t>
            </w:r>
          </w:p>
        </w:tc>
      </w:tr>
      <w:tr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Super Admin</w:t>
            </w:r>
          </w:p>
        </w:tc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✗</w:t>
            </w:r>
          </w:p>
        </w:tc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✗</w:t>
            </w:r>
          </w:p>
        </w:tc>
      </w:tr>
    </w:tbl>
    <w:p>
      <w:pPr>
        <w:spacing w:after="200" w:before="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FF6F00"/>
          <w:spacing w:val="20"/>
          <w:sz w:val="20"/>
          <w:szCs w:val="20"/>
        </w:rPr>
        <w:t xml:space="preserve">ADMIN TASK DELEGATION</w:t>
      </w:r>
    </w:p>
    <w:p>
      <w:pPr>
        <w:spacing w:after="2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An Admin can delegate any action they themselves are authorised to perform, to a Property Manager or Maintenance Team member within their own Organization, for a defined date range. Outside that window the delegate has no extra rights.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FF6F00"/>
          <w:spacing w:val="20"/>
          <w:sz w:val="20"/>
          <w:szCs w:val="20"/>
        </w:rPr>
        <w:t xml:space="preserve">SETTINGS — DEFAULTS AND TUNABLE RANGES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1A237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1A237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1A237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Tunable range</w:t>
            </w:r>
          </w:p>
        </w:tc>
      </w:tr>
      <w:tr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Late-fee rate</w:t>
            </w:r>
          </w:p>
        </w:tc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2% per full week</w:t>
            </w:r>
          </w:p>
        </w:tc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0% – 10%</w:t>
            </w:r>
          </w:p>
        </w:tc>
      </w:tr>
      <w:tr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Grace period</w:t>
            </w:r>
          </w:p>
        </w:tc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5 days</w:t>
            </w:r>
          </w:p>
        </w:tc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0 – 15 days</w:t>
            </w:r>
          </w:p>
        </w:tc>
      </w:tr>
      <w:tr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Rent-change notice window</w:t>
            </w:r>
          </w:p>
        </w:tc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60 days</w:t>
            </w:r>
          </w:p>
        </w:tc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30 – 90 days</w:t>
            </w:r>
          </w:p>
        </w:tc>
      </w:tr>
    </w:tbl>
    <w:p>
      <w:pPr>
        <w:spacing w:after="240" w:before="0"/>
      </w:pPr>
      <w:r>
        <w:t xml:space="preserve"/>
      </w:r>
    </w:p>
    <w:p>
      <w:pPr>
        <w:pBdr>
          <w:bottom w:val="single" w:color="FF6F00" w:sz="12" w:space="1"/>
        </w:pBdr>
        <w:spacing w:after="280" w:before="0"/>
      </w:pPr>
      <w:r>
        <w:rPr>
          <w:rFonts w:ascii="Arial" w:cs="Arial" w:eastAsia="Arial" w:hAnsi="Arial"/>
          <w:b/>
          <w:bCs/>
          <w:color w:val="1A237E"/>
          <w:sz w:val="40"/>
          <w:szCs w:val="40"/>
        </w:rPr>
        <w:t xml:space="preserve">Assumptions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/>
          <w:bCs/>
          <w:i w:val="false"/>
          <w:iCs w:val="false"/>
          <w:color w:val="1A237E"/>
          <w:sz w:val="22"/>
          <w:szCs w:val="22"/>
        </w:rPr>
        <w:t xml:space="preserve">Data migration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— existing v1 data (users, properties, units, leases, payments, audit log) is moved into a single default Organization. Working name: </w:t>
      </w:r>
      <w:r>
        <w:rPr>
          <w:rFonts w:ascii="Arial" w:cs="Arial" w:eastAsia="Arial" w:hAnsi="Arial"/>
          <w:b/>
          <w:bCs/>
          <w:i w:val="false"/>
          <w:iCs w:val="false"/>
          <w:color w:val="212121"/>
          <w:sz w:val="22"/>
          <w:szCs w:val="22"/>
        </w:rPr>
        <w:t xml:space="preserve">GharSetu Solutions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 — final name to be confirmed before kickoff.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/>
          <w:bCs/>
          <w:i w:val="false"/>
          <w:iCs w:val="false"/>
          <w:color w:val="1A237E"/>
          <w:sz w:val="22"/>
          <w:szCs w:val="22"/>
        </w:rPr>
        <w:t xml:space="preserve">ID continuity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— existing user, property, unit, lease and payment IDs are preserved through the migration; no external integration breaks.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/>
          <w:bCs/>
          <w:i w:val="false"/>
          <w:iCs w:val="false"/>
          <w:color w:val="1A237E"/>
          <w:sz w:val="22"/>
          <w:szCs w:val="22"/>
        </w:rPr>
        <w:t xml:space="preserve">Email scope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— existing transactional emails (password reset, rent-change notification) continue working unchanged.</w:t>
      </w:r>
    </w:p>
    <w:p>
      <w:pPr>
        <w:spacing w:after="240" w:before="0"/>
      </w:pPr>
      <w:r>
        <w:t xml:space="preserve"/>
      </w:r>
    </w:p>
    <w:p>
      <w:pPr>
        <w:pBdr>
          <w:bottom w:val="single" w:color="FF6F00" w:sz="12" w:space="1"/>
        </w:pBdr>
        <w:spacing w:after="280" w:before="0"/>
      </w:pPr>
      <w:r>
        <w:rPr>
          <w:rFonts w:ascii="Arial" w:cs="Arial" w:eastAsia="Arial" w:hAnsi="Arial"/>
          <w:b/>
          <w:bCs/>
          <w:color w:val="1A237E"/>
          <w:sz w:val="40"/>
          <w:szCs w:val="40"/>
        </w:rPr>
        <w:t xml:space="preserve">Out of Scope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Custom domains and per-organization branding (logo, colours) — not available in this engagement.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Billing for Subscription Plans — manual invoicing only; no payment-gateway integration.</w:t>
      </w:r>
    </w:p>
    <w:p>
      <w:pPr>
        <w:spacing w:after="240" w:before="0"/>
      </w:pPr>
      <w:r>
        <w:t xml:space="preserve"/>
      </w:r>
    </w:p>
    <w:p>
      <w:pPr>
        <w:pBdr>
          <w:bottom w:val="single" w:color="FF6F00" w:sz="8" w:space="8"/>
        </w:pBdr>
        <w:spacing w:after="120" w:before="400"/>
        <w:jc w:val="center"/>
      </w:pPr>
      <w:r>
        <w:rPr>
          <w:rFonts w:ascii="Arial" w:cs="Arial" w:eastAsia="Arial" w:hAnsi="Arial"/>
          <w:b/>
          <w:bCs/>
          <w:color w:val="1A237E"/>
          <w:sz w:val="40"/>
          <w:szCs w:val="40"/>
        </w:rPr>
        <w:t xml:space="preserve">Next Steps</w:t>
      </w:r>
    </w:p>
    <w:p>
      <w:pPr>
        <w:spacing w:after="160" w:before="0"/>
      </w:pPr>
      <w:r>
        <w:t xml:space="preserve"/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Once the scope is confirmed, work begins. Any clarifications or copy edits may be returned with this document; scope changes will trigger a revised plan.</w:t>
      </w:r>
    </w:p>
    <w:p>
      <w:pPr>
        <w:spacing w:after="360" w:before="0"/>
      </w:pPr>
      <w:r>
        <w:t xml:space="preserve"/>
      </w:r>
    </w:p>
    <w:p>
      <w:pPr>
        <w:pBdr>
          <w:bottom w:val="single" w:color="FF6F00" w:sz="12" w:space="1"/>
        </w:pBdr>
        <w:spacing w:after="0" w:before="200"/>
        <w:jc w:val="center"/>
      </w:pPr>
    </w:p>
    <w:sectPr>
      <w:headerReference w:type="default" r:id="rId9"/>
      <w:footerReference w:type="default" r:id="rId10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46E7A"/>
        <w:sz w:val="18"/>
        <w:szCs w:val="18"/>
      </w:rPr>
      <w:t xml:space="preserve">GharSetu  —  Solution Overview  ·  Page </w:t>
    </w:r>
    <w:r>
      <w:rPr>
        <w:rFonts w:ascii="Arial" w:cs="Arial" w:eastAsia="Arial" w:hAnsi="Arial"/>
        <w:color w:val="546E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46E7A"/>
        <w:sz w:val="18"/>
        <w:szCs w:val="18"/>
      </w:rPr>
      <w:t xml:space="preserve"> of </w:t>
    </w:r>
    <w:r>
      <w:rPr>
        <w:rFonts w:ascii="Arial" w:cs="Arial" w:eastAsia="Arial" w:hAnsi="Arial"/>
        <w:color w:val="546E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  <w:lvl w:ilvl="1" w15:tentative="1">
      <w:start w:val="1"/>
      <w:numFmt w:val="bullet"/>
      <w:lvlText w:val="◦"/>
      <w:lvlJc w:val="left"/>
      <w:pPr>
        <w:ind w:left="10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121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GharSetu — Solution Overview</dc:title>
  <dc:creator>Aayush Kumar</dc:creator>
  <cp:lastModifiedBy>Un-named</cp:lastModifiedBy>
  <cp:revision>1</cp:revision>
  <dcterms:created xsi:type="dcterms:W3CDTF">2026-05-26T10:19:42.394Z</dcterms:created>
  <dcterms:modified xsi:type="dcterms:W3CDTF">2026-05-26T10:19:42.395Z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