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t xml:space="preserve"/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1A237E"/>
          <w:sz w:val="56"/>
          <w:szCs w:val="56"/>
        </w:rPr>
        <w:t xml:space="preserve">GharSetu — UI / UX Design Document</w:t>
      </w:r>
    </w:p>
    <w:p>
      <w:pPr>
        <w:pBdr>
          <w:bottom w:val="single" w:color="FF6F00" w:sz="16" w:space="1"/>
        </w:pBdr>
        <w:spacing w:after="1200" w:before="0"/>
        <w:jc w:val="center"/>
      </w:pP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i/>
          <w:iCs/>
          <w:color w:val="FF6F00"/>
          <w:spacing w:val="40"/>
          <w:sz w:val="28"/>
          <w:szCs w:val="28"/>
        </w:rPr>
        <w:t xml:space="preserve">DRAFT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Date: </w:t>
      </w:r>
      <w:r>
        <w:rPr>
          <w:rFonts w:ascii="Arial" w:cs="Arial" w:eastAsia="Arial" w:hAnsi="Arial"/>
          <w:color w:val="212121"/>
          <w:sz w:val="26"/>
          <w:szCs w:val="26"/>
        </w:rPr>
        <w:t xml:space="preserve">26 May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Prepared by: </w:t>
      </w:r>
      <w:r>
        <w:rPr>
          <w:rFonts w:ascii="Arial" w:cs="Arial" w:eastAsia="Arial" w:hAnsi="Arial"/>
          <w:color w:val="212121"/>
          <w:sz w:val="26"/>
          <w:szCs w:val="26"/>
        </w:rPr>
        <w:t xml:space="preserve">Aayush Kumar, Triline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Contact: </w:t>
      </w:r>
      <w:r>
        <w:rPr>
          <w:rFonts w:ascii="Arial" w:cs="Arial" w:eastAsia="Arial" w:hAnsi="Arial"/>
          <w:color w:val="546E7A"/>
          <w:sz w:val="22"/>
          <w:szCs w:val="22"/>
        </w:rPr>
        <w:t xml:space="preserve">aayush@triline.co.in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Prepared for: </w:t>
      </w:r>
      <w:r>
        <w:rPr>
          <w:rFonts w:ascii="Arial" w:cs="Arial" w:eastAsia="Arial" w:hAnsi="Arial"/>
          <w:color w:val="212121"/>
          <w:sz w:val="26"/>
          <w:szCs w:val="26"/>
        </w:rPr>
        <w:t xml:space="preserve">GharSetu Operations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080" w:bottom="1080" w:left="1080" w:header="708" w:footer="708" w:gutter="0"/>
          <w:pgNumType/>
          <w:titlePg/>
          <w:docGrid w:linePitch="360"/>
        </w:sectPr>
      </w:pPr>
    </w:p>
    <w:p>
      <w:pPr>
        <w:pBdr>
          <w:bottom w:val="single" w:color="FF6F00" w:sz="12" w:space="1"/>
        </w:pBdr>
        <w:spacing w:after="280" w:before="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1. Design Principles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GharSetu is a tool for an operations team to run a 120-unit Delhi rental business — and, after the SAAS layer, to host other organizations doing the same. These principles set the tone for every screen, component and interaction in the application.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Trustworthy, simple, Delhi-first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— the brand voice is calm and operational; nothing flashy. Visual weight goes to data, not chrome.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Mid-range Android is the primary target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— every screen must work on a 360 × 640 viewport with no horizontal scroll, no native browser tooltips, and no hover-only affordances.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One layout per page, no exceptions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— the layout shifts at exactly 1024 px. There is no tablet-specific or "comfortable" middle state.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Fluid from 320 px to 1440 px+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— every page renders without horizontal scroll, content cut-off or broken touch targets at any viewport width between 320 px (smallest supported mobile) and 1440 px+ (large desktop). Components transform predictably at the breakpoint per the §3 responsive-transformations table; nothing layout-shifts on resize.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Errors live below the field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— form validation messages render below the input that produced them, never as a native browser tooltip. Format is fixed: red 14 px, prefixed with the ⚠ glyph.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No hamburger menu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— navigation is always visible: sidebar above the breakpoint, bottom tab bar below it. The tab bar holds at most five items; the rest live in a MoreSheet that slides up.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Role first, scope second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— every page is owned by exactly one role. The same data may appear under different roles, but the screen, navigation, and primary actions are tailored to the role.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Three route classes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— routes are partitioned by their dependency on an organization context. (1) </w:t>
      </w: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Org-scoped routes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carry the organization slug as the first path segment (for example, /acme/dashboard, /acme/users, /acme/maintenance). The slug names which organization the user is operating inside; the role determines which variant of the page renders. (2) </w:t>
      </w: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Platform routes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(Super Admin only — cross-organization by definition) and (3) </w:t>
      </w: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Public routes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(landing, login, password reset, organization sign-up) carry no slug and behave like flat top-level paths. The prototype's per-role folder structure (prototype/admin/, prototype/pm/, …) is a design-time convenience only; the live application does not mirror it.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Locale baked in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— times in Asia/Kolkata, dates in DD/MM/YYYY, money in ₹ with Indian digit grouping. Midnight renders as 00:00 — never 24:00.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Accessibility is a floor, not a goal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— WCAG 2.1 AA contrast and keyboard navigation are non-negotiable. Every interactive element is reachable with Tab; focus rings are never removed.</w:t>
      </w:r>
    </w:p>
    <w:p>
      <w:pPr>
        <w:spacing w:after="280" w:before="0"/>
      </w:pPr>
      <w:r>
        <w:t xml:space="preserve"/>
      </w:r>
    </w:p>
    <w:p>
      <w:pPr>
        <w:pBdr>
          <w:bottom w:val="single" w:color="FF6F00" w:sz="12" w:space="1"/>
        </w:pBdr>
        <w:spacing w:after="280" w:before="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2. Design Tokens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F00"/>
          <w:spacing w:val="20"/>
          <w:sz w:val="20"/>
          <w:szCs w:val="20"/>
        </w:rPr>
        <w:t xml:space="preserve">BRAND COLORS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400"/>
        <w:gridCol w:w="1400"/>
        <w:gridCol w:w="5080"/>
      </w:tblGrid>
      <w:tr>
        <w:trPr>
          <w:tblHeader/>
        </w:trP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0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Navy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#1A237E</w:t>
            </w:r>
          </w:p>
        </w:tc>
        <w:tc>
          <w:tcPr>
            <w:tcW w:type="dxa" w:w="50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Primary brand · headings · sidebars · primary CTAs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Royal Blue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565C0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#1565C0</w:t>
            </w:r>
          </w:p>
        </w:tc>
        <w:tc>
          <w:tcPr>
            <w:tcW w:type="dxa" w:w="50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Secondary brand · sub-headings · emphasis links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Saffron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6F00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#FF6F00</w:t>
            </w:r>
          </w:p>
        </w:tc>
        <w:tc>
          <w:tcPr>
            <w:tcW w:type="dxa" w:w="50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Accent · active indicators · hairlines · highlights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Charcoal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212121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#212121</w:t>
            </w:r>
          </w:p>
        </w:tc>
        <w:tc>
          <w:tcPr>
            <w:tcW w:type="dxa" w:w="50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Body text (primary)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Slate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546E7A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#546E7A</w:t>
            </w:r>
          </w:p>
        </w:tc>
        <w:tc>
          <w:tcPr>
            <w:tcW w:type="dxa" w:w="50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Body text (secondary) · placeholders · meta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Off-white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8F9FA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#F8F9FA</w:t>
            </w:r>
          </w:p>
        </w:tc>
        <w:tc>
          <w:tcPr>
            <w:tcW w:type="dxa" w:w="50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Light gray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CEFF1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#ECEFF1</w:t>
            </w:r>
          </w:p>
        </w:tc>
        <w:tc>
          <w:tcPr>
            <w:tcW w:type="dxa" w:w="50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Section dividers · disabled fills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Mid gray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CFD8DC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#CFD8DC</w:t>
            </w:r>
          </w:p>
        </w:tc>
        <w:tc>
          <w:tcPr>
            <w:tcW w:type="dxa" w:w="50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Borders · subtle separators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F00"/>
          <w:spacing w:val="20"/>
          <w:sz w:val="20"/>
          <w:szCs w:val="20"/>
        </w:rPr>
        <w:t xml:space="preserve">STATUS PALETTE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1400"/>
        <w:gridCol w:w="1400"/>
        <w:gridCol w:w="3080"/>
      </w:tblGrid>
      <w:tr>
        <w:trPr>
          <w:tblHeader/>
        </w:trPr>
        <w:tc>
          <w:tcPr>
            <w:tcW w:type="dxa" w:w="4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group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Foreground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0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pair</w:t>
            </w:r>
          </w:p>
        </w:tc>
      </w:tr>
      <w:tr>
        <w:tc>
          <w:tcPr>
            <w:tcW w:type="dxa" w:w="4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Paid / Active / Resolved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2E7D32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30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#2E7D32  /  #E8F5E9</w:t>
            </w:r>
          </w:p>
        </w:tc>
      </w:tr>
      <w:tr>
        <w:tc>
          <w:tcPr>
            <w:tcW w:type="dxa" w:w="4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Partial / Open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57F17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8E1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30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#F57F17  /  #FFF8E1</w:t>
            </w:r>
          </w:p>
        </w:tc>
      </w:tr>
      <w:tr>
        <w:tc>
          <w:tcPr>
            <w:tcW w:type="dxa" w:w="4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Overdue / Terminated / Emergency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C62828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30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#C62828  /  #FFEBEE</w:t>
            </w:r>
          </w:p>
        </w:tc>
      </w:tr>
      <w:tr>
        <w:tc>
          <w:tcPr>
            <w:tcW w:type="dxa" w:w="4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Prepaid / In Progress / Renewed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277BD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30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#0277BD  /  #E3F2FD</w:t>
            </w:r>
          </w:p>
        </w:tc>
      </w:tr>
      <w:tr>
        <w:tc>
          <w:tcPr>
            <w:tcW w:type="dxa" w:w="4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Closed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546E7A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CEFF1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30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#546E7A  /  #ECEFF1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F00"/>
          <w:spacing w:val="20"/>
          <w:sz w:val="20"/>
          <w:szCs w:val="20"/>
        </w:rPr>
        <w:t xml:space="preserve">TYPOGRAPHY — DESKTOP AND MOBILE SIZES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400"/>
        <w:gridCol w:w="1700"/>
        <w:gridCol w:w="1500"/>
        <w:gridCol w:w="1500"/>
        <w:gridCol w:w="2180"/>
      </w:tblGrid>
      <w:tr>
        <w:trPr>
          <w:tblHeader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Family</w:t>
            </w:r>
          </w:p>
        </w:tc>
        <w:tc>
          <w:tcPr>
            <w:tcW w:type="dxa" w:w="17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</w:t>
            </w:r>
          </w:p>
        </w:tc>
        <w:tc>
          <w:tcPr>
            <w:tcW w:type="dxa" w:w="21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height</w:t>
            </w:r>
          </w:p>
        </w:tc>
      </w:tr>
      <w:t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Display / H1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Poppins</w:t>
            </w:r>
          </w:p>
        </w:tc>
        <w:tc>
          <w:tcPr>
            <w:tcW w:type="dxa" w:w="17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700 bold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40 px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28 px</w:t>
            </w:r>
          </w:p>
        </w:tc>
        <w:tc>
          <w:tcPr>
            <w:tcW w:type="dxa" w:w="21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1.3</w:t>
            </w:r>
          </w:p>
        </w:tc>
      </w:tr>
      <w:t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H2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Poppins</w:t>
            </w:r>
          </w:p>
        </w:tc>
        <w:tc>
          <w:tcPr>
            <w:tcW w:type="dxa" w:w="17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28 px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22 px</w:t>
            </w:r>
          </w:p>
        </w:tc>
        <w:tc>
          <w:tcPr>
            <w:tcW w:type="dxa" w:w="21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1.3</w:t>
            </w:r>
          </w:p>
        </w:tc>
      </w:tr>
      <w:t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H3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Poppins</w:t>
            </w:r>
          </w:p>
        </w:tc>
        <w:tc>
          <w:tcPr>
            <w:tcW w:type="dxa" w:w="17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20 px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18 px</w:t>
            </w:r>
          </w:p>
        </w:tc>
        <w:tc>
          <w:tcPr>
            <w:tcW w:type="dxa" w:w="21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1.3</w:t>
            </w:r>
          </w:p>
        </w:tc>
      </w:tr>
      <w:t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Body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Inter</w:t>
            </w:r>
          </w:p>
        </w:tc>
        <w:tc>
          <w:tcPr>
            <w:tcW w:type="dxa" w:w="17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16 px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15 px</w:t>
            </w:r>
          </w:p>
        </w:tc>
        <w:tc>
          <w:tcPr>
            <w:tcW w:type="dxa" w:w="21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1.6</w:t>
            </w:r>
          </w:p>
        </w:tc>
      </w:tr>
      <w:t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Body small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Inter</w:t>
            </w:r>
          </w:p>
        </w:tc>
        <w:tc>
          <w:tcPr>
            <w:tcW w:type="dxa" w:w="17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14 px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13 px</w:t>
            </w:r>
          </w:p>
        </w:tc>
        <w:tc>
          <w:tcPr>
            <w:tcW w:type="dxa" w:w="21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1.55</w:t>
            </w:r>
          </w:p>
        </w:tc>
      </w:tr>
      <w:t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Table / Data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Inter</w:t>
            </w:r>
          </w:p>
        </w:tc>
        <w:tc>
          <w:tcPr>
            <w:tcW w:type="dxa" w:w="17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14 px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13 px</w:t>
            </w:r>
          </w:p>
        </w:tc>
        <w:tc>
          <w:tcPr>
            <w:tcW w:type="dxa" w:w="21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Labels / Meta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Inter</w:t>
            </w:r>
          </w:p>
        </w:tc>
        <w:tc>
          <w:tcPr>
            <w:tcW w:type="dxa" w:w="17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500 medium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13 px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 px</w:t>
            </w:r>
          </w:p>
        </w:tc>
        <w:tc>
          <w:tcPr>
            <w:tcW w:type="dxa" w:w="21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1.4</w:t>
            </w:r>
          </w:p>
        </w:tc>
      </w:tr>
      <w:t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Caption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Inter</w:t>
            </w:r>
          </w:p>
        </w:tc>
        <w:tc>
          <w:tcPr>
            <w:tcW w:type="dxa" w:w="17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 px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11 px</w:t>
            </w:r>
          </w:p>
        </w:tc>
        <w:tc>
          <w:tcPr>
            <w:tcW w:type="dxa" w:w="21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1.4</w:t>
            </w:r>
          </w:p>
        </w:tc>
      </w:tr>
      <w:t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Badge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Poppins</w:t>
            </w:r>
          </w:p>
        </w:tc>
        <w:tc>
          <w:tcPr>
            <w:tcW w:type="dxa" w:w="17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 px (UPPERCASE, 0.4 px tracking)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 px</w:t>
            </w:r>
          </w:p>
        </w:tc>
        <w:tc>
          <w:tcPr>
            <w:tcW w:type="dxa" w:w="21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1.2</w:t>
            </w:r>
          </w:p>
        </w:tc>
      </w:tr>
      <w:t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Button</w:t>
            </w:r>
          </w:p>
        </w:tc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Poppins</w:t>
            </w:r>
          </w:p>
        </w:tc>
        <w:tc>
          <w:tcPr>
            <w:tcW w:type="dxa" w:w="17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15 px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14 px</w:t>
            </w:r>
          </w:p>
        </w:tc>
        <w:tc>
          <w:tcPr>
            <w:tcW w:type="dxa" w:w="21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1.2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F00"/>
          <w:spacing w:val="20"/>
          <w:sz w:val="20"/>
          <w:szCs w:val="20"/>
        </w:rPr>
        <w:t xml:space="preserve">READABILITY SETTINGS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8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Body line height</w:t>
            </w:r>
          </w:p>
        </w:tc>
        <w:tc>
          <w:tcPr>
            <w:tcW w:type="dxa" w:w="68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1.6</w:t>
            </w:r>
          </w:p>
        </w:tc>
      </w:tr>
      <w:tr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Headings line height</w:t>
            </w:r>
          </w:p>
        </w:tc>
        <w:tc>
          <w:tcPr>
            <w:tcW w:type="dxa" w:w="68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1.3</w:t>
            </w:r>
          </w:p>
        </w:tc>
      </w:tr>
      <w:tr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Table / data line height</w:t>
            </w:r>
          </w:p>
        </w:tc>
        <w:tc>
          <w:tcPr>
            <w:tcW w:type="dxa" w:w="68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Paragraph spacing</w:t>
            </w:r>
          </w:p>
        </w:tc>
        <w:tc>
          <w:tcPr>
            <w:tcW w:type="dxa" w:w="68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1.4 em between paragraphs</w:t>
            </w:r>
          </w:p>
        </w:tc>
      </w:tr>
      <w:tr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Max reading line length</w:t>
            </w:r>
          </w:p>
        </w:tc>
        <w:tc>
          <w:tcPr>
            <w:tcW w:type="dxa" w:w="68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680 px (text columns wider than this should wrap or be split)</w:t>
            </w:r>
          </w:p>
        </w:tc>
      </w:tr>
      <w:tr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Date format</w:t>
            </w:r>
          </w:p>
        </w:tc>
        <w:tc>
          <w:tcPr>
            <w:tcW w:type="dxa" w:w="68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DD/MM/YYYY everywhere</w:t>
            </w:r>
          </w:p>
        </w:tc>
      </w:tr>
      <w:tr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Time format</w:t>
            </w:r>
          </w:p>
        </w:tc>
        <w:tc>
          <w:tcPr>
            <w:tcW w:type="dxa" w:w="68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HH:mm in Asia/Kolkata (24-hour); midnight renders as 00:00 — never 24:00</w:t>
            </w:r>
          </w:p>
        </w:tc>
      </w:tr>
      <w:tr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Currency format</w:t>
            </w:r>
          </w:p>
        </w:tc>
        <w:tc>
          <w:tcPr>
            <w:tcW w:type="dxa" w:w="68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₹ prefix · Indian digit grouping (en-IN) · no decimal places for whole rupees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F00"/>
          <w:spacing w:val="20"/>
          <w:sz w:val="20"/>
          <w:szCs w:val="20"/>
        </w:rPr>
        <w:t xml:space="preserve">COLOR USAGE RULES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Saffron (#FF6F00)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— used sparingly. Only on CTA buttons, active-state indicators (sidebar accent, tabbar accent), focus outlines, and brand marks. Never as a fill behind large blocks of text.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Navy (#1A237E)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— sidebar background, page headers, dark section backgrounds, and as the heading colour for H1 / page titles.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Royal Blue (#1565C0)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— H2 headings, in-progress / prepaid status, secondary-button border and text, input focus border, emphasis links.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Slate (#546E7A)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— all body text and meta. Easier on the eye than pure black for daily long-form use.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Off-white (#F8F9FA)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— page background. Feels like paper; never use pure #FFFFFF as the page background.</w:t>
      </w:r>
    </w:p>
    <w:p>
      <w:pPr>
        <w:spacing w:after="20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F00"/>
          <w:spacing w:val="20"/>
          <w:sz w:val="20"/>
          <w:szCs w:val="20"/>
        </w:rPr>
        <w:t xml:space="preserve">SPACING SCALE (8 PX BASE)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800"/>
        <w:gridCol w:w="6480"/>
      </w:tblGrid>
      <w:tr>
        <w:trPr>
          <w:tblHeader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xs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8 px</w:t>
            </w:r>
          </w:p>
        </w:tc>
        <w:tc>
          <w:tcPr>
            <w:tcW w:type="dxa" w:w="6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Tight gaps inside dense controls (badge padding, table cell padding)</w:t>
            </w:r>
          </w:p>
        </w:tc>
      </w:tr>
      <w:t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sm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16 px</w:t>
            </w:r>
          </w:p>
        </w:tc>
        <w:tc>
          <w:tcPr>
            <w:tcW w:type="dxa" w:w="6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Default form-field gap, card inner padding</w:t>
            </w:r>
          </w:p>
        </w:tc>
      </w:tr>
      <w:t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md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24 px</w:t>
            </w:r>
          </w:p>
        </w:tc>
        <w:tc>
          <w:tcPr>
            <w:tcW w:type="dxa" w:w="6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Section block gap, card section padding</w:t>
            </w:r>
          </w:p>
        </w:tc>
      </w:tr>
      <w:t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lg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32 px</w:t>
            </w:r>
          </w:p>
        </w:tc>
        <w:tc>
          <w:tcPr>
            <w:tcW w:type="dxa" w:w="6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Top-level container padding</w:t>
            </w:r>
          </w:p>
        </w:tc>
      </w:tr>
      <w:t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xl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48 px</w:t>
            </w:r>
          </w:p>
        </w:tc>
        <w:tc>
          <w:tcPr>
            <w:tcW w:type="dxa" w:w="6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Page-level vertical rhythm</w:t>
            </w:r>
          </w:p>
        </w:tc>
      </w:tr>
      <w:t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2xl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64 px</w:t>
            </w:r>
          </w:p>
        </w:tc>
        <w:tc>
          <w:tcPr>
            <w:tcW w:type="dxa" w:w="6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Hero / banner padding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F00"/>
          <w:spacing w:val="20"/>
          <w:sz w:val="20"/>
          <w:szCs w:val="20"/>
        </w:rPr>
        <w:t xml:space="preserve">RADIUS AND SHADOW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200"/>
        <w:gridCol w:w="3680"/>
      </w:tblGrid>
      <w:tr>
        <w:trPr>
          <w:tblHeader/>
        </w:trPr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6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Radius — focus outline</w:t>
            </w:r>
          </w:p>
        </w:tc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 px</w:t>
            </w:r>
          </w:p>
        </w:tc>
        <w:tc>
          <w:tcPr>
            <w:tcW w:type="dxa" w:w="36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The 2 px saffron outline-offset focus ring</w:t>
            </w:r>
          </w:p>
        </w:tc>
      </w:tr>
      <w:tr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Radius — control</w:t>
            </w:r>
          </w:p>
        </w:tc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 px</w:t>
            </w:r>
          </w:p>
        </w:tc>
        <w:tc>
          <w:tcPr>
            <w:tcW w:type="dxa" w:w="36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Buttons, inputs, textareas, selects</w:t>
            </w:r>
          </w:p>
        </w:tc>
      </w:tr>
      <w:tr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Radius — small panel</w:t>
            </w:r>
          </w:p>
        </w:tc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8 px</w:t>
            </w:r>
          </w:p>
        </w:tc>
        <w:tc>
          <w:tcPr>
            <w:tcW w:type="dxa" w:w="36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Small panels and inline cards</w:t>
            </w:r>
          </w:p>
        </w:tc>
      </w:tr>
      <w:tr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Radius — card / modal</w:t>
            </w:r>
          </w:p>
        </w:tc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 px</w:t>
            </w:r>
          </w:p>
        </w:tc>
        <w:tc>
          <w:tcPr>
            <w:tcW w:type="dxa" w:w="36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Cards, modals, drawers, auth cards, role-icon tiles</w:t>
            </w:r>
          </w:p>
        </w:tc>
      </w:tr>
      <w:tr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Radius — circle</w:t>
            </w:r>
          </w:p>
        </w:tc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50 %</w:t>
            </w:r>
          </w:p>
        </w:tc>
        <w:tc>
          <w:tcPr>
            <w:tcW w:type="dxa" w:w="36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Avatars, status dots</w:t>
            </w:r>
          </w:p>
        </w:tc>
      </w:tr>
      <w:tr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Radius — pill</w:t>
            </w:r>
          </w:p>
        </w:tc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999 px</w:t>
            </w:r>
          </w:p>
        </w:tc>
        <w:tc>
          <w:tcPr>
            <w:tcW w:type="dxa" w:w="36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Status badges, segmented controls</w:t>
            </w:r>
          </w:p>
        </w:tc>
      </w:tr>
      <w:tr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Shadow — card (rest)</w:t>
            </w:r>
          </w:p>
        </w:tc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 2px 8px rgba(0,0,0,0.04)</w:t>
            </w:r>
          </w:p>
        </w:tc>
        <w:tc>
          <w:tcPr>
            <w:tcW w:type="dxa" w:w="36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Default card resting shadow</w:t>
            </w:r>
          </w:p>
        </w:tc>
      </w:tr>
      <w:tr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Shadow — card (hover)</w:t>
            </w:r>
          </w:p>
        </w:tc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 4px 16px rgba(0,0,0,0.08)</w:t>
            </w:r>
          </w:p>
        </w:tc>
        <w:tc>
          <w:tcPr>
            <w:tcW w:type="dxa" w:w="36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Card on hover</w:t>
            </w:r>
          </w:p>
        </w:tc>
      </w:tr>
      <w:tr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Shadow — role-card hover</w:t>
            </w:r>
          </w:p>
        </w:tc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 8px 24px rgba(0,0,0,0.12)</w:t>
            </w:r>
          </w:p>
        </w:tc>
        <w:tc>
          <w:tcPr>
            <w:tcW w:type="dxa" w:w="36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Role-tile hover (landing role picker)</w:t>
            </w:r>
          </w:p>
        </w:tc>
      </w:tr>
      <w:tr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Shadow — bottom slide-up</w:t>
            </w:r>
          </w:p>
        </w:tc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0 -8px 32px rgba(0,0,0,0.12)</w:t>
            </w:r>
          </w:p>
        </w:tc>
        <w:tc>
          <w:tcPr>
            <w:tcW w:type="dxa" w:w="36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MoreSheet, bottom drawer</w:t>
            </w:r>
          </w:p>
        </w:tc>
      </w:tr>
      <w:tr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Shadow — modal</w:t>
            </w:r>
          </w:p>
        </w:tc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 12px 40px rgba(0,0,0,0.2)</w:t>
            </w:r>
          </w:p>
        </w:tc>
        <w:tc>
          <w:tcPr>
            <w:tcW w:type="dxa" w:w="36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Modal box</w:t>
            </w:r>
          </w:p>
        </w:tc>
      </w:tr>
      <w:tr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Shadow — auth card</w:t>
            </w:r>
          </w:p>
        </w:tc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 16px 48px rgba(0,0,0,0.18)</w:t>
            </w:r>
          </w:p>
        </w:tc>
        <w:tc>
          <w:tcPr>
            <w:tcW w:type="dxa" w:w="36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Login / forgot / reset cards</w:t>
            </w:r>
          </w:p>
        </w:tc>
      </w:tr>
    </w:tbl>
    <w:p>
      <w:pPr>
        <w:spacing w:after="280" w:before="0"/>
      </w:pPr>
      <w:r>
        <w:t xml:space="preserve"/>
      </w:r>
    </w:p>
    <w:p>
      <w:pPr>
        <w:pBdr>
          <w:bottom w:val="single" w:color="FF6F00" w:sz="12" w:space="1"/>
        </w:pBdr>
        <w:spacing w:after="280" w:before="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3. Layout Foundations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F00"/>
          <w:spacing w:val="20"/>
          <w:sz w:val="20"/>
          <w:szCs w:val="20"/>
        </w:rPr>
        <w:t xml:space="preserve">BREAKPOINT CONTRACT — SINGLE SPLIT AT 1024 PX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2800"/>
        <w:gridCol w:w="5480"/>
      </w:tblGrid>
      <w:tr>
        <w:trPr>
          <w:tblHeader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5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</w:tr>
      <w:t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≥ 1024 px</w:t>
            </w:r>
          </w:p>
        </w:tc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Desktop / tablet landscape</w:t>
            </w:r>
          </w:p>
        </w:tc>
        <w:tc>
          <w:tcPr>
            <w:tcW w:type="dxa" w:w="5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Fixed 240 px Navy sidebar on the left, main content right of it, optional right rail for filters or details.</w:t>
            </w:r>
          </w:p>
        </w:tc>
      </w:tr>
      <w:t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≤ 1023 px</w:t>
            </w:r>
          </w:p>
        </w:tc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Mobile / tablet portrait</w:t>
            </w:r>
          </w:p>
        </w:tc>
        <w:tc>
          <w:tcPr>
            <w:tcW w:type="dxa" w:w="5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Sidebar collapses into a slide-in drawer (opened by a drawer button in the header). A bottom tab bar (max 5 items) is visible at all times. Items beyond 4 live in a MoreSheet that slides up from the bottom.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F00"/>
          <w:spacing w:val="20"/>
          <w:sz w:val="20"/>
          <w:szCs w:val="20"/>
        </w:rPr>
        <w:t xml:space="preserve">SIDEBAR SPECIFICATION (≥ 1024 PX)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Width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240 px (fixed)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Navy (#1A237E)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Item type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Icon (20 px) + label (15 px Poppins 600 white)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Active item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Saffron 4 px left border, slightly darker background tint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Hover item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Lighter background tint, no border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Sections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One group of items per role; group titles in 12 px UPPERCASE saffron with 0.4 px tracking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Footer area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Compact "Logged in as" block with role badge and quick-switch-to-profile link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F00"/>
          <w:spacing w:val="20"/>
          <w:sz w:val="20"/>
          <w:szCs w:val="20"/>
        </w:rPr>
        <w:t xml:space="preserve">BOTTOM TAB BAR + MORESHEET (≤ 1023 PX)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Height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64 px (excluding bottom safe area)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White with 1 px top border in mid-gray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Items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Max 5; equal width; icon (24 px) + label (12 px Poppins 600)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Active item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Navy icon + label, saffron 3 px top accent bar above the active cell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Inactive item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Slate icon + label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More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If a role has more than 4 contextual items, item 5 is "More" which opens the MoreSheet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MoreSheet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Bottom slide-up, 12 px top corners, shadow 0 -8px 32px rgba(0,0,0,0.12). Lists overflow items as 56 px tap rows. Backdrop rgba(0,0,0,0.5); tap outside or swipe down to dismiss.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F00"/>
          <w:spacing w:val="20"/>
          <w:sz w:val="20"/>
          <w:szCs w:val="20"/>
        </w:rPr>
        <w:t xml:space="preserve">RESPONSIVE TRANSFORMATIONS — HOW EVERY ELEMENT BEHAVES ACROSS THE BREAKPOINT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4140"/>
        <w:gridCol w:w="4140"/>
      </w:tblGrid>
      <w:tr>
        <w:trPr>
          <w:tblHeader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14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 (≥ 1024 px)</w:t>
            </w:r>
          </w:p>
        </w:tc>
        <w:tc>
          <w:tcPr>
            <w:tcW w:type="dxa" w:w="414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 (≤ 1023 px)</w:t>
            </w:r>
          </w:p>
        </w:tc>
      </w:tr>
      <w:t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Page chrome</w:t>
            </w:r>
          </w:p>
        </w:tc>
        <w:tc>
          <w:tcPr>
            <w:tcW w:type="dxa" w:w="414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Fixed 240 px sidebar on the left · main content area to its right · optional right rail.</w:t>
            </w:r>
          </w:p>
        </w:tc>
        <w:tc>
          <w:tcPr>
            <w:tcW w:type="dxa" w:w="414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Sidebar collapses into a slide-in drawer (opened by a drawer button in the header) · bottom tab bar visible at all times · drawer-backdrop dismisses by tap.</w:t>
            </w:r>
          </w:p>
        </w:tc>
      </w:tr>
      <w:t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Page header</w:t>
            </w:r>
          </w:p>
        </w:tc>
        <w:tc>
          <w:tcPr>
            <w:tcW w:type="dxa" w:w="414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Page title (Poppins 600) on the left · primary action button on the right.</w:t>
            </w:r>
          </w:p>
        </w:tc>
        <w:tc>
          <w:tcPr>
            <w:tcW w:type="dxa" w:w="414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Page title shrinks (H1 28 px) · primary action moves to a sticky bottom-of-screen button OR into the top-right depending on screen.</w:t>
            </w:r>
          </w:p>
        </w:tc>
      </w:tr>
      <w:t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Dashboard</w:t>
            </w:r>
          </w:p>
        </w:tc>
        <w:tc>
          <w:tcPr>
            <w:tcW w:type="dxa" w:w="414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4-card KPI strip across the top · 2-column section (recent activity + queue) below.</w:t>
            </w:r>
          </w:p>
        </w:tc>
        <w:tc>
          <w:tcPr>
            <w:tcW w:type="dxa" w:w="414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KPI cards stack vertically · 2-column section becomes single column · cards full width.</w:t>
            </w:r>
          </w:p>
        </w:tc>
      </w:tr>
      <w:t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List / table</w:t>
            </w:r>
          </w:p>
        </w:tc>
        <w:tc>
          <w:tcPr>
            <w:tcW w:type="dxa" w:w="414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Striped or border-bottom table with sticky header row · all columns visible · row hover tint.</w:t>
            </w:r>
          </w:p>
        </w:tc>
        <w:tc>
          <w:tcPr>
            <w:tcW w:type="dxa" w:w="414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Table transforms into a stack of cards — one card per row · key columns surface as title + meta · the rest collapse into an expandable detail.</w:t>
            </w:r>
          </w:p>
        </w:tc>
      </w:tr>
      <w:t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Detail view</w:t>
            </w:r>
          </w:p>
        </w:tc>
        <w:tc>
          <w:tcPr>
            <w:tcW w:type="dxa" w:w="414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Two-column or sectioned layout · meta strip at top · drawers trigger from each section.</w:t>
            </w:r>
          </w:p>
        </w:tc>
        <w:tc>
          <w:tcPr>
            <w:tcW w:type="dxa" w:w="414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Single column · meta strip stacks · sections render vertically · drawers slide up from the bottom instead of from the right.</w:t>
            </w:r>
          </w:p>
        </w:tc>
      </w:tr>
      <w:t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Form</w:t>
            </w:r>
          </w:p>
        </w:tc>
        <w:tc>
          <w:tcPr>
            <w:tcW w:type="dxa" w:w="414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Single column max 480 px; labels above inputs.</w:t>
            </w:r>
          </w:p>
        </w:tc>
        <w:tc>
          <w:tcPr>
            <w:tcW w:type="dxa" w:w="414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Same single column but max width = viewport - 32 px padding · inputs span full width · footer actions stack (primary first, then Cancel below).</w:t>
            </w:r>
          </w:p>
        </w:tc>
      </w:tr>
      <w:t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Modal</w:t>
            </w:r>
          </w:p>
        </w:tc>
        <w:tc>
          <w:tcPr>
            <w:tcW w:type="dxa" w:w="414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Centered, max-width 480 px, 32 px padding.</w:t>
            </w:r>
          </w:p>
        </w:tc>
        <w:tc>
          <w:tcPr>
            <w:tcW w:type="dxa" w:w="414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Becomes near-full-screen: 16 px side padding · top-aligned (≥ 24 px from top) · max-height 100vh - 48 px · scrolls internally if content overflows.</w:t>
            </w:r>
          </w:p>
        </w:tc>
      </w:tr>
      <w:t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Drawer</w:t>
            </w:r>
          </w:p>
        </w:tc>
        <w:tc>
          <w:tcPr>
            <w:tcW w:type="dxa" w:w="414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Slides in from the right · max-width 480 px · backdrop rgba(0,0,0,0.5).</w:t>
            </w:r>
          </w:p>
        </w:tc>
        <w:tc>
          <w:tcPr>
            <w:tcW w:type="dxa" w:w="414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Slides up from the bottom · 12 px top corners · shadow 0 -8px 32px · same backdrop · close affordance is a drag handle at the top edge.</w:t>
            </w:r>
          </w:p>
        </w:tc>
      </w:tr>
      <w:t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Toast</w:t>
            </w:r>
          </w:p>
        </w:tc>
        <w:tc>
          <w:tcPr>
            <w:tcW w:type="dxa" w:w="414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Slides in top-right · 320 px width · auto-dismiss 4 s.</w:t>
            </w:r>
          </w:p>
        </w:tc>
        <w:tc>
          <w:tcPr>
            <w:tcW w:type="dxa" w:w="414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Slides down from the top · spans full width minus 16 px on each side · same auto-dismiss · stacks vertically when multiple appear.</w:t>
            </w:r>
          </w:p>
        </w:tc>
      </w:tr>
      <w:t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Sub-nav (tabs)</w:t>
            </w:r>
          </w:p>
        </w:tc>
        <w:tc>
          <w:tcPr>
            <w:tcW w:type="dxa" w:w="414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Horizontal tab strip with all tabs visible.</w:t>
            </w:r>
          </w:p>
        </w:tc>
        <w:tc>
          <w:tcPr>
            <w:tcW w:type="dxa" w:w="414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Same horizontal strip; if it overflows, becomes horizontally scrollable with a subtle right-edge fade indicator.</w:t>
            </w:r>
          </w:p>
        </w:tc>
      </w:tr>
      <w:t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Filter bar</w:t>
            </w:r>
          </w:p>
        </w:tc>
        <w:tc>
          <w:tcPr>
            <w:tcW w:type="dxa" w:w="414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Inline filter chips + search input in a single row above the table.</w:t>
            </w:r>
          </w:p>
        </w:tc>
        <w:tc>
          <w:tcPr>
            <w:tcW w:type="dxa" w:w="414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Filter chips wrap to multiple rows; search input moves to its own full-width row above the chips.</w:t>
            </w:r>
          </w:p>
        </w:tc>
      </w:tr>
      <w:t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Stat / KPI card</w:t>
            </w:r>
          </w:p>
        </w:tc>
        <w:tc>
          <w:tcPr>
            <w:tcW w:type="dxa" w:w="414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320 px width · 24 px padding · large number (32 px Poppins 700) + label.</w:t>
            </w:r>
          </w:p>
        </w:tc>
        <w:tc>
          <w:tcPr>
            <w:tcW w:type="dxa" w:w="414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Full row width · 16 px padding · large number scales to 28 px · label unchanged.</w:t>
            </w:r>
          </w:p>
        </w:tc>
      </w:tr>
      <w:t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Touch targets</w:t>
            </w:r>
          </w:p>
        </w:tc>
        <w:tc>
          <w:tcPr>
            <w:tcW w:type="dxa" w:w="414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All ≥ 32 × 32 px (mouse).</w:t>
            </w:r>
          </w:p>
        </w:tc>
        <w:tc>
          <w:tcPr>
            <w:tcW w:type="dxa" w:w="414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All ≥ 44 × 44 px (touch) · including buttons, icon buttons, tab bar cells, MoreSheet rows.</w:t>
            </w:r>
          </w:p>
        </w:tc>
      </w:tr>
      <w:t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Spacing</w:t>
            </w:r>
          </w:p>
        </w:tc>
        <w:tc>
          <w:tcPr>
            <w:tcW w:type="dxa" w:w="414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lg (32 px) and xl (48 px) used freely for section breaks.</w:t>
            </w:r>
          </w:p>
        </w:tc>
        <w:tc>
          <w:tcPr>
            <w:tcW w:type="dxa" w:w="414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Section breaks step down one notch — lg becomes md (24 px), xl becomes lg (32 px) — so vertical rhythm stays comfortable in the narrower viewport.</w:t>
            </w:r>
          </w:p>
        </w:tc>
      </w:tr>
    </w:tbl>
    <w:p>
      <w:pPr>
        <w:spacing w:after="280" w:before="0"/>
      </w:pPr>
      <w:r>
        <w:t xml:space="preserve"/>
      </w:r>
    </w:p>
    <w:p>
      <w:pPr>
        <w:pBdr>
          <w:bottom w:val="single" w:color="FF6F00" w:sz="12" w:space="1"/>
        </w:pBdr>
        <w:spacing w:after="280" w:before="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4. Information Architecture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Routes are partitioned into three classes. Public pages have no auth and no organization context. Platform pages belong to the Super Admin and are also outside any organization context. Org-scoped pages carry the organization slug as the first path segment (for example, /acme/dashboard) — the slug names which organization the user is operating inside, and the role determines which variant of the page renders. Pages marked NEW are scope for the next build.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F00"/>
          <w:spacing w:val="20"/>
          <w:sz w:val="20"/>
          <w:szCs w:val="20"/>
        </w:rPr>
        <w:t xml:space="preserve">PUBLIC PAGES — NO AUTH, NO ORGANIZATION CONTEXT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200"/>
        <w:gridCol w:w="4480"/>
      </w:tblGrid>
      <w:tr>
        <w:trPr>
          <w:tblHeader/>
        </w:trP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Landing / role picker</w:t>
            </w:r>
          </w:p>
        </w:tc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/</w:t>
            </w:r>
          </w:p>
        </w:tc>
        <w:tc>
          <w:tcPr>
            <w:tcW w:type="dxa" w:w="4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Marketing intro + Sign in CTA + Organization sign-up link.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Login</w:t>
            </w:r>
          </w:p>
        </w:tc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/login</w:t>
            </w:r>
          </w:p>
        </w:tc>
        <w:tc>
          <w:tcPr>
            <w:tcW w:type="dxa" w:w="4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Email + password. Forgot-password link below.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Forgot password</w:t>
            </w:r>
          </w:p>
        </w:tc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/forgot-password</w:t>
            </w:r>
          </w:p>
        </w:tc>
        <w:tc>
          <w:tcPr>
            <w:tcW w:type="dxa" w:w="4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Email entry → success toast → back to login.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Reset password</w:t>
            </w:r>
          </w:p>
        </w:tc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/reset-password/:token</w:t>
            </w:r>
          </w:p>
        </w:tc>
        <w:tc>
          <w:tcPr>
            <w:tcW w:type="dxa" w:w="4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New + confirm password. Token validated on mount.</w:t>
            </w:r>
          </w:p>
        </w:tc>
      </w:tr>
      <w:t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Organization sign-up</w:t>
            </w:r>
          </w:p>
        </w:tc>
        <w:tc>
          <w:tcPr>
            <w:tcW w:type="dxa" w:w="3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/organization-signup</w:t>
            </w:r>
          </w:p>
        </w:tc>
        <w:tc>
          <w:tcPr>
            <w:tcW w:type="dxa" w:w="4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NEW. Public form for organization onboarding; queues for Super Admin review.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F00"/>
          <w:spacing w:val="20"/>
          <w:sz w:val="20"/>
          <w:szCs w:val="20"/>
        </w:rPr>
        <w:t xml:space="preserve">PLATFORM PAGES — SUPER ADMIN ONLY, NO ORGANIZATION CONTEXT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2400"/>
        <w:gridCol w:w="1600"/>
        <w:gridCol w:w="3880"/>
      </w:tblGrid>
      <w:tr>
        <w:trPr>
          <w:tblHeader/>
        </w:trP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8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/dashboard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8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Cross-organization KPIs: organizations active, pending sign-ups, plan distribution, total active users.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Organizations</w:t>
            </w:r>
          </w:p>
        </w:tc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/organizations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8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NEW. List of all organizations · status filter (Pending / Active / Deactivated).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Organization detail</w:t>
            </w:r>
          </w:p>
        </w:tc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/organizations/:id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8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NEW. Approve / deactivate / change plan · view org users · audit trail.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Plans</w:t>
            </w:r>
          </w:p>
        </w:tc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/plans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8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NEW. Manage Subscription Plans (Basic / Standard / Premium) · active-user caps.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Audit log</w:t>
            </w:r>
          </w:p>
        </w:tc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/audit-log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8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Cross-organization audit log (read-only, paginated).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Profile</w:t>
            </w:r>
          </w:p>
        </w:tc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/profile</w:t>
            </w:r>
          </w:p>
        </w:tc>
        <w:tc>
          <w:tcPr>
            <w:tcW w:type="dxa" w:w="1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8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Account, password, member-since, recent activity.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F00"/>
          <w:spacing w:val="20"/>
          <w:sz w:val="20"/>
          <w:szCs w:val="20"/>
        </w:rPr>
        <w:t xml:space="preserve">ORG-SCOPED PAGES — FIRST SEGMENT IS THE ORGANIZATION SLUG (E.G. /ACME/...)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2400"/>
        <w:gridCol w:w="1800"/>
        <w:gridCol w:w="3980"/>
      </w:tblGrid>
      <w:tr>
        <w:trPr>
          <w:tblHeader/>
        </w:trPr>
        <w:tc>
          <w:tcPr>
            <w:tcW w:type="dxa" w:w="1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Roles</w:t>
            </w:r>
          </w:p>
        </w:tc>
        <w:tc>
          <w:tcPr>
            <w:tcW w:type="dxa" w:w="39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 per role</w:t>
            </w:r>
          </w:p>
        </w:tc>
      </w:tr>
      <w:tr>
        <w:tc>
          <w:tcPr>
            <w:tcW w:type="dxa" w:w="1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/:org/dashboard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Admin, PM, Maintenance, Tenant</w:t>
            </w:r>
          </w:p>
        </w:tc>
        <w:tc>
          <w:tcPr>
            <w:tcW w:type="dxa" w:w="39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Role-aware home. Admin: org-wide KPIs + alerts. PM: property KPIs + maintenance queue + recent payments. Maintenance: assigned tickets queue. Tenant: lease summary + rent status + active maintenance.</w:t>
            </w:r>
          </w:p>
        </w:tc>
      </w:tr>
      <w:tr>
        <w:tc>
          <w:tcPr>
            <w:tcW w:type="dxa" w:w="1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Profile</w:t>
            </w:r>
          </w:p>
        </w:tc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/:org/profile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Admin, PM, Maintenance, Tenant</w:t>
            </w:r>
          </w:p>
        </w:tc>
        <w:tc>
          <w:tcPr>
            <w:tcW w:type="dxa" w:w="39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Account, password, member-since, recent activity. Maintenance also shows specialization + work stats; Tenant also shows lease quick-view.</w:t>
            </w:r>
          </w:p>
        </w:tc>
      </w:tr>
      <w:tr>
        <w:tc>
          <w:tcPr>
            <w:tcW w:type="dxa" w:w="1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/:org/maintenance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Admin, PM, Maintenance, Tenant</w:t>
            </w:r>
          </w:p>
        </w:tc>
        <w:tc>
          <w:tcPr>
            <w:tcW w:type="dxa" w:w="39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Admin: every request in this org + 5+ alerts. PM: requests for own properties + assign / resolve / close. Maintenance: assigned tickets with status actions. Tenant: own requests, raise new, close own resolved.</w:t>
            </w:r>
          </w:p>
        </w:tc>
      </w:tr>
      <w:tr>
        <w:tc>
          <w:tcPr>
            <w:tcW w:type="dxa" w:w="1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/:org/users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Admin</w:t>
            </w:r>
          </w:p>
        </w:tc>
        <w:tc>
          <w:tcPr>
            <w:tcW w:type="dxa" w:w="39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Manage Admin / PM / Maintenance accounts within this organization. Tenants are created at lease signing — not here.</w:t>
            </w:r>
          </w:p>
        </w:tc>
      </w:tr>
      <w:tr>
        <w:tc>
          <w:tcPr>
            <w:tcW w:type="dxa" w:w="1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Properties</w:t>
            </w:r>
          </w:p>
        </w:tc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/:org/properties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Admin</w:t>
            </w:r>
          </w:p>
        </w:tc>
        <w:tc>
          <w:tcPr>
            <w:tcW w:type="dxa" w:w="39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List of all properties in this organization.</w:t>
            </w:r>
          </w:p>
        </w:tc>
      </w:tr>
      <w:tr>
        <w:tc>
          <w:tcPr>
            <w:tcW w:type="dxa" w:w="1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Property detail</w:t>
            </w:r>
          </w:p>
        </w:tc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/:org/properties/:id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Admin</w:t>
            </w:r>
          </w:p>
        </w:tc>
        <w:tc>
          <w:tcPr>
            <w:tcW w:type="dxa" w:w="39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Property + units + assigned PM + transfer-PM action.</w:t>
            </w:r>
          </w:p>
        </w:tc>
      </w:tr>
      <w:tr>
        <w:tc>
          <w:tcPr>
            <w:tcW w:type="dxa" w:w="1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Units</w:t>
            </w:r>
          </w:p>
        </w:tc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/:org/units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Admin, PM</w:t>
            </w:r>
          </w:p>
        </w:tc>
        <w:tc>
          <w:tcPr>
            <w:tcW w:type="dxa" w:w="39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Admin: cross-property unit list with state filter. PM: units in assigned properties with state controls.</w:t>
            </w:r>
          </w:p>
        </w:tc>
      </w:tr>
      <w:tr>
        <w:tc>
          <w:tcPr>
            <w:tcW w:type="dxa" w:w="1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Tenants</w:t>
            </w:r>
          </w:p>
        </w:tc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/:org/tenants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PM</w:t>
            </w:r>
          </w:p>
        </w:tc>
        <w:tc>
          <w:tcPr>
            <w:tcW w:type="dxa" w:w="39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Tenants in assigned properties.</w:t>
            </w:r>
          </w:p>
        </w:tc>
      </w:tr>
      <w:tr>
        <w:tc>
          <w:tcPr>
            <w:tcW w:type="dxa" w:w="1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Tenant detail</w:t>
            </w:r>
          </w:p>
        </w:tc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/:org/tenants/:id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PM</w:t>
            </w:r>
          </w:p>
        </w:tc>
        <w:tc>
          <w:tcPr>
            <w:tcW w:type="dxa" w:w="39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Single tenant: lease summary, payments, maintenance history.</w:t>
            </w:r>
          </w:p>
        </w:tc>
      </w:tr>
      <w:tr>
        <w:tc>
          <w:tcPr>
            <w:tcW w:type="dxa" w:w="1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Leases</w:t>
            </w:r>
          </w:p>
        </w:tc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/:org/leases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PM</w:t>
            </w:r>
          </w:p>
        </w:tc>
        <w:tc>
          <w:tcPr>
            <w:tcW w:type="dxa" w:w="39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Active + expired leases · renew · terminate-request actions.</w:t>
            </w:r>
          </w:p>
        </w:tc>
      </w:tr>
      <w:tr>
        <w:tc>
          <w:tcPr>
            <w:tcW w:type="dxa" w:w="1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Lease detail</w:t>
            </w:r>
          </w:p>
        </w:tc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/:org/leases/:id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PM</w:t>
            </w:r>
          </w:p>
        </w:tc>
        <w:tc>
          <w:tcPr>
            <w:tcW w:type="dxa" w:w="39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Single lease: tenants, rent periods, terminations, deposit refunds.</w:t>
            </w:r>
          </w:p>
        </w:tc>
      </w:tr>
      <w:tr>
        <w:tc>
          <w:tcPr>
            <w:tcW w:type="dxa" w:w="1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Rent</w:t>
            </w:r>
          </w:p>
        </w:tc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/:org/rent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Admin, Tenant</w:t>
            </w:r>
          </w:p>
        </w:tc>
        <w:tc>
          <w:tcPr>
            <w:tcW w:type="dxa" w:w="39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Admin: org-wide rent collection overview + overdue tenants. Tenant: own payment history + outstanding balance + late-fee breakdown.</w:t>
            </w:r>
          </w:p>
        </w:tc>
      </w:tr>
      <w:tr>
        <w:tc>
          <w:tcPr>
            <w:tcW w:type="dxa" w:w="1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Rent Collection</w:t>
            </w:r>
          </w:p>
        </w:tc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/:org/rent-collection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PM</w:t>
            </w:r>
          </w:p>
        </w:tc>
        <w:tc>
          <w:tcPr>
            <w:tcW w:type="dxa" w:w="39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Per-unit rent periods · record-payment drawer (idempotent).</w:t>
            </w:r>
          </w:p>
        </w:tc>
      </w:tr>
      <w:tr>
        <w:tc>
          <w:tcPr>
            <w:tcW w:type="dxa" w:w="1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Visitors</w:t>
            </w:r>
          </w:p>
        </w:tc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/:org/visitors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PM, Tenant</w:t>
            </w:r>
          </w:p>
        </w:tc>
        <w:tc>
          <w:tcPr>
            <w:tcW w:type="dxa" w:w="39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NEW. PM: visitor pre-approvals · approve / deny · check-in / out timestamps. Tenant: pre-approve visitors · see status.</w:t>
            </w:r>
          </w:p>
        </w:tc>
      </w:tr>
      <w:tr>
        <w:tc>
          <w:tcPr>
            <w:tcW w:type="dxa" w:w="1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All Open</w:t>
            </w:r>
          </w:p>
        </w:tc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/:org/all-open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39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Read-only view of every open request across all properties in this organization.</w:t>
            </w:r>
          </w:p>
        </w:tc>
      </w:tr>
      <w:tr>
        <w:tc>
          <w:tcPr>
            <w:tcW w:type="dxa" w:w="1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Master Data</w:t>
            </w:r>
          </w:p>
        </w:tc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/:org/master-data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Admin</w:t>
            </w:r>
          </w:p>
        </w:tc>
        <w:tc>
          <w:tcPr>
            <w:tcW w:type="dxa" w:w="39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NEW. Amenities · Maintenance Categories · Payment Methods · City · State. Add / edit / deactivate.</w:t>
            </w:r>
          </w:p>
        </w:tc>
      </w:tr>
      <w:tr>
        <w:tc>
          <w:tcPr>
            <w:tcW w:type="dxa" w:w="1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Settings</w:t>
            </w:r>
          </w:p>
        </w:tc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/:org/settings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Admin</w:t>
            </w:r>
          </w:p>
        </w:tc>
        <w:tc>
          <w:tcPr>
            <w:tcW w:type="dxa" w:w="39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NEW. Late-fee rate · grace period · rent-change notice window. Audit-log entry on every change.</w:t>
            </w:r>
          </w:p>
        </w:tc>
      </w:tr>
      <w:tr>
        <w:tc>
          <w:tcPr>
            <w:tcW w:type="dxa" w:w="1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Delegations</w:t>
            </w:r>
          </w:p>
        </w:tc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/:org/delegations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Admin</w:t>
            </w:r>
          </w:p>
        </w:tc>
        <w:tc>
          <w:tcPr>
            <w:tcW w:type="dxa" w:w="39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NEW. Create + revoke task delegations to PM / Maintenance for a date range.</w:t>
            </w:r>
          </w:p>
        </w:tc>
      </w:tr>
      <w:tr>
        <w:tc>
          <w:tcPr>
            <w:tcW w:type="dxa" w:w="1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Audit log</w:t>
            </w:r>
          </w:p>
        </w:tc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/:org/audit-log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Admin</w:t>
            </w:r>
          </w:p>
        </w:tc>
        <w:tc>
          <w:tcPr>
            <w:tcW w:type="dxa" w:w="39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Read-only paginated audit trail for this organization.</w:t>
            </w:r>
          </w:p>
        </w:tc>
      </w:tr>
    </w:tbl>
    <w:p>
      <w:pPr>
        <w:spacing w:after="280" w:before="0"/>
      </w:pPr>
      <w:r>
        <w:t xml:space="preserve"/>
      </w:r>
    </w:p>
    <w:p>
      <w:pPr>
        <w:pBdr>
          <w:bottom w:val="single" w:color="FF6F00" w:sz="12" w:space="1"/>
        </w:pBdr>
        <w:spacing w:after="280" w:before="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5. Page Layout Templates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Most screens follow one of five layout templates. A template defines the page zones, their order, and the components used; per-page differences live in the content, not the structure.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508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tcW w:type="dxa" w:w="50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Zones (top to bottom)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Recurring components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Dashboard</w:t>
            </w:r>
          </w:p>
        </w:tc>
        <w:tc>
          <w:tcPr>
            <w:tcW w:type="dxa" w:w="50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KPI strip (4 metric cards across, stack vertically on mobile) → alerts row → 2-column section (recent activity left, queue right; stack on mobile) → quick-action button group at the bottom.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Recurring metric card (label · big number · trend chip) · alert pill · activity feed item · quick-action button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List view</w:t>
            </w:r>
          </w:p>
        </w:tc>
        <w:tc>
          <w:tcPr>
            <w:tcW w:type="dxa" w:w="50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Sticky page header (title + primary action) → filter / search row → striped table (desktop) or card list (mobile). Empty state with icon + helper + primary CTA when no rows.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Page header · filter chip · search input · table row · card row · empty state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Detail view</w:t>
            </w:r>
          </w:p>
        </w:tc>
        <w:tc>
          <w:tcPr>
            <w:tcW w:type="dxa" w:w="50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Page header with title + status badge + actions menu → meta strip (key fields, 2-3 lines) → tabbed or sectioned content → action drawer triggers at the bottom of each section.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Page header · status badge · meta strip · section header · section body · action button group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Form page</w:t>
            </w:r>
          </w:p>
        </w:tc>
        <w:tc>
          <w:tcPr>
            <w:tcW w:type="dxa" w:w="50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Page header → form card (sm shadow, 24 px padding) with labelled fields → footer actions (Cancel left, primary Save right). Validation errors render below each field.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Form field · helper text · error text · footer action row</w:t>
            </w:r>
          </w:p>
        </w:tc>
      </w:tr>
      <w:t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Drawer flow</w:t>
            </w:r>
          </w:p>
        </w:tc>
        <w:tc>
          <w:tcPr>
            <w:tcW w:type="dxa" w:w="50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Triggered from a list or detail row. Slides in from the right (desktop) or up (mobile). Contains a single form. Saves close the drawer and emit a success toast.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Drawer header · form fields · footer action row · success toast</w:t>
            </w:r>
          </w:p>
        </w:tc>
      </w:tr>
    </w:tbl>
    <w:p>
      <w:pPr>
        <w:spacing w:after="280" w:before="0"/>
      </w:pPr>
      <w:r>
        <w:t xml:space="preserve"/>
      </w:r>
    </w:p>
    <w:p>
      <w:pPr>
        <w:pBdr>
          <w:bottom w:val="single" w:color="FF6F00" w:sz="12" w:space="1"/>
        </w:pBdr>
        <w:spacing w:after="280" w:before="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6. Wireframes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Zone-level layouts for the key v1 screens — the structural baseline the next prototype builds against. Each screen is described as a list of zones (top to bottom on desktop) with the content and interactions inside each zone. Sidebar nav items shown are v1; the v8 build adds Master Data / Settings / Delegations to the Admin sidebar, Visitors to the PM and Tenant sidebars, and new Super Admin screens follow the same templates from §5.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F00"/>
          <w:spacing w:val="20"/>
          <w:sz w:val="20"/>
          <w:szCs w:val="20"/>
        </w:rPr>
        <w:t xml:space="preserve">ADMIN — DASHBOARD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Top bar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GharSetu logo (left) · "Admin: Raj Singh" (right) · Logout button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Sidebar (≥ 1024 px)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Dashboard (active) · Properties · Units · Users · Maintenance · Rent · Audit Log · My Profile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Tab bar (≤ 1023 px)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Dashboard · Properties · Users · Maintenance · More (→ Rent · Audit Log · Profile)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Main — KPI strip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 cards across (stack on mobile): "Properties: 18" · "Units: 120" · "Occupied: 94%" · "Overdue: ₹3L"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Main — Alert row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⚠ ADMIN ALERT — "Unit 4B — 6 requests in 30 days. Review tenant."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Main — Rent overview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Card: Collected ₹12L · Overdue ₹3L · Partial 8 units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Main — Maintenance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Card: Emergency 2 · High 5 · Open 14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F00"/>
          <w:spacing w:val="20"/>
          <w:sz w:val="20"/>
          <w:szCs w:val="20"/>
        </w:rPr>
        <w:t xml:space="preserve">PROPERTY MANAGER — DASHBOARD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Top bar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GharSetu logo · "PM: Sunita Arora" · Logout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Sidebar (≥ 1024 px)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Dashboard (active) · Units · Tenants · Leases · Rent Collection · Maintenance · My Profile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Tab bar (≤ 1023 px)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Dashboard · Tenants · Leases · Rent · More (→ Maintenance · Units · Profile)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Main — Page title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"Green Valley Apartments, Dwarka"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Main — KPI strip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 cards: Total 40 · Occupied 36 · Available 4 · Overdue 3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Main — Alert row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⚠ Leases expiring in 30 days: 2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Main — Maintenance queue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 rows (priority badge + description): [EMERGENCY] Unit 7C — Water leakage · [HIGH] Unit 2A — AC not working · [MEDIUM] Unit 5B — Door lock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Main — Recent payments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Table: Tenant + Unit · Amount · Method · Status. Sharma 3A ₹18,000 UPI [Paid] · Gupta 1B ₹22,000 Cash [Paid]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F00"/>
          <w:spacing w:val="20"/>
          <w:sz w:val="20"/>
          <w:szCs w:val="20"/>
        </w:rPr>
        <w:t xml:space="preserve">MAINTENANCE STAFF — DASHBOARD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Top bar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GharSetu logo · "Staff: Raju" · Logout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Sidebar (≥ 1024 px)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My Requests (active) · All Open · My Profile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Tab bar (≤ 1023 px)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My Requests · All Open · Profile (3 items, no MoreSheet)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Main — Page title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"My Assigned Requests"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Main — Ticket 1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[EMERGENCY] Unit 7C — Water leakage · Assigned today · button [Move to In-Progress]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Main — Ticket 2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[HIGH] Unit 2A — AC not working · Status: In-Progress · Resolution notes textarea (min 20 chars) · button [Mark Resolved]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Main — Ticket 3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[MEDIUM] Unit 5B — Door lock broken · Status: Assigned · button [Move to In-Progress]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Out-of-scope note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Footer reminder: "Cannot see: Rent · Leases · Tenant financial data"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F00"/>
          <w:spacing w:val="20"/>
          <w:sz w:val="20"/>
          <w:szCs w:val="20"/>
        </w:rPr>
        <w:t xml:space="preserve">TENANT — DASHBOARD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Top bar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GharSetu logo · "Raj Sharma" · Logout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Sidebar (≥ 1024 px)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My Lease (active) · Rent · Maintenance · Visitors · My Profile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Tab bar (≤ 1023 px)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My Lease · Rent · Maintenance · Visitors · Profile (5 items, no MoreSheet)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Main — Lease card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Unit 3A, Green Valley, Dwarka · Start 01/04/2025, End 31/03/2026 · Monthly Rent ₹18,000 · Status [ACTIVE] · Co-tenant: Priya Sharma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Main — Rent status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May 2026 [OVERDUE]: ₹18,000 due + Late Fee ₹360 added · italic note "(Payment is recorded by your Property Manager)" · Apr 2026 [PAID]: ₹18,000 on 03/04/2026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F00"/>
          <w:spacing w:val="20"/>
          <w:sz w:val="20"/>
          <w:szCs w:val="20"/>
        </w:rPr>
        <w:t xml:space="preserve">RENT COLLECTION (PM)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Top bar + nav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Same chrome as PM Dashboard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Main — Page title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"Rent Collection — Unit: [3A ▼]" (unit dropdown switches the period list below)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Main — Period list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Table columns: Period · Due Date · Status · Due · Paid. Rows: May 2026 / 05/05/2026 / [OVERDUE] / ₹18,000 / ₹0 (with Late Fee ₹360 + [Record Payment] button) · Apr 2026 / 05/04/2026 / [PAID] / ₹18,000 / ₹18,000 · Mar 2026 / 05/03/2026 / [PAID] / ₹18,000 / ₹18,000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Record Payment drawer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Triggered by [Record Payment]. Fields: Amount · Date (DD/MM/YYYY) · Method (dropdown from Master Data: Cash / UPI / NEFT / Cheque) · Ref (free text) · "Recorded by: Sunita Arora" auto-filled. Footer: [Save Payment] [Cancel]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F00"/>
          <w:spacing w:val="20"/>
          <w:sz w:val="20"/>
          <w:szCs w:val="20"/>
        </w:rPr>
        <w:t xml:space="preserve">LEASE MANAGEMENT (PM)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Top bar + nav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Same chrome as PM Dashboard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Main — Page title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"Leases — Green Valley Apartments" with [+ New Lease] button on the right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Main — Lease list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Table columns: Tenant(s) · Unit · Start · End · Status. Active lease row exposes [Renew] [Early Terminate] [Deposit Refund] buttons; Expired row exposes none.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Footnotes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Renewal: new lease start auto-set to old lease end + 1 day · Early Terminate: opens co-tenant consent panel if any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F00"/>
          <w:spacing w:val="20"/>
          <w:sz w:val="20"/>
          <w:szCs w:val="20"/>
        </w:rPr>
        <w:t xml:space="preserve">TENANT — MAINTENANCE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Top bar + nav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Same chrome as Tenant Dashboard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Main — Page title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"My Maintenance Requests" with [+ Raise New Request] button on the right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Main — Request 1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[OPEN] Water leakage in kitchen · Raised 05/05/2026 · Priority Emergency · Assigned to Raju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Main — Request 2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[RESOLVED] AC not working · Raised 10/04/2026 · Resolved 12/04/2026 · button [Close Request] (tenant action)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Main — Request 3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[CLOSED] Door lock broken · Raised 01/03/2026 · italic note "No further action available"</w:t>
            </w:r>
          </w:p>
        </w:tc>
      </w:tr>
      <w:tr>
        <w:tc>
          <w:tcPr>
            <w:tcW w:type="dxa" w:w="2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Raise New drawer</w:t>
            </w:r>
          </w:p>
        </w:tc>
        <w:tc>
          <w:tcPr>
            <w:tcW w:type="dxa" w:w="74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Triggered by [+ Raise New Request]. Fields: Category (dropdown from Master Data) · Priority (Low / Medium / High / Emergency) · Description textarea (0/30 min chars) · button [Submit Request]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Bdr>
          <w:bottom w:val="single" w:color="FF6F00" w:sz="12" w:space="1"/>
        </w:pBdr>
        <w:spacing w:after="280" w:before="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7. Components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8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Button</w:t>
            </w:r>
          </w:p>
        </w:tc>
        <w:tc>
          <w:tcPr>
            <w:tcW w:type="dxa" w:w="78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Primary = Saffron #FF6F00 bg + white text (hover #d95f00). Secondary = transparent bg + 2 px Royal Blue border + Royal Blue text (hover rgba(21,101,192,0.06)). Danger = #C62828 bg + white text (hover #a51a1a). Disabled = light-gray bg + mid-gray text. All buttons: 15 px Poppins 600, 6 px radius, 10 / 24 padding. Focus-visible: 2 px saffron outline at 2 px offset.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Input</w:t>
            </w:r>
          </w:p>
        </w:tc>
        <w:tc>
          <w:tcPr>
            <w:tcW w:type="dxa" w:w="78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Min-height 44 px, 10 / 14 padding, Inter 15 px / 400 charcoal, white bg, 1 px mid-gray border, 6 px radius. Focus: 2 px Royal Blue border (replaces resting border). Error: 2 px overdue-red border + light-red background (#FFEBEE) + ⚠ error text below the field.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Select</w:t>
            </w:r>
          </w:p>
        </w:tc>
        <w:tc>
          <w:tcPr>
            <w:tcW w:type="dxa" w:w="78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Same chrome as input · chevron-down icon · keyboard-navigable list popup.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Form field</w:t>
            </w:r>
          </w:p>
        </w:tc>
        <w:tc>
          <w:tcPr>
            <w:tcW w:type="dxa" w:w="78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Label (Poppins 600 charcoal) → input → helper text (slate 14 px) → error text (red 14 px, prefixed with ⚠).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Required marker</w:t>
            </w:r>
          </w:p>
        </w:tc>
        <w:tc>
          <w:tcPr>
            <w:tcW w:type="dxa" w:w="78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Saffron asterisk * suffixed to the label. Optional fields are unmarked.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Table</w:t>
            </w:r>
          </w:p>
        </w:tc>
        <w:tc>
          <w:tcPr>
            <w:tcW w:type="dxa" w:w="78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White background, 14 / 16 cell padding, 14 px Inter body text. Header row in Poppins 600. Rows separated by 1 px light-gray (#ECEFF1) bottom border (no zebra stripe). Row hover: rgba(21,101,192,0.03) Royal-Blue tint. Right-aligned numerics + currency. Dates render DD/MM/YYYY.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Card</w:t>
            </w:r>
          </w:p>
        </w:tc>
        <w:tc>
          <w:tcPr>
            <w:tcW w:type="dxa" w:w="78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White fill, mid-gray border, 12 px radius. Resting shadow 0 2px 8px rgba(0,0,0,0.04); hover shadow 0 4px 16px rgba(0,0,0,0.08). Title in Poppins 600 charcoal, meta in slate.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Modal</w:t>
            </w:r>
          </w:p>
        </w:tc>
        <w:tc>
          <w:tcPr>
            <w:tcW w:type="dxa" w:w="78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Centered, 12 px radius, max-width 480 px, 32 px padding, shadow 0 12px 40px rgba(0,0,0,0.2). Backdrop rgba(0,0,0,0.5). Header (navy 600), body, footer (right-aligned actions).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Drawer</w:t>
            </w:r>
          </w:p>
        </w:tc>
        <w:tc>
          <w:tcPr>
            <w:tcW w:type="dxa" w:w="78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Right-side slide on desktop · bottom slide on mobile. 12 px radius. Backdrop rgba(0,0,0,0.5). Bottom slide-up uses shadow 0 -8px 32px rgba(0,0,0,0.12).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MoreSheet</w:t>
            </w:r>
          </w:p>
        </w:tc>
        <w:tc>
          <w:tcPr>
            <w:tcW w:type="dxa" w:w="78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Bottom slide-up on ≤ 1023 px. 12 px top corners. Items beyond 4 from the tabbar appear as 56 px tap rows. Shadow 0 -8px 32px rgba(0,0,0,0.12). Backdrop rgba(0,0,0,0.5) dismisses.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Badge</w:t>
            </w:r>
          </w:p>
        </w:tc>
        <w:tc>
          <w:tcPr>
            <w:tcW w:type="dxa" w:w="78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Pill, 12 px Poppins 600 UPPERCASE with 0.4 px tracking. Colour pair from the Status palette in §2.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Toast</w:t>
            </w:r>
          </w:p>
        </w:tc>
        <w:tc>
          <w:tcPr>
            <w:tcW w:type="dxa" w:w="78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Top-right slide-in on desktop · top slide-down on mobile. 320 px width. Success (green left bar), error (red), info (royal blue), warning (saffron). Auto-dismiss 4 s; manual X.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78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Centered icon + headline (Poppins 600) + helper text (slate) + primary action. Used on dashboards, lists, search.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Loading state</w:t>
            </w:r>
          </w:p>
        </w:tc>
        <w:tc>
          <w:tcPr>
            <w:tcW w:type="dxa" w:w="78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Skeleton rows match the final layout shape; never a centred spinner on a list screen. Spinners only inside button labels during submit.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Error state</w:t>
            </w:r>
          </w:p>
        </w:tc>
        <w:tc>
          <w:tcPr>
            <w:tcW w:type="dxa" w:w="78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Inline panel (red left bar, light-red background) above the affected area, with a retry action. Never an alert(). Never blocks the whole page unless the page can't load.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Banner</w:t>
            </w:r>
          </w:p>
        </w:tc>
        <w:tc>
          <w:tcPr>
            <w:tcW w:type="dxa" w:w="78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Full-width strip below the header. Saffron for warnings, navy for info, red for errors. Used for impersonation indicator, scheduled rent change notice, and similar global signals.</w:t>
            </w:r>
          </w:p>
        </w:tc>
      </w:tr>
      <w:t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Impersonation banner</w:t>
            </w:r>
          </w:p>
        </w:tc>
        <w:tc>
          <w:tcPr>
            <w:tcW w:type="dxa" w:w="78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Persistent saffron banner shown to an Admin during an impersonation session — text: "Acting as &lt;name&gt;" + an End session button on the right.</w:t>
            </w:r>
          </w:p>
        </w:tc>
      </w:tr>
    </w:tbl>
    <w:p>
      <w:pPr>
        <w:spacing w:after="280" w:before="0"/>
      </w:pPr>
      <w:r>
        <w:t xml:space="preserve"/>
      </w:r>
    </w:p>
    <w:p>
      <w:pPr>
        <w:pBdr>
          <w:bottom w:val="single" w:color="FF6F00" w:sz="12" w:space="1"/>
        </w:pBdr>
        <w:spacing w:after="280" w:before="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8. Interaction Patterns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Form validation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— validate on blur and on submit; never on keystroke. On submit, scroll to the first error and focus it. Disable the submit button only while the request is in flight (with a spinner inside its label); never disable it pre-emptively for unknown reasons.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Modal vs drawer choice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— modals are for confirmations and short forms (≤ 4 fields). Drawers are for record-and-keep-context flows (record payment, raise maintenance, edit profile). Multi-step flows that need page real estate get their own page.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Save feedback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— success path is a green toast top-right ("Payment recorded · ₹15,000") + the list refreshes silently. Failure path keeps the drawer/modal open with the error inline; never lose the user's typed input.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Destructive confirmations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— terminate-lease, deactivate-user, end-impersonation use a modal with a red Confirm button. The user must type the entity name (e.g. "ROOM 3B") to enable the button. Cancel is the default focus.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Empty → first action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— every empty state has exactly one primary CTA. Example: empty leases list → "Create the first lease" button (PM); empty audit log → no CTA, just a friendly explanation.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Optimistic UI rules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— never optimistically update money or lease state. Always wait for the server. UI feels fast through skeleton states and toast feedback, not through pretending writes succeeded.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Pagination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— page-size 25 default, with a sticky page footer showing "Showing 26 – 50 of 184". Long-list URLs reflect page state. Search filters debounce 300 ms before firing.</w:t>
      </w:r>
    </w:p>
    <w:p>
      <w:pPr>
        <w:spacing w:after="280" w:before="0"/>
      </w:pPr>
      <w:r>
        <w:t xml:space="preserve"/>
      </w:r>
    </w:p>
    <w:p>
      <w:pPr>
        <w:pBdr>
          <w:bottom w:val="single" w:color="FF6F00" w:sz="12" w:space="1"/>
        </w:pBdr>
        <w:spacing w:after="280" w:before="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9. Accessibility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WCAG 2.1 AA floor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— contrast ≥ 4.5:1 for text under 18 px / 3:1 for ≥ 18 px and UI components. Measured ratios on the off-white page background: Navy (#1A237E) on white = 15 : 1 (passes AAA); Slate (#546E7A) on off-white = 8.4 : 1 (passes AAA); Saffron is reserved for large elements (CTAs, focus rings, badges) — never small body text.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Keyboard navigation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— every interactive element is reachable by Tab in source order; focus ring is a 2 px Saffron (#FF6F00) outline at 2 px offset with a 4 px border-radius on the outline (never removed by CSS). Inputs are the exception — they swap their resting mid-gray border for a 2 px Royal Blue border when focused, instead of getting an outer ring.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Skip-to-content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— first Tab on any page focuses a "Skip to content" link that jumps to the main region.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Form errors below field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— validation messages render directly below the input, never as a native browser tooltip. Format is fixed (red 14 px, ⚠ glyph). Errors are also surfaced via aria-describedby on the input.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Required field marking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— labels for required inputs are suffixed with a Saffron asterisk *. The asterisk is decorative; the input also carries aria-required="true".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Screen-reader landmarks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— every page has explicit role attributes: &lt;header&gt;, &lt;nav&gt;, &lt;main&gt;, &lt;aside&gt;. Status badges include an aria-label that spells out the status.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Touch targets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— interactive targets are at least 44 × 44 px on touch viewports. The bottom tab bar and the MoreSheet rows both meet this floor.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237E"/>
          <w:sz w:val="22"/>
          <w:szCs w:val="22"/>
        </w:rPr>
        <w:t xml:space="preserve">Time, dates, currency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— times render in Asia/Kolkata; dates render DD/MM/YYYY; currency renders as ₹ with Indian digit grouping (locale en-IN). Midnight is 00:00 — never 24:00 (BL-22 / BL-23).</w:t>
      </w:r>
    </w:p>
    <w:p>
      <w:pPr>
        <w:spacing w:after="280" w:before="0"/>
      </w:pPr>
      <w:r>
        <w:t xml:space="preserve"/>
      </w:r>
    </w:p>
    <w:p>
      <w:pPr>
        <w:pBdr>
          <w:bottom w:val="single" w:color="FF6F00" w:sz="12" w:space="1"/>
        </w:pBdr>
        <w:spacing w:after="280" w:before="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10. Launch Checklist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Pre-launch verification. UI / UX-only items here, grouped by area; engineering checks live in the Solution Overview and Timeline.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F00"/>
          <w:spacing w:val="20"/>
          <w:sz w:val="20"/>
          <w:szCs w:val="20"/>
        </w:rPr>
        <w:t xml:space="preserve">COLOR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800"/>
        <w:gridCol w:w="1280"/>
      </w:tblGrid>
      <w:tr>
        <w:trPr>
          <w:tblHeader/>
        </w:trPr>
        <w:tc>
          <w:tcPr>
            <w:tcW w:type="dxa" w:w="8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8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CSS custom properties for the full brand + status palette are defined and used everywhere</w:t>
            </w:r>
          </w:p>
        </w:tc>
        <w:tc>
          <w:tcPr>
            <w:tcW w:type="dxa" w:w="1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Status badges show the correct fg + bg pair for every state (Paid · Partial · Overdue · Prepaid · Active · Renewed · Terminated · Open · In Progress · Resolved · Closed · Emergency)</w:t>
            </w:r>
          </w:p>
        </w:tc>
        <w:tc>
          <w:tcPr>
            <w:tcW w:type="dxa" w:w="1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F00"/>
          <w:spacing w:val="20"/>
          <w:sz w:val="20"/>
          <w:szCs w:val="20"/>
        </w:rPr>
        <w:t xml:space="preserve">TYPOGRAPHY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800"/>
        <w:gridCol w:w="1280"/>
      </w:tblGrid>
      <w:tr>
        <w:trPr>
          <w:tblHeader/>
        </w:trPr>
        <w:tc>
          <w:tcPr>
            <w:tcW w:type="dxa" w:w="8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8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Poppins (600 + 700) and Inter (400 + 500) load before first paint</w:t>
            </w:r>
          </w:p>
        </w:tc>
        <w:tc>
          <w:tcPr>
            <w:tcW w:type="dxa" w:w="1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Desktop sizes apply at ≥ 1024 px; mobile sizes apply at ≤ 1023 px</w:t>
            </w:r>
          </w:p>
        </w:tc>
        <w:tc>
          <w:tcPr>
            <w:tcW w:type="dxa" w:w="1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DD/MM/YYYY date format used on every screen; ₹ Indian digit grouping on every amount; midnight renders as 00:00</w:t>
            </w:r>
          </w:p>
        </w:tc>
        <w:tc>
          <w:tcPr>
            <w:tcW w:type="dxa" w:w="1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F00"/>
          <w:spacing w:val="20"/>
          <w:sz w:val="20"/>
          <w:szCs w:val="20"/>
        </w:rPr>
        <w:t xml:space="preserve">LAYOUT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800"/>
        <w:gridCol w:w="1280"/>
      </w:tblGrid>
      <w:tr>
        <w:trPr>
          <w:tblHeader/>
        </w:trPr>
        <w:tc>
          <w:tcPr>
            <w:tcW w:type="dxa" w:w="8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8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Sidebar nav working on ≥ 1024 px; bottom tab bar working on ≤ 1023 px; sidebar drawer opens / closes on mobile</w:t>
            </w:r>
          </w:p>
        </w:tc>
        <w:tc>
          <w:tcPr>
            <w:tcW w:type="dxa" w:w="1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Every screen has been viewed at 320 × 640 px and 1440 px without horizontal scroll or content cut-off</w:t>
            </w:r>
          </w:p>
        </w:tc>
        <w:tc>
          <w:tcPr>
            <w:tcW w:type="dxa" w:w="1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MoreSheet opens for roles whose tabbar overflows (Admin, PM)</w:t>
            </w:r>
          </w:p>
        </w:tc>
        <w:tc>
          <w:tcPr>
            <w:tcW w:type="dxa" w:w="1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F00"/>
          <w:spacing w:val="20"/>
          <w:sz w:val="20"/>
          <w:szCs w:val="20"/>
        </w:rPr>
        <w:t xml:space="preserve">ROLES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800"/>
        <w:gridCol w:w="1280"/>
      </w:tblGrid>
      <w:tr>
        <w:trPr>
          <w:tblHeader/>
        </w:trPr>
        <w:tc>
          <w:tcPr>
            <w:tcW w:type="dxa" w:w="8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8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Super Admin sees cross-organization data only</w:t>
            </w:r>
          </w:p>
        </w:tc>
        <w:tc>
          <w:tcPr>
            <w:tcW w:type="dxa" w:w="1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Admin sees data scoped to own organization only</w:t>
            </w:r>
          </w:p>
        </w:tc>
        <w:tc>
          <w:tcPr>
            <w:tcW w:type="dxa" w:w="1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Property Manager sees data scoped to their assigned property only</w:t>
            </w:r>
          </w:p>
        </w:tc>
        <w:tc>
          <w:tcPr>
            <w:tcW w:type="dxa" w:w="1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Maintenance Team sees zero financial / lease data</w:t>
            </w:r>
          </w:p>
        </w:tc>
        <w:tc>
          <w:tcPr>
            <w:tcW w:type="dxa" w:w="1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Tenant sees own data only (own lease, own rent, own maintenance, own visitors)</w:t>
            </w:r>
          </w:p>
        </w:tc>
        <w:tc>
          <w:tcPr>
            <w:tcW w:type="dxa" w:w="1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F00"/>
          <w:spacing w:val="20"/>
          <w:sz w:val="20"/>
          <w:szCs w:val="20"/>
        </w:rPr>
        <w:t xml:space="preserve">BEHAVIOUR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800"/>
        <w:gridCol w:w="1280"/>
      </w:tblGrid>
      <w:tr>
        <w:trPr>
          <w:tblHeader/>
        </w:trPr>
        <w:tc>
          <w:tcPr>
            <w:tcW w:type="dxa" w:w="8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8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Rent field disabled / read-only on occupied units</w:t>
            </w:r>
          </w:p>
        </w:tc>
        <w:tc>
          <w:tcPr>
            <w:tcW w:type="dxa" w:w="1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Late fee is included in the payable amount shown on screen</w:t>
            </w:r>
          </w:p>
        </w:tc>
        <w:tc>
          <w:tcPr>
            <w:tcW w:type="dxa" w:w="1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Closed maintenance requests show no action buttons for any role</w:t>
            </w:r>
          </w:p>
        </w:tc>
        <w:tc>
          <w:tcPr>
            <w:tcW w:type="dxa" w:w="1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Record-payment surfaces are visible to Property Manager and Admin only</w:t>
            </w:r>
          </w:p>
        </w:tc>
        <w:tc>
          <w:tcPr>
            <w:tcW w:type="dxa" w:w="1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Maintenance Team can read + update assigned tickets; no create-new control is shown to them</w:t>
            </w:r>
          </w:p>
        </w:tc>
        <w:tc>
          <w:tcPr>
            <w:tcW w:type="dxa" w:w="1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Admin dashboard surfaces the 5+ maintenance requests alert when a single lease (or single room) raises 5+ requests in one calendar month</w:t>
            </w:r>
          </w:p>
        </w:tc>
        <w:tc>
          <w:tcPr>
            <w:tcW w:type="dxa" w:w="1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Impersonation banner is visible at all times during an Admin impersonation session</w:t>
            </w:r>
          </w:p>
        </w:tc>
        <w:tc>
          <w:tcPr>
            <w:tcW w:type="dxa" w:w="1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F00"/>
          <w:spacing w:val="20"/>
          <w:sz w:val="20"/>
          <w:szCs w:val="20"/>
        </w:rPr>
        <w:t xml:space="preserve">ACCESSIBILITY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800"/>
        <w:gridCol w:w="1280"/>
      </w:tblGrid>
      <w:tr>
        <w:trPr>
          <w:tblHeader/>
        </w:trPr>
        <w:tc>
          <w:tcPr>
            <w:tcW w:type="dxa" w:w="8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8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Every text + background combination meets WCAG AA contrast</w:t>
            </w:r>
          </w:p>
        </w:tc>
        <w:tc>
          <w:tcPr>
            <w:tcW w:type="dxa" w:w="1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Keyboard navigation tested end-to-end on every screen; Tab order matches reading order</w:t>
            </w:r>
          </w:p>
        </w:tc>
        <w:tc>
          <w:tcPr>
            <w:tcW w:type="dxa" w:w="1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Focus rings (2 px Saffron outline, 2 px offset) are visible on every focusable element</w:t>
            </w:r>
          </w:p>
        </w:tc>
        <w:tc>
          <w:tcPr>
            <w:tcW w:type="dxa" w:w="1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F00"/>
          <w:spacing w:val="20"/>
          <w:sz w:val="20"/>
          <w:szCs w:val="20"/>
        </w:rPr>
        <w:t xml:space="preserve">TESTING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800"/>
        <w:gridCol w:w="1280"/>
      </w:tblGrid>
      <w:tr>
        <w:trPr>
          <w:tblHeader/>
        </w:trPr>
        <w:tc>
          <w:tcPr>
            <w:tcW w:type="dxa" w:w="8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8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Verified on Chrome, Firefox, Safari, Edge</w:t>
            </w:r>
          </w:p>
        </w:tc>
        <w:tc>
          <w:tcPr>
            <w:tcW w:type="dxa" w:w="1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Verified on Android (mid-range) and iOS</w:t>
            </w:r>
          </w:p>
        </w:tc>
        <w:tc>
          <w:tcPr>
            <w:tcW w:type="dxa" w:w="128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FF6F00" w:sz="12" w:space="1"/>
        </w:pBdr>
        <w:spacing w:after="0" w:before="400"/>
        <w:jc w:val="center"/>
      </w:pPr>
    </w:p>
    <w:sectPr>
      <w:headerReference w:type="default" r:id="rId9"/>
      <w:footerReference w:type="default" r:id="rId10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46E7A"/>
        <w:sz w:val="18"/>
        <w:szCs w:val="18"/>
      </w:rPr>
      <w:t xml:space="preserve">GharSetu  —  UI / UX Design Document  ·  Page </w:t>
    </w:r>
    <w:r>
      <w:rPr>
        <w:rFonts w:ascii="Arial" w:cs="Arial" w:eastAsia="Arial" w:hAnsi="Arial"/>
        <w:color w:val="546E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46E7A"/>
        <w:sz w:val="18"/>
        <w:szCs w:val="18"/>
      </w:rPr>
      <w:t xml:space="preserve"> of </w:t>
    </w:r>
    <w:r>
      <w:rPr>
        <w:rFonts w:ascii="Arial" w:cs="Arial" w:eastAsia="Arial" w:hAnsi="Arial"/>
        <w:color w:val="546E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GharSetu — UI/UX Design Document</dc:title>
  <dc:creator>Aayush Kumar</dc:creator>
  <cp:lastModifiedBy>Un-named</cp:lastModifiedBy>
  <cp:revision>1</cp:revision>
  <dcterms:created xsi:type="dcterms:W3CDTF">2026-05-26T10:35:33.805Z</dcterms:created>
  <dcterms:modified xsi:type="dcterms:W3CDTF">2026-05-26T10:35:33.805Z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