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  <w:r>
        <w:t xml:space="preserve"/>
      </w:r>
    </w:p>
    <w:p>
      <w:pPr>
        <w:spacing w:after="480" w:before="0"/>
        <w:jc w:val="center"/>
      </w:pPr>
      <w:r>
        <w:rPr>
          <w:rFonts w:ascii="Arial" w:cs="Arial" w:eastAsia="Arial" w:hAnsi="Arial"/>
          <w:b/>
          <w:bCs/>
          <w:color w:val="1A237E"/>
          <w:sz w:val="64"/>
          <w:szCs w:val="64"/>
        </w:rPr>
        <w:t xml:space="preserve">GharSetu — Solution Overview</w:t>
      </w:r>
    </w:p>
    <w:p>
      <w:pPr>
        <w:pBdr>
          <w:bottom w:val="single" w:color="FF6F00" w:sz="16" w:space="1"/>
        </w:pBdr>
        <w:spacing w:after="1200" w:before="0"/>
        <w:jc w:val="center"/>
      </w:pP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i/>
          <w:iCs/>
          <w:color w:val="FF6F00"/>
          <w:spacing w:val="40"/>
          <w:sz w:val="28"/>
          <w:szCs w:val="28"/>
        </w:rPr>
        <w:t xml:space="preserve">DRAFT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Date: </w:t>
      </w:r>
      <w:r>
        <w:rPr>
          <w:rFonts w:ascii="Arial" w:cs="Arial" w:eastAsia="Arial" w:hAnsi="Arial"/>
          <w:color w:val="212121"/>
          <w:sz w:val="26"/>
          <w:szCs w:val="26"/>
        </w:rPr>
        <w:t xml:space="preserve">29 May 2026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Prepared by: </w:t>
      </w:r>
      <w:r>
        <w:rPr>
          <w:rFonts w:ascii="Arial" w:cs="Arial" w:eastAsia="Arial" w:hAnsi="Arial"/>
          <w:color w:val="212121"/>
          <w:sz w:val="26"/>
          <w:szCs w:val="26"/>
        </w:rPr>
        <w:t xml:space="preserve">Aayush Kumar, Triline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546E7A"/>
          <w:sz w:val="22"/>
          <w:szCs w:val="22"/>
        </w:rPr>
        <w:t xml:space="preserve">Contact: </w:t>
      </w:r>
      <w:r>
        <w:rPr>
          <w:rFonts w:ascii="Arial" w:cs="Arial" w:eastAsia="Arial" w:hAnsi="Arial"/>
          <w:color w:val="546E7A"/>
          <w:sz w:val="22"/>
          <w:szCs w:val="22"/>
        </w:rPr>
        <w:t xml:space="preserve">aayush@triline.co.in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Prepared for: </w:t>
      </w:r>
      <w:r>
        <w:rPr>
          <w:rFonts w:ascii="Arial" w:cs="Arial" w:eastAsia="Arial" w:hAnsi="Arial"/>
          <w:color w:val="212121"/>
          <w:sz w:val="26"/>
          <w:szCs w:val="26"/>
        </w:rPr>
        <w:t xml:space="preserve">GharSetu Operations</w:t>
      </w:r>
    </w:p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080" w:bottom="1080" w:left="1080" w:header="708" w:footer="708" w:gutter="0"/>
          <w:pgNumType/>
          <w:titlePg/>
          <w:docGrid w:linePitch="360"/>
        </w:sectPr>
      </w:pPr>
    </w:p>
    <w:p>
      <w:pPr>
        <w:pBdr>
          <w:bottom w:val="single" w:color="FF6F00" w:sz="12" w:space="1"/>
        </w:pBdr>
        <w:spacing w:after="280" w:before="0"/>
      </w:pPr>
      <w:r>
        <w:rPr>
          <w:rFonts w:ascii="Arial" w:cs="Arial" w:eastAsia="Arial" w:hAnsi="Arial"/>
          <w:b/>
          <w:bCs/>
          <w:color w:val="1A237E"/>
          <w:sz w:val="40"/>
          <w:szCs w:val="40"/>
        </w:rPr>
        <w:t xml:space="preserve">Introduction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GharSetu is a property-rental management platform that helps property owners and their teams run their day-to-day operations — properties, units, tenants, leases, rent collection, maintenance and visitors — in a single web-based system.</w:t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This document captures the current state of the existing GharSetu system, the new features being added in this engagement, and the rules and scope that frame the work.</w:t>
      </w:r>
    </w:p>
    <w:p>
      <w:pPr>
        <w:spacing w:after="160" w:before="0"/>
      </w:pPr>
      <w:r>
        <w:t xml:space="preserve"/>
      </w:r>
    </w:p>
    <w:p>
      <w:pPr>
        <w:pBdr>
          <w:bottom w:val="single" w:color="FF6F00" w:sz="12" w:space="1"/>
        </w:pBdr>
        <w:spacing w:after="280" w:before="0"/>
      </w:pPr>
      <w:r>
        <w:rPr>
          <w:rFonts w:ascii="Arial" w:cs="Arial" w:eastAsia="Arial" w:hAnsi="Arial"/>
          <w:b/>
          <w:bCs/>
          <w:color w:val="1A237E"/>
          <w:sz w:val="40"/>
          <w:szCs w:val="40"/>
        </w:rPr>
        <w:t xml:space="preserve">Incomplete Features in Current System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An audit of the existing system identified approximately 100 individual issues across every operational module — bugs, missing features and incomplete user journeys. The full enumeration is provided as a separate Bugs &amp; Gaps Excel sheet shared alongside this document. The table below names the major incomplete features per module.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76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Incomplete features</w:t>
            </w:r>
          </w:p>
        </w:tc>
      </w:tr>
      <w:tr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Users &amp; Access</w:t>
            </w:r>
          </w:p>
        </w:tc>
        <w:tc>
          <w:tcPr>
            <w:tcW w:type="dxa" w:w="76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User Management</w:t>
            </w:r>
          </w:p>
        </w:tc>
      </w:tr>
      <w:tr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Properties &amp; Units</w:t>
            </w:r>
          </w:p>
        </w:tc>
        <w:tc>
          <w:tcPr>
            <w:tcW w:type="dxa" w:w="76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Property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Unit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Reassign Property Manager</w:t>
            </w:r>
          </w:p>
        </w:tc>
      </w:tr>
      <w:tr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Leases &amp; Tenants</w:t>
            </w:r>
          </w:p>
        </w:tc>
        <w:tc>
          <w:tcPr>
            <w:tcW w:type="dxa" w:w="76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Lease Creation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Lease Renewal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Lease Termination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Rent Change Schedule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Tenant Creation</w:t>
            </w:r>
          </w:p>
        </w:tc>
      </w:tr>
      <w:tr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Maintenance Requests</w:t>
            </w:r>
          </w:p>
        </w:tc>
        <w:tc>
          <w:tcPr>
            <w:tcW w:type="dxa" w:w="76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Request Detail 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Status Lifecycle (Close &amp; Reopen)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Priority Change During Request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High-Volume Request Alert</w:t>
            </w:r>
          </w:p>
        </w:tc>
      </w:tr>
      <w:tr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Rent Collection</w:t>
            </w:r>
          </w:p>
        </w:tc>
        <w:tc>
          <w:tcPr>
            <w:tcW w:type="dxa" w:w="76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Record Payment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Partial Payment Tracking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Period Filters</w:t>
            </w:r>
          </w:p>
        </w:tc>
      </w:tr>
      <w:tr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Dashboard</w:t>
            </w:r>
          </w:p>
        </w:tc>
        <w:tc>
          <w:tcPr>
            <w:tcW w:type="dxa" w:w="76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Admin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Property Manager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Maintenance Team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Tenant Dashboard</w:t>
            </w:r>
          </w:p>
        </w:tc>
      </w:tr>
      <w:tr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Settings</w:t>
            </w:r>
          </w:p>
        </w:tc>
        <w:tc>
          <w:tcPr>
            <w:tcW w:type="dxa" w:w="76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Late-Fee Rate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Grace Period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Rent-Change Notice Window</w:t>
            </w:r>
          </w:p>
        </w:tc>
      </w:tr>
      <w:tr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Master Data Management</w:t>
            </w:r>
          </w:p>
        </w:tc>
        <w:tc>
          <w:tcPr>
            <w:tcW w:type="dxa" w:w="76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Amenities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Maintenance Categories</w:t>
            </w:r>
          </w:p>
        </w:tc>
      </w:tr>
      <w:tr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Server Hardening</w:t>
            </w:r>
          </w:p>
        </w:tc>
        <w:tc>
          <w:tcPr>
            <w:tcW w:type="dxa" w:w="76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Access control — tenant / Property Manager / Maintenance each scoped to their own data only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Data integrity — balances, late fees and period status derived at query time; deposit refunds append-only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Concurrency — database-level guards against two active leases on a unit and double-credited payments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Observability — append-only audit log on every critical mutation (lease, termination, refund, rent change, maintenance)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Performance — all list endpoints paginated; rolling 30-day maintenance counts indexed, not full-table-scanned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Security — tenant PII and bank reference numbers redacted from search results except where explicitly needed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Bdr>
          <w:bottom w:val="single" w:color="FF6F00" w:sz="12" w:space="1"/>
        </w:pBdr>
        <w:spacing w:after="280" w:before="0"/>
      </w:pPr>
      <w:r>
        <w:rPr>
          <w:rFonts w:ascii="Arial" w:cs="Arial" w:eastAsia="Arial" w:hAnsi="Arial"/>
          <w:b/>
          <w:bCs/>
          <w:color w:val="1A237E"/>
          <w:sz w:val="40"/>
          <w:szCs w:val="40"/>
        </w:rPr>
        <w:t xml:space="preserve">New Features as Per Requirement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F00"/>
          <w:spacing w:val="20"/>
          <w:sz w:val="20"/>
          <w:szCs w:val="20"/>
        </w:rPr>
        <w:t xml:space="preserve">LEASES &amp; TENANTS — PER-ROOM LEASING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You can now add </w:t>
      </w:r>
      <w:r>
        <w:rPr>
          <w:rFonts w:ascii="Arial" w:cs="Arial" w:eastAsia="Arial" w:hAnsi="Arial"/>
          <w:b/>
          <w:bCs/>
          <w:i w:val="false"/>
          <w:iCs w:val="false"/>
          <w:color w:val="1A237E"/>
          <w:sz w:val="22"/>
          <w:szCs w:val="22"/>
        </w:rPr>
        <w:t xml:space="preserve">rooms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 under any unit.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You can now create two types of lease — </w:t>
      </w:r>
      <w:r>
        <w:rPr>
          <w:rFonts w:ascii="Arial" w:cs="Arial" w:eastAsia="Arial" w:hAnsi="Arial"/>
          <w:b/>
          <w:bCs/>
          <w:i w:val="false"/>
          <w:iCs w:val="false"/>
          <w:color w:val="1A237E"/>
          <w:sz w:val="22"/>
          <w:szCs w:val="22"/>
        </w:rPr>
        <w:t xml:space="preserve">unit-wise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 or </w:t>
      </w:r>
      <w:r>
        <w:rPr>
          <w:rFonts w:ascii="Arial" w:cs="Arial" w:eastAsia="Arial" w:hAnsi="Arial"/>
          <w:b/>
          <w:bCs/>
          <w:i w:val="false"/>
          <w:iCs w:val="false"/>
          <w:color w:val="1A237E"/>
          <w:sz w:val="22"/>
          <w:szCs w:val="22"/>
        </w:rPr>
        <w:t xml:space="preserve">room-wise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 — directly from the Create Lease page.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1A237E"/>
          <w:sz w:val="22"/>
          <w:szCs w:val="22"/>
        </w:rPr>
        <w:t xml:space="preserve">Shared areas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 can now be added at unit creation time, with an option to manage them from Master Data.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1A237E"/>
          <w:sz w:val="22"/>
          <w:szCs w:val="22"/>
        </w:rPr>
        <w:t xml:space="preserve">Maintenance requests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 are now two types for any lease — unit-wise or room-wise. On a room-based lease, the tenant can also select a </w:t>
      </w:r>
      <w:r>
        <w:rPr>
          <w:rFonts w:ascii="Arial" w:cs="Arial" w:eastAsia="Arial" w:hAnsi="Arial"/>
          <w:b/>
          <w:bCs/>
          <w:i w:val="false"/>
          <w:iCs w:val="false"/>
          <w:color w:val="1A237E"/>
          <w:sz w:val="22"/>
          <w:szCs w:val="22"/>
        </w:rPr>
        <w:t xml:space="preserve">shared area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 or a </w:t>
      </w:r>
      <w:r>
        <w:rPr>
          <w:rFonts w:ascii="Arial" w:cs="Arial" w:eastAsia="Arial" w:hAnsi="Arial"/>
          <w:b/>
          <w:bCs/>
          <w:i w:val="false"/>
          <w:iCs w:val="false"/>
          <w:color w:val="1A237E"/>
          <w:sz w:val="22"/>
          <w:szCs w:val="22"/>
        </w:rPr>
        <w:t xml:space="preserve">specific room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 as the location of the maintenance request.</w:t>
      </w:r>
    </w:p>
    <w:p>
      <w:pPr>
        <w:spacing w:after="1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F00"/>
          <w:spacing w:val="20"/>
          <w:sz w:val="20"/>
          <w:szCs w:val="20"/>
        </w:rPr>
        <w:t xml:space="preserve">USERS &amp; ACCESS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Impersonation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An Admin can </w:t>
      </w:r>
      <w:r>
        <w:rPr>
          <w:rFonts w:ascii="Arial" w:cs="Arial" w:eastAsia="Arial" w:hAnsi="Arial"/>
          <w:b/>
          <w:bCs/>
          <w:i w:val="false"/>
          <w:iCs w:val="false"/>
          <w:color w:val="1A237E"/>
          <w:sz w:val="22"/>
          <w:szCs w:val="22"/>
        </w:rPr>
        <w:t xml:space="preserve">sign in as any other user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 in their Organization (Property Manager, Maintenance Team member or Tenant) and perform actions on that user’s behalf.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Every action taken during the impersonation session is recorded against the </w:t>
      </w:r>
      <w:r>
        <w:rPr>
          <w:rFonts w:ascii="Arial" w:cs="Arial" w:eastAsia="Arial" w:hAnsi="Arial"/>
          <w:b/>
          <w:bCs/>
          <w:i w:val="false"/>
          <w:iCs w:val="false"/>
          <w:color w:val="1A237E"/>
          <w:sz w:val="22"/>
          <w:szCs w:val="22"/>
        </w:rPr>
        <w:t xml:space="preserve">Admin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, not the impersonated user.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Delegation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An Admin can </w:t>
      </w:r>
      <w:r>
        <w:rPr>
          <w:rFonts w:ascii="Arial" w:cs="Arial" w:eastAsia="Arial" w:hAnsi="Arial"/>
          <w:b/>
          <w:bCs/>
          <w:i w:val="false"/>
          <w:iCs w:val="false"/>
          <w:color w:val="1A237E"/>
          <w:sz w:val="22"/>
          <w:szCs w:val="22"/>
        </w:rPr>
        <w:t xml:space="preserve">delegate selected tasks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 to a Property Manager or a Maintenance Team member for a specified date range, and can revoke the delegation at any time.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Any action the delegate performs while the delegation is active is recorded against the </w:t>
      </w:r>
      <w:r>
        <w:rPr>
          <w:rFonts w:ascii="Arial" w:cs="Arial" w:eastAsia="Arial" w:hAnsi="Arial"/>
          <w:b/>
          <w:bCs/>
          <w:i w:val="false"/>
          <w:iCs w:val="false"/>
          <w:color w:val="1A237E"/>
          <w:sz w:val="22"/>
          <w:szCs w:val="22"/>
        </w:rPr>
        <w:t xml:space="preserve">delegate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, not the Admin.</w:t>
      </w:r>
    </w:p>
    <w:p>
      <w:pPr>
        <w:spacing w:after="80" w:before="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Tasks an Admin can delegate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7380"/>
      </w:tblGrid>
      <w:tr>
        <w:trPr>
          <w:tblHeader/>
        </w:trPr>
        <w:tc>
          <w:tcPr>
            <w:tcW w:type="dxa" w:w="27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73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 that can be delegated</w:t>
            </w:r>
          </w:p>
        </w:tc>
      </w:tr>
      <w:tr>
        <w:tc>
          <w:tcPr>
            <w:tcW w:type="dxa" w:w="27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Property &amp; Inventory</w:t>
            </w:r>
          </w:p>
        </w:tc>
        <w:tc>
          <w:tcPr>
            <w:tcW w:type="dxa" w:w="73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Add Property, Edit Property Settings, Retire Property, Add Unit, Edit Unit, Edit Unit Rent, Retire Unit, Manage Rooms</w:t>
            </w:r>
          </w:p>
        </w:tc>
      </w:tr>
      <w:tr>
        <w:tc>
          <w:tcPr>
            <w:tcW w:type="dxa" w:w="27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Leases</w:t>
            </w:r>
          </w:p>
        </w:tc>
        <w:tc>
          <w:tcPr>
            <w:tcW w:type="dxa" w:w="73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Create Lease, Terminate Lease, Schedule Rent Change</w:t>
            </w:r>
          </w:p>
        </w:tc>
      </w:tr>
      <w:tr>
        <w:tc>
          <w:tcPr>
            <w:tcW w:type="dxa" w:w="27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Rent &amp; Payments</w:t>
            </w:r>
          </w:p>
        </w:tc>
        <w:tc>
          <w:tcPr>
            <w:tcW w:type="dxa" w:w="73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Record Payment</w:t>
            </w:r>
          </w:p>
        </w:tc>
      </w:tr>
      <w:tr>
        <w:tc>
          <w:tcPr>
            <w:tcW w:type="dxa" w:w="27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Maintenance</w:t>
            </w:r>
          </w:p>
        </w:tc>
        <w:tc>
          <w:tcPr>
            <w:tcW w:type="dxa" w:w="73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Create Maintenance Request, Assign Maintenance Staff, Close Maintenance Request, Reopen Maintenance Request</w:t>
            </w:r>
          </w:p>
        </w:tc>
      </w:tr>
      <w:tr>
        <w:tc>
          <w:tcPr>
            <w:tcW w:type="dxa" w:w="27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Visitors</w:t>
            </w:r>
          </w:p>
        </w:tc>
        <w:tc>
          <w:tcPr>
            <w:tcW w:type="dxa" w:w="73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Approve / Deny Visitors, Check-in / Check-out Visitors</w:t>
            </w:r>
          </w:p>
        </w:tc>
      </w:tr>
      <w:tr>
        <w:tc>
          <w:tcPr>
            <w:tcW w:type="dxa" w:w="27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Users &amp; Team</w:t>
            </w:r>
          </w:p>
        </w:tc>
        <w:tc>
          <w:tcPr>
            <w:tcW w:type="dxa" w:w="73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Add User (PM / Maintenance), Edit User, Reset User Password, Activate / Deactivate User</w:t>
            </w:r>
          </w:p>
        </w:tc>
      </w:tr>
      <w:tr>
        <w:tc>
          <w:tcPr>
            <w:tcW w:type="dxa" w:w="27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Master Data</w:t>
            </w:r>
          </w:p>
        </w:tc>
        <w:tc>
          <w:tcPr>
            <w:tcW w:type="dxa" w:w="73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Manage Property Types, Manage Amenities, Manage Specializations, Manage Categories, Manage Visit Purposes</w:t>
            </w:r>
          </w:p>
        </w:tc>
      </w:tr>
      <w:tr>
        <w:tc>
          <w:tcPr>
            <w:tcW w:type="dxa" w:w="27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Audit &amp; Reports</w:t>
            </w:r>
          </w:p>
        </w:tc>
        <w:tc>
          <w:tcPr>
            <w:tcW w:type="dxa" w:w="73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View Audit Log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F00"/>
          <w:spacing w:val="20"/>
          <w:sz w:val="20"/>
          <w:szCs w:val="20"/>
        </w:rPr>
        <w:t xml:space="preserve">VISITOR MANAGEMENT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A new </w:t>
      </w:r>
      <w:r>
        <w:rPr>
          <w:rFonts w:ascii="Arial" w:cs="Arial" w:eastAsia="Arial" w:hAnsi="Arial"/>
          <w:b/>
          <w:bCs/>
          <w:i w:val="false"/>
          <w:iCs w:val="false"/>
          <w:color w:val="1A237E"/>
          <w:sz w:val="22"/>
          <w:szCs w:val="22"/>
        </w:rPr>
        <w:t xml:space="preserve">Visitor Management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 page is added.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Tenants can </w:t>
      </w:r>
      <w:r>
        <w:rPr>
          <w:rFonts w:ascii="Arial" w:cs="Arial" w:eastAsia="Arial" w:hAnsi="Arial"/>
          <w:b/>
          <w:bCs/>
          <w:i w:val="false"/>
          <w:iCs w:val="false"/>
          <w:color w:val="1A237E"/>
          <w:sz w:val="22"/>
          <w:szCs w:val="22"/>
        </w:rPr>
        <w:t xml:space="preserve">register expected visitors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The Property Manager or Admin can </w:t>
      </w:r>
      <w:r>
        <w:rPr>
          <w:rFonts w:ascii="Arial" w:cs="Arial" w:eastAsia="Arial" w:hAnsi="Arial"/>
          <w:b/>
          <w:bCs/>
          <w:i w:val="false"/>
          <w:iCs w:val="false"/>
          <w:color w:val="1A237E"/>
          <w:sz w:val="22"/>
          <w:szCs w:val="22"/>
        </w:rPr>
        <w:t xml:space="preserve">approve, deny and mark check-in / check-out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 for each visit.</w:t>
      </w:r>
    </w:p>
    <w:p>
      <w:pPr>
        <w:spacing w:after="1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F00"/>
          <w:spacing w:val="20"/>
          <w:sz w:val="20"/>
          <w:szCs w:val="20"/>
        </w:rPr>
        <w:t xml:space="preserve">ORGANIZATION MANAGEMENT (SAAS LAYER)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1A237E"/>
          <w:sz w:val="22"/>
          <w:szCs w:val="22"/>
        </w:rPr>
        <w:t xml:space="preserve">Multi-organization migration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— the current system is converted into a multi-organization platform; existing data is migrated into a new "default" organization.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1A237E"/>
          <w:sz w:val="22"/>
          <w:szCs w:val="22"/>
        </w:rPr>
        <w:t xml:space="preserve">Public organization sign-up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— any organization can now sign up to the platform from the Sign Up page.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1A237E"/>
          <w:sz w:val="22"/>
          <w:szCs w:val="22"/>
        </w:rPr>
        <w:t xml:space="preserve">Public website + legal pages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— the current homepage is reworked into a public marketing site that displays the subscription plans, and three new public pages are added: Contact, Privacy Policy, and Terms &amp; Conditions.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1A237E"/>
          <w:sz w:val="22"/>
          <w:szCs w:val="22"/>
        </w:rPr>
        <w:t xml:space="preserve">New Super Admin role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— a new platform-level role is introduced. The Super Admin reviews and approves organization sign-up requests; on approval the organization is provisioned and its first Admin is auto-created.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1A237E"/>
          <w:sz w:val="22"/>
          <w:szCs w:val="22"/>
        </w:rPr>
        <w:t xml:space="preserve">Subscription Plan catalogue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— the Super Admin manages the Subscription Plan catalogue (Basic / Standard / Premium) and assigns or changes the plan on any organization.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1A237E"/>
          <w:sz w:val="22"/>
          <w:szCs w:val="22"/>
        </w:rPr>
        <w:t xml:space="preserve">Organization lifecycle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— the Super Admin can view, deactivate or reactivate any organization on the platform.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1A237E"/>
          <w:sz w:val="22"/>
          <w:szCs w:val="22"/>
        </w:rPr>
        <w:t xml:space="preserve">Invoicing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— the Super Admin can manage invoices for every organization.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1A237E"/>
          <w:sz w:val="22"/>
          <w:szCs w:val="22"/>
        </w:rPr>
        <w:t xml:space="preserve">Legal pages and contact queries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— the Super Admin manages the public Legal pages (Privacy Policy, Terms &amp; Conditions) and can view incoming Contact queries and mark their status.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1A237E"/>
          <w:sz w:val="22"/>
          <w:szCs w:val="22"/>
        </w:rPr>
        <w:t xml:space="preserve">Platform-level Master Data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— the Super Admin manages a few platform-level master lists (city, state, payment methods, etc.) so that these values stay uniform across every organization on the platform.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1A237E"/>
          <w:sz w:val="22"/>
          <w:szCs w:val="22"/>
        </w:rPr>
        <w:t xml:space="preserve">Admin Organization view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— every Admin now has a new page showing their own organization’s details, subscription plan and invoices.</w:t>
      </w:r>
    </w:p>
    <w:p>
      <w:pPr>
        <w:spacing w:after="240" w:before="0"/>
      </w:pPr>
      <w:r>
        <w:t xml:space="preserve"/>
      </w:r>
    </w:p>
    <w:p>
      <w:pPr>
        <w:pBdr>
          <w:bottom w:val="single" w:color="FF6F00" w:sz="12" w:space="1"/>
        </w:pBdr>
        <w:spacing w:after="280" w:before="0"/>
      </w:pPr>
      <w:r>
        <w:rPr>
          <w:rFonts w:ascii="Arial" w:cs="Arial" w:eastAsia="Arial" w:hAnsi="Arial"/>
          <w:b/>
          <w:bCs/>
          <w:color w:val="1A237E"/>
          <w:sz w:val="40"/>
          <w:szCs w:val="40"/>
        </w:rPr>
        <w:t xml:space="preserve">Out of Scope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Custom domains and per-organization branding (logo, colours) — not available in this engagement.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Billing for Subscription Plans — manual invoicing only; no payment-gateway integration.</w:t>
      </w:r>
    </w:p>
    <w:p>
      <w:pPr>
        <w:spacing w:after="240" w:before="0"/>
      </w:pPr>
      <w:r>
        <w:t xml:space="preserve"/>
      </w:r>
    </w:p>
    <w:p>
      <w:pPr>
        <w:pBdr>
          <w:bottom w:val="single" w:color="FF6F00" w:sz="8" w:space="8"/>
        </w:pBdr>
        <w:spacing w:after="120" w:before="400"/>
        <w:jc w:val="center"/>
      </w:pPr>
      <w:r>
        <w:rPr>
          <w:rFonts w:ascii="Arial" w:cs="Arial" w:eastAsia="Arial" w:hAnsi="Arial"/>
          <w:b/>
          <w:bCs/>
          <w:color w:val="1A237E"/>
          <w:sz w:val="40"/>
          <w:szCs w:val="40"/>
        </w:rPr>
        <w:t xml:space="preserve">Next Steps</w:t>
      </w:r>
    </w:p>
    <w:p>
      <w:pPr>
        <w:spacing w:after="16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Once the scope is confirmed, work begins. Any clarifications or copy edits may be returned with this document; scope changes will trigger a revised plan.</w:t>
      </w:r>
    </w:p>
    <w:p>
      <w:pPr>
        <w:spacing w:after="360" w:before="0"/>
      </w:pPr>
      <w:r>
        <w:t xml:space="preserve"/>
      </w:r>
    </w:p>
    <w:p>
      <w:pPr>
        <w:pBdr>
          <w:bottom w:val="single" w:color="FF6F00" w:sz="12" w:space="1"/>
        </w:pBdr>
        <w:spacing w:after="0" w:before="200"/>
        <w:jc w:val="center"/>
      </w:pPr>
    </w:p>
    <w:sectPr>
      <w:headerReference w:type="default" r:id="rId9"/>
      <w:footerReference w:type="default" r:id="rId10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46E7A"/>
        <w:sz w:val="18"/>
        <w:szCs w:val="18"/>
      </w:rPr>
      <w:t xml:space="preserve">GharSetu  —  Solution Overview  ·  Page </w:t>
    </w:r>
    <w:r>
      <w:rPr>
        <w:rFonts w:ascii="Arial" w:cs="Arial" w:eastAsia="Arial" w:hAnsi="Arial"/>
        <w:color w:val="546E7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46E7A"/>
        <w:sz w:val="18"/>
        <w:szCs w:val="18"/>
      </w:rPr>
      <w:t xml:space="preserve"> of </w:t>
    </w:r>
    <w:r>
      <w:rPr>
        <w:rFonts w:ascii="Arial" w:cs="Arial" w:eastAsia="Arial" w:hAnsi="Arial"/>
        <w:color w:val="546E7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GharSetu — Solution Overview</dc:title>
  <dc:creator>Aayush Kumar</dc:creator>
  <cp:lastModifiedBy>Un-named</cp:lastModifiedBy>
  <cp:revision>1</cp:revision>
  <dcterms:created xsi:type="dcterms:W3CDTF">2026-05-29T11:55:02.093Z</dcterms:created>
  <dcterms:modified xsi:type="dcterms:W3CDTF">2026-05-29T11:55:02.094Z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