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A237E"/>
          <w:sz w:val="72"/>
          <w:szCs w:val="72"/>
        </w:rPr>
        <w:t xml:space="preserve">Solution Overview</w:t>
      </w:r>
    </w:p>
    <w:p>
      <w:pPr>
        <w:spacing w:after="600" w:before="0"/>
        <w:jc w:val="center"/>
      </w:pPr>
      <w:r>
        <w:rPr>
          <w:rFonts w:ascii="Arial" w:cs="Arial" w:eastAsia="Arial" w:hAnsi="Arial"/>
          <w:i/>
          <w:iCs/>
          <w:color w:val="546E7A"/>
          <w:sz w:val="32"/>
          <w:szCs w:val="32"/>
        </w:rPr>
        <w:t xml:space="preserve">GharSetu — Property Rental Management Platform</w:t>
      </w:r>
    </w:p>
    <w:p>
      <w:pPr>
        <w:pBdr>
          <w:bottom w:val="single" w:color="FF6F00" w:sz="12" w:space="1"/>
        </w:pBdr>
        <w:spacing w:after="600" w:before="0"/>
        <w:jc w:val="center"/>
      </w:pPr>
    </w:p>
    <w:p>
      <w:pPr>
        <w:spacing w:after="1600" w:before="0"/>
        <w:jc w:val="center"/>
      </w:pPr>
      <w:r>
        <w:rPr>
          <w:rFonts w:ascii="Arial" w:cs="Arial" w:eastAsia="Arial" w:hAnsi="Arial"/>
          <w:i/>
          <w:iCs/>
          <w:color w:val="546E7A"/>
          <w:sz w:val="24"/>
          <w:szCs w:val="24"/>
        </w:rPr>
        <w:t xml:space="preserve">[TODO] One-line context line that frames why we wrote this document.</w:t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Prepared for: </w:t>
      </w:r>
      <w:r>
        <w:rPr>
          <w:rFonts w:ascii="Arial" w:cs="Arial" w:eastAsia="Arial" w:hAnsi="Arial"/>
          <w:color w:val="212121"/>
          <w:sz w:val="24"/>
          <w:szCs w:val="24"/>
        </w:rPr>
        <w:t xml:space="preserve">[TODO] Client name</w:t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Prepared by: </w:t>
      </w:r>
      <w:r>
        <w:rPr>
          <w:rFonts w:ascii="Arial" w:cs="Arial" w:eastAsia="Arial" w:hAnsi="Arial"/>
          <w:color w:val="212121"/>
          <w:sz w:val="24"/>
          <w:szCs w:val="24"/>
        </w:rPr>
        <w:t xml:space="preserve">Aayush Kumar</w:t>
      </w:r>
    </w:p>
    <w:p>
      <w:pPr>
        <w:spacing w:after="0" w:before="0"/>
        <w:jc w:val="center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Date: </w:t>
      </w:r>
      <w:r>
        <w:rPr>
          <w:rFonts w:ascii="Arial" w:cs="Arial" w:eastAsia="Arial" w:hAnsi="Arial"/>
          <w:color w:val="212121"/>
          <w:sz w:val="24"/>
          <w:szCs w:val="24"/>
        </w:rPr>
        <w:t xml:space="preserve">[TODO] Month YYYY</w:t>
      </w:r>
    </w:p>
    <w:p>
      <w:r>
        <w:br w:type="page"/>
      </w:r>
    </w:p>
    <w:p>
      <w:pPr>
        <w:pStyle w:val="Heading1"/>
      </w:pPr>
      <w:r>
        <w:t xml:space="preserve">What We Heard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Summary of the client's current process and pain points — registers / Excel / WhatsApp, lease overlaps, prepaid mishandling, mid-month PM handover. Plain business language, no jargon.</w:t>
      </w:r>
    </w:p>
    <w:p>
      <w:pPr>
        <w:pStyle w:val="Heading1"/>
      </w:pPr>
      <w:r>
        <w:t xml:space="preserve">What You Will Get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Lead sentence — one line on what the platform delivers end-to-end.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Benefit bullet 1 — "Bold Lead — description."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Benefit bullet 2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Benefit bullet 3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Benefit bullet 4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Benefit bullet 5</w:t>
      </w:r>
    </w:p>
    <w:p>
      <w:pPr>
        <w:pStyle w:val="Heading1"/>
      </w:pPr>
      <w:r>
        <w:t xml:space="preserve">Who Uses the Platform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7280"/>
      </w:tblGrid>
      <w:tr>
        <w:trPr>
          <w:tblHeader/>
        </w:trPr>
        <w:tc>
          <w:tcPr>
            <w:tcW w:type="dxa" w:w="208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1A237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728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1A237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Responsibilities on the Platform</w:t>
            </w:r>
          </w:p>
        </w:tc>
      </w:tr>
      <w:tr>
        <w:tc>
          <w:tcPr>
            <w:tcW w:type="dxa" w:w="208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Admin</w:t>
            </w:r>
          </w:p>
        </w:tc>
        <w:tc>
          <w:tcPr>
            <w:tcW w:type="dxa" w:w="728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sz w:val="22"/>
                <w:szCs w:val="22"/>
              </w:rPr>
              <w:t xml:space="preserve">[TODO] Admin responsibility 1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sz w:val="22"/>
                <w:szCs w:val="22"/>
              </w:rPr>
              <w:t xml:space="preserve">[TODO] Admin responsibility 2</w:t>
            </w:r>
          </w:p>
        </w:tc>
      </w:tr>
      <w:tr>
        <w:tc>
          <w:tcPr>
            <w:tcW w:type="dxa" w:w="208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F8F9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Property Manager</w:t>
            </w:r>
          </w:p>
        </w:tc>
        <w:tc>
          <w:tcPr>
            <w:tcW w:type="dxa" w:w="728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sz w:val="22"/>
                <w:szCs w:val="22"/>
              </w:rPr>
              <w:t xml:space="preserve">[TODO] PM responsibility 1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sz w:val="22"/>
                <w:szCs w:val="22"/>
              </w:rPr>
              <w:t xml:space="preserve">[TODO] PM responsibility 2</w:t>
            </w:r>
          </w:p>
        </w:tc>
      </w:tr>
      <w:tr>
        <w:tc>
          <w:tcPr>
            <w:tcW w:type="dxa" w:w="208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Maintenance Team</w:t>
            </w:r>
          </w:p>
        </w:tc>
        <w:tc>
          <w:tcPr>
            <w:tcW w:type="dxa" w:w="728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sz w:val="22"/>
                <w:szCs w:val="22"/>
              </w:rPr>
              <w:t xml:space="preserve">[TODO] Maintenance responsibility 1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sz w:val="22"/>
                <w:szCs w:val="22"/>
              </w:rPr>
              <w:t xml:space="preserve">[TODO] Maintenance responsibility 2</w:t>
            </w:r>
          </w:p>
        </w:tc>
      </w:tr>
      <w:tr>
        <w:tc>
          <w:tcPr>
            <w:tcW w:type="dxa" w:w="208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F8F9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Tenant</w:t>
            </w:r>
          </w:p>
        </w:tc>
        <w:tc>
          <w:tcPr>
            <w:tcW w:type="dxa" w:w="728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sz w:val="22"/>
                <w:szCs w:val="22"/>
              </w:rPr>
              <w:t xml:space="preserve">[TODO] Tenant responsibility 1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sz w:val="22"/>
                <w:szCs w:val="22"/>
              </w:rPr>
              <w:t xml:space="preserve">[TODO] Tenant responsibility 2</w:t>
            </w:r>
          </w:p>
        </w:tc>
      </w:tr>
    </w:tbl>
    <w:p>
      <w:pPr>
        <w:spacing w:after="240"/>
      </w:pPr>
      <w:r>
        <w:t xml:space="preserve"/>
      </w:r>
    </w:p>
    <w:p>
      <w:pPr>
        <w:pStyle w:val="Heading1"/>
      </w:pPr>
      <w:r>
        <w:t xml:space="preserve">1. Users Management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3 bullets — Admin manages users; one role per user; access removal preserves history.</w:t>
      </w:r>
    </w:p>
    <w:p>
      <w:pPr>
        <w:pStyle w:val="Heading1"/>
      </w:pPr>
      <w:r>
        <w:t xml:space="preserve">2. Properties and Units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4 bullets — add buildings/units; one PM per property; mid-month reassignment with view-only fallback; retire units.</w:t>
      </w:r>
    </w:p>
    <w:p>
      <w:pPr>
        <w:pStyle w:val="Heading1"/>
      </w:pPr>
      <w:r>
        <w:t xml:space="preserve">3. Leases and Tenants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6 bullets — create leases; tenant search/reuse; co-tenants jointly liable; deposit refunds; renewal as new record; early closure with reason.</w:t>
      </w:r>
    </w:p>
    <w:p>
      <w:pPr>
        <w:pStyle w:val="Heading1"/>
      </w:pPr>
      <w:r>
        <w:t xml:space="preserve">4. Maintenance Requests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6 bullets — tenant + PM can raise; PM assigns; priority/emergency flags; tenant closes; reopen on recurrence; 5+/30-day alert.</w:t>
      </w:r>
    </w:p>
    <w:p>
      <w:pPr>
        <w:pStyle w:val="Heading2"/>
      </w:pPr>
      <w:r>
        <w:t xml:space="preserve">Maintenance Request Lifecycle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Embed lifecycle.png — Open → Assigned → In Progress → Resolved → Closed, with a saffron dashed reopen arrow. Drop image into doc-assets/templates/lifecycle.png and uncomment the ImageRun block below.</w:t>
      </w:r>
    </w:p>
    <w:p>
      <w:pPr>
        <w:pStyle w:val="Heading1"/>
      </w:pPr>
      <w:r>
        <w:t xml:space="preserve">5. Rent Collection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3 bullets — PM records full/partial/advance payments; rent status viewable at tenant/unit/building/portfolio level; monthly status (paid / partial / outstanding / overdue / prepaid).</w:t>
      </w:r>
    </w:p>
    <w:p>
      <w:pPr>
        <w:pStyle w:val="Heading1"/>
      </w:pPr>
      <w:r>
        <w:t xml:space="preserve">6. Dashboard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4 bullets — first page on login; key summary numbers; items needing attention; role-specific information.</w:t>
      </w:r>
    </w:p>
    <w:p>
      <w:pPr>
        <w:pBdr>
          <w:bottom w:val="single" w:color="FF6F00" w:sz="8" w:space="1"/>
        </w:pBdr>
        <w:spacing w:after="240" w:before="480"/>
      </w:pPr>
    </w:p>
    <w:p>
      <w:pPr>
        <w:pStyle w:val="Heading1"/>
      </w:pPr>
      <w:r>
        <w:t xml:space="preserve">Assumptions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5–6 bullets — one Admin sufficient; existing 120 leases onboarded; users have internet access; tenants onboarded by PMs; maintenance not charged separately; deposit collected at lease creation.</w:t>
      </w:r>
    </w:p>
    <w:p>
      <w:pPr>
        <w:pStyle w:val="Heading2"/>
      </w:pPr>
      <w:r>
        <w:t xml:space="preserve">Business Rules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Opening sentence asking the client to confirm.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11 bullets — no two active leases on same unit; new lease after previous closes; mid-term closure needs all co-tenants; rent change 60 days in advance with effective-date split; occupied unit can't re-list; resolution notes ≥ 20 chars; only Maintenance moves to In Progress; monthly billing; 31st edge case; overdue at 5 days; late fee 2% per full week non-compounding.</w:t>
      </w:r>
    </w:p>
    <w:p>
      <w:pPr>
        <w:pStyle w:val="Heading1"/>
      </w:pPr>
      <w:r>
        <w:t xml:space="preserve">Worked Examples</w:t>
      </w:r>
    </w:p>
    <w:p>
      <w:pPr>
        <w:pStyle w:val="Heading2"/>
      </w:pPr>
      <w:r>
        <w:t xml:space="preserve">Example 1: Late Fee Calculation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Intro line — restate the rule (2% / current month outstanding / per full week / non-compounding).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1A237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Scenario</w:t>
            </w:r>
          </w:p>
        </w:tc>
        <w:tc>
          <w:tcPr>
            <w:tcW w:type="dxa" w:w="624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1A237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Outcome</w:t>
            </w:r>
          </w:p>
        </w:tc>
      </w:tr>
      <w:tr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[TODO] Monthly rent</w:t>
            </w:r>
          </w:p>
        </w:tc>
        <w:tc>
          <w:tcPr>
            <w:tcW w:type="dxa" w:w="624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 ₹—</w:t>
            </w:r>
          </w:p>
        </w:tc>
      </w:tr>
      <w:tr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F8F9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[TODO] Due date</w:t>
            </w:r>
          </w:p>
        </w:tc>
        <w:tc>
          <w:tcPr>
            <w:tcW w:type="dxa" w:w="624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F8F9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 —</w:t>
            </w:r>
          </w:p>
        </w:tc>
      </w:tr>
      <w:tr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[TODO] Paid on due date</w:t>
            </w:r>
          </w:p>
        </w:tc>
        <w:tc>
          <w:tcPr>
            <w:tcW w:type="dxa" w:w="624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 ₹—</w:t>
            </w:r>
          </w:p>
        </w:tc>
      </w:tr>
      <w:tr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F8F9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[TODO] Outstanding for the month</w:t>
            </w:r>
          </w:p>
        </w:tc>
        <w:tc>
          <w:tcPr>
            <w:tcW w:type="dxa" w:w="624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F8F9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 ₹—</w:t>
            </w:r>
          </w:p>
        </w:tc>
      </w:tr>
      <w:tr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[TODO] Day 5 past due</w:t>
            </w:r>
          </w:p>
        </w:tc>
        <w:tc>
          <w:tcPr>
            <w:tcW w:type="dxa" w:w="624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 Shown as overdue</w:t>
            </w:r>
          </w:p>
        </w:tc>
      </w:tr>
      <w:tr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F8F9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[TODO] Day 7 (1 full week)</w:t>
            </w:r>
          </w:p>
        </w:tc>
        <w:tc>
          <w:tcPr>
            <w:tcW w:type="dxa" w:w="624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F8F9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 Late fee: 2% of ₹— = ₹—</w:t>
            </w:r>
          </w:p>
        </w:tc>
      </w:tr>
      <w:tr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[TODO] Day 14 (2 full weeks)</w:t>
            </w:r>
          </w:p>
        </w:tc>
        <w:tc>
          <w:tcPr>
            <w:tcW w:type="dxa" w:w="624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 Late fee: 2% of ₹— = ₹— (still on original)</w:t>
            </w:r>
          </w:p>
        </w:tc>
      </w:tr>
      <w:tr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F8F9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[TODO] Total late fee after 2 weeks</w:t>
            </w:r>
          </w:p>
        </w:tc>
        <w:tc>
          <w:tcPr>
            <w:tcW w:type="dxa" w:w="624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F8F9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 ₹—</w:t>
            </w:r>
          </w:p>
        </w:tc>
      </w:tr>
      <w:tr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[TODO] Total due</w:t>
            </w:r>
          </w:p>
        </w:tc>
        <w:tc>
          <w:tcPr>
            <w:tcW w:type="dxa" w:w="624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 ₹—</w:t>
            </w:r>
          </w:p>
        </w:tc>
      </w:tr>
    </w:tbl>
    <w:p>
      <w:pPr>
        <w:spacing w:after="240"/>
      </w:pPr>
      <w:r>
        <w:t xml:space="preserve"/>
      </w:r>
    </w:p>
    <w:p>
      <w:pPr>
        <w:pStyle w:val="Heading2"/>
      </w:pPr>
      <w:r>
        <w:t xml:space="preserve">Example 2: When Rent Shows as Overdue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Intro line — overdue triggers at 5 days past due.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1A237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Due Date</w:t>
            </w:r>
          </w:p>
        </w:tc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1A237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Today's Date</w:t>
            </w:r>
          </w:p>
        </w:tc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1A237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Status Shown</w:t>
            </w:r>
          </w:p>
        </w:tc>
      </w:tr>
      <w:tr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</w:t>
            </w:r>
          </w:p>
        </w:tc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</w:t>
            </w:r>
          </w:p>
        </w:tc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</w:t>
            </w:r>
          </w:p>
        </w:tc>
      </w:tr>
      <w:tr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F8F9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</w:t>
            </w:r>
          </w:p>
        </w:tc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F8F9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</w:t>
            </w:r>
          </w:p>
        </w:tc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F8F9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</w:t>
            </w:r>
          </w:p>
        </w:tc>
      </w:tr>
      <w:tr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</w:t>
            </w:r>
          </w:p>
        </w:tc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</w:t>
            </w:r>
          </w:p>
        </w:tc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[TODO]</w:t>
            </w:r>
          </w:p>
        </w:tc>
      </w:tr>
    </w:tbl>
    <w:p>
      <w:pPr>
        <w:spacing w:after="240"/>
      </w:pPr>
      <w:r>
        <w:t xml:space="preserve"/>
      </w:r>
    </w:p>
    <w:p>
      <w:pPr>
        <w:pStyle w:val="Heading2"/>
      </w:pPr>
      <w:r>
        <w:t xml:space="preserve">Example 3: Advance (Prepaid) Payment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Intro line — prepaid shows when payments exceed cumulative amount due to date.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1A237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Scenario</w:t>
            </w:r>
          </w:p>
        </w:tc>
        <w:tc>
          <w:tcPr>
            <w:tcW w:type="dxa" w:w="624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1A237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Outcome</w:t>
            </w:r>
          </w:p>
        </w:tc>
      </w:tr>
      <w:tr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[TODO]</w:t>
            </w:r>
          </w:p>
        </w:tc>
        <w:tc>
          <w:tcPr>
            <w:tcW w:type="dxa" w:w="624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</w:t>
            </w:r>
          </w:p>
        </w:tc>
      </w:tr>
      <w:tr>
        <w:tc>
          <w:tcPr>
            <w:tcW w:type="dxa" w:w="312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F8F9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[TODO]</w:t>
            </w:r>
          </w:p>
        </w:tc>
        <w:tc>
          <w:tcPr>
            <w:tcW w:type="dxa" w:w="6240"/>
            <w:tcBorders>
              <w:top w:val="single" w:color="ECEFF1" w:sz="4"/>
              <w:left w:val="single" w:color="ECEFF1" w:sz="4"/>
              <w:bottom w:val="single" w:color="ECEFF1" w:sz="4"/>
              <w:right w:val="single" w:color="ECEFF1" w:sz="4"/>
            </w:tcBorders>
            <w:shd w:fill="F8F9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 w:val="false"/>
                <w:bCs w:val="false"/>
                <w:sz w:val="22"/>
                <w:szCs w:val="22"/>
              </w:rPr>
              <w:t xml:space="preserve">[TODO]</w:t>
            </w:r>
          </w:p>
        </w:tc>
      </w:tr>
    </w:tbl>
    <w:p>
      <w:pPr>
        <w:spacing w:after="240"/>
      </w:pPr>
      <w:r>
        <w:t xml:space="preserve"/>
      </w:r>
    </w:p>
    <w:p>
      <w:pPr>
        <w:pStyle w:val="Heading1"/>
      </w:pPr>
      <w:r>
        <w:t xml:space="preserve">Not Included in This Phase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Intro line — these can be considered for a future phase.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Bullet — "Bold Lead: explanation." (Mobile app)</w:t>
      </w:r>
    </w:p>
    <w:p>
      <w:pPr>
        <w:shd w:fill="FFF8E1" w:val="clear"/>
        <w:spacing w:after="120" w:before="60"/>
      </w:pPr>
      <w:r>
        <w:rPr>
          <w:b/>
          <w:bCs/>
          <w:color w:val="FF6F00"/>
          <w:sz w:val="22"/>
          <w:szCs w:val="22"/>
        </w:rPr>
        <w:t xml:space="preserve">[TODO] </w:t>
      </w:r>
      <w:r>
        <w:rPr>
          <w:i/>
          <w:iCs/>
          <w:color w:val="546E7A"/>
          <w:sz w:val="22"/>
          <w:szCs w:val="22"/>
        </w:rPr>
        <w:t xml:space="preserve">Bullet — "Bold Lead: explanation." (Online payment collection)</w:t>
      </w:r>
    </w:p>
    <w:p>
      <w:pPr>
        <w:pBdr>
          <w:bottom w:val="single" w:color="FF6F00" w:sz="6" w:space="8"/>
        </w:pBdr>
        <w:spacing w:after="120" w:before="480"/>
        <w:jc w:val="center"/>
      </w:pPr>
      <w:r>
        <w:rPr>
          <w:rFonts w:ascii="Arial" w:cs="Arial" w:eastAsia="Arial" w:hAnsi="Arial"/>
          <w:b/>
          <w:bCs/>
          <w:color w:val="1A237E"/>
          <w:sz w:val="44"/>
          <w:szCs w:val="44"/>
        </w:rPr>
        <w:t xml:space="preserve">Next Steps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212121"/>
          <w:sz w:val="24"/>
          <w:szCs w:val="24"/>
        </w:rPr>
        <w:t xml:space="preserve">[TODO] Short paragraph asking the client to review and share feedback.</w:t>
      </w:r>
    </w:p>
    <w:p>
      <w:pPr>
        <w:spacing w:after="0"/>
        <w:jc w:val="center"/>
      </w:pPr>
      <w:r>
        <w:rPr>
          <w:rFonts w:ascii="Arial" w:cs="Arial" w:eastAsia="Arial" w:hAnsi="Arial"/>
          <w:i/>
          <w:iCs/>
          <w:color w:val="546E7A"/>
          <w:sz w:val="24"/>
          <w:szCs w:val="24"/>
        </w:rPr>
        <w:t xml:space="preserve">[TODO] One-line warm closing.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20" w:before="0"/>
    </w:pPr>
    <w:rPr>
      <w:rFonts w:ascii="Arial" w:cs="Arial" w:eastAsia="Arial" w:hAnsi="Arial"/>
      <w:b/>
      <w:bCs/>
      <w:color w:val="1A237E"/>
      <w:sz w:val="56"/>
      <w:szCs w:val="56"/>
    </w:rPr>
  </w:style>
  <w:style w:type="paragraph" w:styleId="Subtitle">
    <w:name w:val="Subtitle"/>
    <w:basedOn w:val="Normal"/>
    <w:next w:val="Normal"/>
    <w:qFormat/>
    <w:pPr>
      <w:spacing w:after="480" w:before="0"/>
    </w:pPr>
    <w:rPr>
      <w:rFonts w:ascii="Arial" w:cs="Arial" w:eastAsia="Arial" w:hAnsi="Arial"/>
      <w:i/>
      <w:iCs/>
      <w:color w:val="546E7A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FF6F00" w:sz="8" w:space="4"/>
      </w:pBdr>
      <w:spacing w:after="160" w:before="320"/>
      <w:outlineLvl w:val="0"/>
    </w:pPr>
    <w:rPr>
      <w:rFonts w:ascii="Arial" w:cs="Arial" w:eastAsia="Arial" w:hAnsi="Arial"/>
      <w:b/>
      <w:bCs/>
      <w:color w:val="1A237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Arial" w:cs="Arial" w:eastAsia="Arial" w:hAnsi="Arial"/>
      <w:b/>
      <w:bCs/>
      <w:color w:val="1565C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1212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2026-05-21T12:03:49.067Z</dcterms:created>
  <dcterms:modified xsi:type="dcterms:W3CDTF">2026-05-21T12:03:49.067Z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