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4"/>
                <w:szCs w:val="24"/>
              </w:rPr>
              <w:t xml:space="preserve">Assignment Brief — </w:t>
            </w:r>
            <w:r>
              <w:rPr>
                <w:rFonts w:ascii="Arial" w:cs="Arial" w:eastAsia="Arial" w:hAnsi="Arial"/>
                <w:b/>
                <w:bCs/>
                <w:i w:val="false"/>
                <w:iCs w:val="false"/>
                <w:color w:val="000000"/>
                <w:sz w:val="24"/>
                <w:szCs w:val="24"/>
              </w:rPr>
              <w:t xml:space="preserve">Property Rental Management</w:t>
            </w:r>
          </w:p>
          <w:p>
            <w:pPr>
              <w:spacing w:after="60" w:before="60"/>
              <w:jc w:val="left"/>
            </w:pPr>
            <w:r>
              <w:rPr>
                <w:rFonts w:ascii="Arial" w:cs="Arial" w:eastAsia="Arial" w:hAnsi="Arial"/>
                <w:b w:val="false"/>
                <w:bCs w:val="false"/>
                <w:i/>
                <w:iCs/>
                <w:color w:val="000000"/>
                <w:sz w:val="20"/>
                <w:szCs w:val="20"/>
              </w:rPr>
              <w:t xml:space="preserve">Real Estate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iCs/>
                <w:color w:val="000000"/>
                <w:sz w:val="22"/>
                <w:szCs w:val="22"/>
              </w:rPr>
              <w:t xml:space="preserve">Business context</w:t>
            </w:r>
          </w:p>
          <w:p>
            <w:pPr>
              <w:spacing w:after="60" w:before="60"/>
              <w:jc w:val="left"/>
            </w:pPr>
            <w:r>
              <w:rPr>
                <w:rFonts w:ascii="Arial" w:cs="Arial" w:eastAsia="Arial" w:hAnsi="Arial"/>
                <w:b w:val="false"/>
                <w:bCs w:val="false"/>
                <w:i w:val="false"/>
                <w:iCs w:val="false"/>
                <w:color w:val="000000"/>
                <w:sz w:val="20"/>
                <w:szCs w:val="20"/>
              </w:rPr>
              <w:t xml:space="preserve">A property management firm handles 120 rental units across 18 buildings. Lease agreements are in physical folders. Rent is tracked in spreadsheets. Maintenance requests come through WhatsApp and get lost. Last month a tenant paid rent for two months in advance and the system credited the second month as 'overpaid'. Build a complete rental management platform.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iCs/>
                <w:color w:val="000000"/>
                <w:sz w:val="22"/>
                <w:szCs w:val="22"/>
              </w:rPr>
              <w:t xml:space="preserve">Operational considerations</w:t>
            </w:r>
          </w:p>
          <w:p>
            <w:pPr>
              <w:spacing w:after="60" w:before="60"/>
              <w:jc w:val="left"/>
            </w:pPr>
            <w:r>
              <w:rPr>
                <w:rFonts w:ascii="Arial" w:cs="Arial" w:eastAsia="Arial" w:hAnsi="Arial"/>
                <w:b w:val="false"/>
                <w:bCs w:val="false"/>
                <w:i w:val="false"/>
                <w:iCs w:val="false"/>
                <w:color w:val="000000"/>
                <w:sz w:val="20"/>
                <w:szCs w:val="20"/>
              </w:rPr>
              <w:t xml:space="preserve">Real-world rentals have several conditions the system must handle gracefully. When a unit is being turned over between tenants — old lease ends Friday, new lease starts Monday — the weekend must be a valid no-lease state for the unit (neither overdue rent nor double-booked). When co-tenants on a joint lease both make rent payments concurrently for the same period, the system must not double-credit; the second payment that pushes the period beyond paid status is automatically credited toward the next period as a prepayment. When a property is sold and reassigned to a new PropertyManager mid-month, all historical data must remain accessible to the previous manager for audit but not editable; new events go to the new manager. Tenant timestamps for emergency maintenance (raised at 11pm, resolved at 2am) must be captured in the local timezone of the property, not UTC.</w:t>
            </w:r>
          </w:p>
        </w:tc>
      </w:tr>
    </w:tbl>
    <w:p>
      <w:pPr>
        <w:spacing w:after="160"/>
      </w:pPr>
      <w:r>
        <w:t xml:space="preserve"/>
      </w:r>
    </w:p>
    <w:p>
      <w:pPr>
        <w:spacing w:after="120" w:before="80"/>
        <w:jc w:val="left"/>
      </w:pPr>
      <w:r>
        <w:rPr>
          <w:rFonts w:ascii="Arial" w:cs="Arial" w:eastAsia="Arial" w:hAnsi="Arial"/>
          <w:b/>
          <w:bCs/>
          <w:i w:val="false"/>
          <w:iCs w:val="false"/>
          <w:color w:val="000000"/>
          <w:sz w:val="24"/>
          <w:szCs w:val="24"/>
        </w:rPr>
        <w:t xml:space="preserve">The 5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F1EFE8" w:color="auto"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Module</w:t>
            </w:r>
          </w:p>
        </w:tc>
        <w:tc>
          <w:tcPr>
            <w:tcW w:type="dxa" w:w="7160"/>
            <w:tcBorders>
              <w:top w:val="single" w:color="BFBFBF" w:sz="4"/>
              <w:left w:val="single" w:color="BFBFBF" w:sz="4"/>
              <w:bottom w:val="single" w:color="BFBFBF" w:sz="4"/>
              <w:right w:val="single" w:color="BFBFBF" w:sz="4"/>
            </w:tcBorders>
            <w:shd w:fill="F1EFE8" w:color="auto"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Key rules</w:t>
            </w:r>
          </w:p>
        </w:tc>
      </w:tr>
      <w:tr>
        <w:tc>
          <w:tcPr>
            <w:tcW w:type="dxa" w:w="220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M1 </w:t>
            </w:r>
            <w:r>
              <w:rPr>
                <w:rFonts w:ascii="Arial" w:cs="Arial" w:eastAsia="Arial" w:hAnsi="Arial"/>
                <w:b/>
                <w:bCs/>
                <w:i w:val="false"/>
                <w:iCs w:val="false"/>
                <w:color w:val="000000"/>
                <w:sz w:val="20"/>
                <w:szCs w:val="20"/>
              </w:rPr>
              <w:t xml:space="preserve">Auth &amp; Users</w:t>
            </w:r>
          </w:p>
        </w:tc>
        <w:tc>
          <w:tcPr>
            <w:tcW w:type="dxa" w:w="71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pStyle w:val="ListParagraph"/>
              <w:numPr>
                <w:ilvl w:val="0"/>
                <w:numId w:val="1"/>
              </w:numPr>
              <w:spacing w:after="40" w:before="40"/>
            </w:pPr>
            <w:r>
              <w:rPr>
                <w:rFonts w:ascii="Arial" w:cs="Arial" w:eastAsia="Arial" w:hAnsi="Arial"/>
                <w:sz w:val="19"/>
                <w:szCs w:val="19"/>
              </w:rPr>
              <w:t xml:space="preserve">Roles: Admin, PropertyManager, Maintenance, Tenant.</w:t>
            </w:r>
          </w:p>
          <w:p>
            <w:pPr>
              <w:pStyle w:val="ListParagraph"/>
              <w:numPr>
                <w:ilvl w:val="0"/>
                <w:numId w:val="1"/>
              </w:numPr>
              <w:spacing w:after="40" w:before="40"/>
            </w:pPr>
            <w:r>
              <w:rPr>
                <w:rFonts w:ascii="Arial" w:cs="Arial" w:eastAsia="Arial" w:hAnsi="Arial"/>
                <w:sz w:val="19"/>
                <w:szCs w:val="19"/>
              </w:rPr>
              <w:t xml:space="preserve">Tenants are created by PropertyManager on lease signing. No self-registration.</w:t>
            </w:r>
          </w:p>
          <w:p>
            <w:pPr>
              <w:pStyle w:val="ListParagraph"/>
              <w:numPr>
                <w:ilvl w:val="0"/>
                <w:numId w:val="1"/>
              </w:numPr>
              <w:spacing w:after="40" w:before="40"/>
            </w:pPr>
            <w:r>
              <w:rPr>
                <w:rFonts w:ascii="Arial" w:cs="Arial" w:eastAsia="Arial" w:hAnsi="Arial"/>
                <w:sz w:val="19"/>
                <w:szCs w:val="19"/>
              </w:rPr>
              <w:t xml:space="preserve">PropertyManagers are assigned to specific properties. No cross-property visibility.</w:t>
            </w:r>
          </w:p>
          <w:p>
            <w:pPr>
              <w:pStyle w:val="ListParagraph"/>
              <w:numPr>
                <w:ilvl w:val="0"/>
                <w:numId w:val="1"/>
              </w:numPr>
              <w:spacing w:after="40" w:before="40"/>
            </w:pPr>
            <w:r>
              <w:rPr>
                <w:rFonts w:ascii="Arial" w:cs="Arial" w:eastAsia="Arial" w:hAnsi="Arial"/>
                <w:sz w:val="19"/>
                <w:szCs w:val="19"/>
              </w:rPr>
              <w:t xml:space="preserve">Maintenance role: maintenance request CRUD only. No financial or lease access.</w:t>
            </w:r>
          </w:p>
          <w:p>
            <w:pPr>
              <w:pStyle w:val="ListParagraph"/>
              <w:numPr>
                <w:ilvl w:val="0"/>
                <w:numId w:val="1"/>
              </w:numPr>
              <w:spacing w:after="40" w:before="40"/>
            </w:pPr>
            <w:r>
              <w:rPr>
                <w:rFonts w:ascii="Arial" w:cs="Arial" w:eastAsia="Arial" w:hAnsi="Arial"/>
                <w:sz w:val="19"/>
                <w:szCs w:val="19"/>
              </w:rPr>
              <w:t xml:space="preserve">Co-tenant support: a single lease can have multiple Tenant accounts linked.</w:t>
            </w:r>
          </w:p>
        </w:tc>
      </w:tr>
      <w:tr>
        <w:tc>
          <w:tcPr>
            <w:tcW w:type="dxa" w:w="220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M2 </w:t>
            </w:r>
            <w:r>
              <w:rPr>
                <w:rFonts w:ascii="Arial" w:cs="Arial" w:eastAsia="Arial" w:hAnsi="Arial"/>
                <w:b/>
                <w:bCs/>
                <w:i w:val="false"/>
                <w:iCs w:val="false"/>
                <w:color w:val="000000"/>
                <w:sz w:val="20"/>
                <w:szCs w:val="20"/>
              </w:rPr>
              <w:t xml:space="preserve">Properties &amp; Units</w:t>
            </w:r>
          </w:p>
        </w:tc>
        <w:tc>
          <w:tcPr>
            <w:tcW w:type="dxa" w:w="71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pStyle w:val="ListParagraph"/>
              <w:numPr>
                <w:ilvl w:val="0"/>
                <w:numId w:val="1"/>
              </w:numPr>
              <w:spacing w:after="40" w:before="40"/>
            </w:pPr>
            <w:r>
              <w:rPr>
                <w:rFonts w:ascii="Arial" w:cs="Arial" w:eastAsia="Arial" w:hAnsi="Arial"/>
                <w:sz w:val="19"/>
                <w:szCs w:val="19"/>
              </w:rPr>
              <w:t xml:space="preserve">Property: name, address, type, total units, amenities, managedBy.</w:t>
            </w:r>
          </w:p>
          <w:p>
            <w:pPr>
              <w:pStyle w:val="ListParagraph"/>
              <w:numPr>
                <w:ilvl w:val="0"/>
                <w:numId w:val="1"/>
              </w:numPr>
              <w:spacing w:after="40" w:before="40"/>
            </w:pPr>
            <w:r>
              <w:rPr>
                <w:rFonts w:ascii="Arial" w:cs="Arial" w:eastAsia="Arial" w:hAnsi="Arial"/>
                <w:sz w:val="19"/>
                <w:szCs w:val="19"/>
              </w:rPr>
              <w:t xml:space="preserve">Unit: unitNumber, floor, bedrooms, bathrooms, area, monthlyRent, status: available, occupied, maintenance, listed, retired.</w:t>
            </w:r>
          </w:p>
          <w:p>
            <w:pPr>
              <w:pStyle w:val="ListParagraph"/>
              <w:numPr>
                <w:ilvl w:val="0"/>
                <w:numId w:val="1"/>
              </w:numPr>
              <w:spacing w:after="40" w:before="40"/>
            </w:pPr>
            <w:r>
              <w:rPr>
                <w:rFonts w:ascii="Arial" w:cs="Arial" w:eastAsia="Arial" w:hAnsi="Arial"/>
                <w:sz w:val="19"/>
                <w:szCs w:val="19"/>
              </w:rPr>
              <w:t xml:space="preserve">Occupied unit cannot be set to maintenance or listed without ending the active lease first.</w:t>
            </w:r>
          </w:p>
          <w:p>
            <w:pPr>
              <w:pStyle w:val="ListParagraph"/>
              <w:numPr>
                <w:ilvl w:val="0"/>
                <w:numId w:val="1"/>
              </w:numPr>
              <w:spacing w:after="40" w:before="40"/>
            </w:pPr>
            <w:r>
              <w:rPr>
                <w:rFonts w:ascii="Arial" w:cs="Arial" w:eastAsia="Arial" w:hAnsi="Arial"/>
                <w:sz w:val="19"/>
                <w:szCs w:val="19"/>
              </w:rPr>
              <w:t xml:space="preserve">Rent change permitted only when status is available or listed — never during an active lease.</w:t>
            </w:r>
          </w:p>
          <w:p>
            <w:pPr>
              <w:pStyle w:val="ListParagraph"/>
              <w:numPr>
                <w:ilvl w:val="0"/>
                <w:numId w:val="1"/>
              </w:numPr>
              <w:spacing w:after="40" w:before="40"/>
            </w:pPr>
            <w:r>
              <w:rPr>
                <w:rFonts w:ascii="Arial" w:cs="Arial" w:eastAsia="Arial" w:hAnsi="Arial"/>
                <w:sz w:val="19"/>
                <w:szCs w:val="19"/>
              </w:rPr>
              <w:t xml:space="preserve">Hard delete is forbidden. Removed units are 'retired' and never reactivated.</w:t>
            </w:r>
          </w:p>
        </w:tc>
      </w:tr>
      <w:tr>
        <w:tc>
          <w:tcPr>
            <w:tcW w:type="dxa" w:w="220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M3 </w:t>
            </w:r>
            <w:r>
              <w:rPr>
                <w:rFonts w:ascii="Arial" w:cs="Arial" w:eastAsia="Arial" w:hAnsi="Arial"/>
                <w:b/>
                <w:bCs/>
                <w:i w:val="false"/>
                <w:iCs w:val="false"/>
                <w:color w:val="000000"/>
                <w:sz w:val="20"/>
                <w:szCs w:val="20"/>
              </w:rPr>
              <w:t xml:space="preserve">Leases &amp; Tenants</w:t>
            </w:r>
          </w:p>
        </w:tc>
        <w:tc>
          <w:tcPr>
            <w:tcW w:type="dxa" w:w="71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pStyle w:val="ListParagraph"/>
              <w:numPr>
                <w:ilvl w:val="0"/>
                <w:numId w:val="1"/>
              </w:numPr>
              <w:spacing w:after="40" w:before="40"/>
            </w:pPr>
            <w:r>
              <w:rPr>
                <w:rFonts w:ascii="Arial" w:cs="Arial" w:eastAsia="Arial" w:hAnsi="Arial"/>
                <w:sz w:val="19"/>
                <w:szCs w:val="19"/>
              </w:rPr>
              <w:t xml:space="preserve">Lease: startDate, endDate, monthlyRent (locked at signing), securityDeposit, status: active, expired, terminated, renewed.</w:t>
            </w:r>
          </w:p>
          <w:p>
            <w:pPr>
              <w:pStyle w:val="ListParagraph"/>
              <w:numPr>
                <w:ilvl w:val="0"/>
                <w:numId w:val="1"/>
              </w:numPr>
              <w:spacing w:after="40" w:before="40"/>
            </w:pPr>
            <w:r>
              <w:rPr>
                <w:rFonts w:ascii="Arial" w:cs="Arial" w:eastAsia="Arial" w:hAnsi="Arial"/>
                <w:sz w:val="19"/>
                <w:szCs w:val="19"/>
              </w:rPr>
              <w:t xml:space="preserve">Two active leases on one unit are forbidden — enforce at database level.</w:t>
            </w:r>
          </w:p>
          <w:p>
            <w:pPr>
              <w:pStyle w:val="ListParagraph"/>
              <w:numPr>
                <w:ilvl w:val="0"/>
                <w:numId w:val="1"/>
              </w:numPr>
              <w:spacing w:after="40" w:before="40"/>
            </w:pPr>
            <w:r>
              <w:rPr>
                <w:rFonts w:ascii="Arial" w:cs="Arial" w:eastAsia="Arial" w:hAnsi="Arial"/>
                <w:sz w:val="19"/>
                <w:szCs w:val="19"/>
              </w:rPr>
              <w:t xml:space="preserve">Lease renewal creates a new lease record; the old lease keeps its status until its end date passes.</w:t>
            </w:r>
          </w:p>
          <w:p>
            <w:pPr>
              <w:pStyle w:val="ListParagraph"/>
              <w:numPr>
                <w:ilvl w:val="0"/>
                <w:numId w:val="1"/>
              </w:numPr>
              <w:spacing w:after="40" w:before="40"/>
            </w:pPr>
            <w:r>
              <w:rPr>
                <w:rFonts w:ascii="Arial" w:cs="Arial" w:eastAsia="Arial" w:hAnsi="Arial"/>
                <w:sz w:val="19"/>
                <w:szCs w:val="19"/>
              </w:rPr>
              <w:t xml:space="preserve">Early termination requires a termination date and reason. Financial history is fully retained.</w:t>
            </w:r>
          </w:p>
          <w:p>
            <w:pPr>
              <w:pStyle w:val="ListParagraph"/>
              <w:numPr>
                <w:ilvl w:val="0"/>
                <w:numId w:val="1"/>
              </w:numPr>
              <w:spacing w:after="40" w:before="40"/>
            </w:pPr>
            <w:r>
              <w:rPr>
                <w:rFonts w:ascii="Arial" w:cs="Arial" w:eastAsia="Arial" w:hAnsi="Arial"/>
                <w:sz w:val="19"/>
                <w:szCs w:val="19"/>
              </w:rPr>
              <w:t xml:space="preserve">Security deposit refunds support partial and full — both record amount and reason.</w:t>
            </w:r>
          </w:p>
          <w:p>
            <w:pPr>
              <w:pStyle w:val="ListParagraph"/>
              <w:numPr>
                <w:ilvl w:val="0"/>
                <w:numId w:val="1"/>
              </w:numPr>
              <w:spacing w:after="40" w:before="40"/>
            </w:pPr>
            <w:r>
              <w:rPr>
                <w:rFonts w:ascii="Arial" w:cs="Arial" w:eastAsia="Arial" w:hAnsi="Arial"/>
                <w:sz w:val="19"/>
                <w:szCs w:val="19"/>
              </w:rPr>
              <w:t xml:space="preserve">Joint liability: when a lease has co-tenants, all are jointly liable for unpaid rent. Termination by one co-tenant requires explicit consent from all others.</w:t>
            </w:r>
          </w:p>
        </w:tc>
      </w:tr>
      <w:tr>
        <w:tc>
          <w:tcPr>
            <w:tcW w:type="dxa" w:w="220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M4 </w:t>
            </w:r>
            <w:r>
              <w:rPr>
                <w:rFonts w:ascii="Arial" w:cs="Arial" w:eastAsia="Arial" w:hAnsi="Arial"/>
                <w:b/>
                <w:bCs/>
                <w:i w:val="false"/>
                <w:iCs w:val="false"/>
                <w:color w:val="000000"/>
                <w:sz w:val="20"/>
                <w:szCs w:val="20"/>
              </w:rPr>
              <w:t xml:space="preserve">Maintenance Requests</w:t>
            </w:r>
          </w:p>
        </w:tc>
        <w:tc>
          <w:tcPr>
            <w:tcW w:type="dxa" w:w="71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pStyle w:val="ListParagraph"/>
              <w:numPr>
                <w:ilvl w:val="0"/>
                <w:numId w:val="1"/>
              </w:numPr>
              <w:spacing w:after="40" w:before="40"/>
            </w:pPr>
            <w:r>
              <w:rPr>
                <w:rFonts w:ascii="Arial" w:cs="Arial" w:eastAsia="Arial" w:hAnsi="Arial"/>
                <w:sz w:val="19"/>
                <w:szCs w:val="19"/>
              </w:rPr>
              <w:t xml:space="preserve">Raised by Tenant or PropertyManager: unit, category, description (min 30 chars), priority (low/medium/high/emergency).</w:t>
            </w:r>
          </w:p>
          <w:p>
            <w:pPr>
              <w:pStyle w:val="ListParagraph"/>
              <w:numPr>
                <w:ilvl w:val="0"/>
                <w:numId w:val="1"/>
              </w:numPr>
              <w:spacing w:after="40" w:before="40"/>
            </w:pPr>
            <w:r>
              <w:rPr>
                <w:rFonts w:ascii="Arial" w:cs="Arial" w:eastAsia="Arial" w:hAnsi="Arial"/>
                <w:sz w:val="19"/>
                <w:szCs w:val="19"/>
              </w:rPr>
              <w:t xml:space="preserve">Lifecycle: open → assigned → in-progress → resolved → closed.</w:t>
            </w:r>
          </w:p>
          <w:p>
            <w:pPr>
              <w:pStyle w:val="ListParagraph"/>
              <w:numPr>
                <w:ilvl w:val="0"/>
                <w:numId w:val="1"/>
              </w:numPr>
              <w:spacing w:after="40" w:before="40"/>
            </w:pPr>
            <w:r>
              <w:rPr>
                <w:rFonts w:ascii="Arial" w:cs="Arial" w:eastAsia="Arial" w:hAnsi="Arial"/>
                <w:sz w:val="19"/>
                <w:szCs w:val="19"/>
              </w:rPr>
              <w:t xml:space="preserve">Tenants can close resolved requests. Only Maintenance role and above can move to in-progress.</w:t>
            </w:r>
          </w:p>
          <w:p>
            <w:pPr>
              <w:pStyle w:val="ListParagraph"/>
              <w:numPr>
                <w:ilvl w:val="0"/>
                <w:numId w:val="1"/>
              </w:numPr>
              <w:spacing w:after="40" w:before="40"/>
            </w:pPr>
            <w:r>
              <w:rPr>
                <w:rFonts w:ascii="Arial" w:cs="Arial" w:eastAsia="Arial" w:hAnsi="Arial"/>
                <w:sz w:val="19"/>
                <w:szCs w:val="19"/>
              </w:rPr>
              <w:t xml:space="preserve">Emergency priority sets a flag on the unit visible to PropertyManager.</w:t>
            </w:r>
          </w:p>
          <w:p>
            <w:pPr>
              <w:pStyle w:val="ListParagraph"/>
              <w:numPr>
                <w:ilvl w:val="0"/>
                <w:numId w:val="1"/>
              </w:numPr>
              <w:spacing w:after="40" w:before="40"/>
            </w:pPr>
            <w:r>
              <w:rPr>
                <w:rFonts w:ascii="Arial" w:cs="Arial" w:eastAsia="Arial" w:hAnsi="Arial"/>
                <w:sz w:val="19"/>
                <w:szCs w:val="19"/>
              </w:rPr>
              <w:t xml:space="preserve">Resolution requires notes (min 20 chars). Closed requests cannot be reopened.</w:t>
            </w:r>
          </w:p>
          <w:p>
            <w:pPr>
              <w:pStyle w:val="ListParagraph"/>
              <w:numPr>
                <w:ilvl w:val="0"/>
                <w:numId w:val="1"/>
              </w:numPr>
              <w:spacing w:after="40" w:before="40"/>
            </w:pPr>
            <w:r>
              <w:rPr>
                <w:rFonts w:ascii="Arial" w:cs="Arial" w:eastAsia="Arial" w:hAnsi="Arial"/>
                <w:sz w:val="19"/>
                <w:szCs w:val="19"/>
              </w:rPr>
              <w:t xml:space="preserve">If a Tenant raises 5+ requests in 30 days for the same unit, an Admin alert is created.</w:t>
            </w:r>
          </w:p>
        </w:tc>
      </w:tr>
      <w:tr>
        <w:tc>
          <w:tcPr>
            <w:tcW w:type="dxa" w:w="220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spacing w:after="60" w:before="60"/>
              <w:jc w:val="left"/>
            </w:pPr>
            <w:r>
              <w:rPr>
                <w:rFonts w:ascii="Arial" w:cs="Arial" w:eastAsia="Arial" w:hAnsi="Arial"/>
                <w:b/>
                <w:bCs/>
                <w:i w:val="false"/>
                <w:iCs w:val="false"/>
                <w:color w:val="000000"/>
                <w:sz w:val="20"/>
                <w:szCs w:val="20"/>
              </w:rPr>
              <w:t xml:space="preserve">M5 </w:t>
            </w:r>
            <w:r>
              <w:rPr>
                <w:rFonts w:ascii="Arial" w:cs="Arial" w:eastAsia="Arial" w:hAnsi="Arial"/>
                <w:b/>
                <w:bCs/>
                <w:i w:val="false"/>
                <w:iCs w:val="false"/>
                <w:color w:val="000000"/>
                <w:sz w:val="20"/>
                <w:szCs w:val="20"/>
              </w:rPr>
              <w:t xml:space="preserve">Rent Collection</w:t>
            </w:r>
          </w:p>
        </w:tc>
        <w:tc>
          <w:tcPr>
            <w:tcW w:type="dxa" w:w="7160"/>
            <w:tcBorders>
              <w:top w:val="single" w:color="BFBFBF" w:sz="4"/>
              <w:left w:val="single" w:color="BFBFBF" w:sz="4"/>
              <w:bottom w:val="single" w:color="BFBFBF" w:sz="4"/>
              <w:right w:val="single" w:color="BFBFBF" w:sz="4"/>
            </w:tcBorders>
            <w:tcMar>
              <w:top w:type="dxa" w:w="140"/>
              <w:left w:type="dxa" w:w="180"/>
              <w:bottom w:type="dxa" w:w="140"/>
              <w:right w:type="dxa" w:w="180"/>
            </w:tcMar>
          </w:tcPr>
          <w:p>
            <w:pPr>
              <w:pStyle w:val="ListParagraph"/>
              <w:numPr>
                <w:ilvl w:val="0"/>
                <w:numId w:val="1"/>
              </w:numPr>
              <w:spacing w:after="40" w:before="40"/>
            </w:pPr>
            <w:r>
              <w:rPr>
                <w:rFonts w:ascii="Arial" w:cs="Arial" w:eastAsia="Arial" w:hAnsi="Arial"/>
                <w:sz w:val="19"/>
                <w:szCs w:val="19"/>
              </w:rPr>
              <w:t xml:space="preserve">Rent due dates derived from lease start date — same day each month. If lease starts on day 31 and a month is shorter, the last day of that month is used.</w:t>
            </w:r>
          </w:p>
          <w:p>
            <w:pPr>
              <w:pStyle w:val="ListParagraph"/>
              <w:numPr>
                <w:ilvl w:val="0"/>
                <w:numId w:val="1"/>
              </w:numPr>
              <w:spacing w:after="40" w:before="40"/>
            </w:pPr>
            <w:r>
              <w:rPr>
                <w:rFonts w:ascii="Arial" w:cs="Arial" w:eastAsia="Arial" w:hAnsi="Arial"/>
                <w:sz w:val="19"/>
                <w:szCs w:val="19"/>
              </w:rPr>
              <w:t xml:space="preserve">Payment: amount, date, method, reference, recordedBy. Status per period: paid, partial, overdue, prepaid.</w:t>
            </w:r>
          </w:p>
          <w:p>
            <w:pPr>
              <w:pStyle w:val="ListParagraph"/>
              <w:numPr>
                <w:ilvl w:val="0"/>
                <w:numId w:val="1"/>
              </w:numPr>
              <w:spacing w:after="40" w:before="40"/>
            </w:pPr>
            <w:r>
              <w:rPr>
                <w:rFonts w:ascii="Arial" w:cs="Arial" w:eastAsia="Arial" w:hAnsi="Arial"/>
                <w:sz w:val="19"/>
                <w:szCs w:val="19"/>
              </w:rPr>
              <w:t xml:space="preserve">Overdue is system-derived: a period unpaid 5 days past due. Prepaid is when payments exceed cumulative amount due to date.</w:t>
            </w:r>
          </w:p>
          <w:p>
            <w:pPr>
              <w:pStyle w:val="ListParagraph"/>
              <w:numPr>
                <w:ilvl w:val="0"/>
                <w:numId w:val="1"/>
              </w:numPr>
              <w:spacing w:after="40" w:before="40"/>
            </w:pPr>
            <w:r>
              <w:rPr>
                <w:rFonts w:ascii="Arial" w:cs="Arial" w:eastAsia="Arial" w:hAnsi="Arial"/>
                <w:sz w:val="19"/>
                <w:szCs w:val="19"/>
              </w:rPr>
              <w:t xml:space="preserve">Late fee: 2% of outstanding balance per full week overdue, derived at query.</w:t>
            </w:r>
          </w:p>
          <w:p>
            <w:pPr>
              <w:pStyle w:val="ListParagraph"/>
              <w:numPr>
                <w:ilvl w:val="0"/>
                <w:numId w:val="1"/>
              </w:numPr>
              <w:spacing w:after="40" w:before="40"/>
            </w:pPr>
            <w:r>
              <w:rPr>
                <w:rFonts w:ascii="Arial" w:cs="Arial" w:eastAsia="Arial" w:hAnsi="Arial"/>
                <w:sz w:val="19"/>
                <w:szCs w:val="19"/>
              </w:rPr>
              <w:t xml:space="preserve">Partial payments allowed; outstanding balance is derived as total due minus sum of payments for that period.</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2026-05-04T02:24:33.555Z</dcterms:created>
  <dcterms:modified xsi:type="dcterms:W3CDTF">2026-05-04T02:24:33.555Z</dcterms:modified>
</cp:coreProperties>
</file>

<file path=docProps/custom.xml><?xml version="1.0" encoding="utf-8"?>
<Properties xmlns="http://schemas.openxmlformats.org/officeDocument/2006/custom-properties" xmlns:vt="http://schemas.openxmlformats.org/officeDocument/2006/docPropsVTypes"/>
</file>