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t xml:space="preserve"/>
      </w:r>
    </w:p>
    <w:p>
      <w:pPr>
        <w:spacing w:after="480" w:before="0"/>
        <w:jc w:val="center"/>
      </w:pPr>
      <w:r>
        <w:rPr>
          <w:rFonts w:ascii="Arial" w:cs="Arial" w:eastAsia="Arial" w:hAnsi="Arial"/>
          <w:b/>
          <w:bCs/>
          <w:color w:val="1A237E"/>
          <w:sz w:val="64"/>
          <w:szCs w:val="64"/>
        </w:rPr>
        <w:t xml:space="preserve">GharSetu — Solution Overview</w:t>
      </w:r>
    </w:p>
    <w:p>
      <w:pPr>
        <w:pBdr>
          <w:bottom w:val="single" w:color="FF6F00" w:sz="16" w:space="1"/>
        </w:pBdr>
        <w:spacing w:after="1200" w:before="0"/>
        <w:jc w:val="center"/>
      </w:pP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i/>
          <w:iCs/>
          <w:color w:val="FF6F00"/>
          <w:spacing w:val="40"/>
          <w:sz w:val="28"/>
          <w:szCs w:val="28"/>
        </w:rPr>
        <w:t xml:space="preserve">DRAFT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212121"/>
          <w:sz w:val="26"/>
          <w:szCs w:val="26"/>
        </w:rPr>
        <w:t xml:space="preserve">Date: </w:t>
      </w:r>
      <w:r>
        <w:rPr>
          <w:rFonts w:ascii="Arial" w:cs="Arial" w:eastAsia="Arial" w:hAnsi="Arial"/>
          <w:color w:val="212121"/>
          <w:sz w:val="26"/>
          <w:szCs w:val="26"/>
        </w:rPr>
        <w:t xml:space="preserve">26 May 2026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212121"/>
          <w:sz w:val="26"/>
          <w:szCs w:val="26"/>
        </w:rPr>
        <w:t xml:space="preserve">Prepared by: </w:t>
      </w:r>
      <w:r>
        <w:rPr>
          <w:rFonts w:ascii="Arial" w:cs="Arial" w:eastAsia="Arial" w:hAnsi="Arial"/>
          <w:color w:val="212121"/>
          <w:sz w:val="26"/>
          <w:szCs w:val="26"/>
        </w:rPr>
        <w:t xml:space="preserve">Aayush Kumar, Triline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546E7A"/>
          <w:sz w:val="22"/>
          <w:szCs w:val="22"/>
        </w:rPr>
        <w:t xml:space="preserve">Contact: </w:t>
      </w:r>
      <w:r>
        <w:rPr>
          <w:rFonts w:ascii="Arial" w:cs="Arial" w:eastAsia="Arial" w:hAnsi="Arial"/>
          <w:color w:val="546E7A"/>
          <w:sz w:val="22"/>
          <w:szCs w:val="22"/>
        </w:rPr>
        <w:t xml:space="preserve">aayush@triline.co.in</w:t>
      </w:r>
    </w:p>
    <w:p>
      <w:pPr>
        <w:spacing w:after="0" w:before="0"/>
        <w:jc w:val="center"/>
      </w:pPr>
      <w:r>
        <w:rPr>
          <w:rFonts w:ascii="Arial" w:cs="Arial" w:eastAsia="Arial" w:hAnsi="Arial"/>
          <w:b/>
          <w:bCs/>
          <w:color w:val="212121"/>
          <w:sz w:val="26"/>
          <w:szCs w:val="26"/>
        </w:rPr>
        <w:t xml:space="preserve">Prepared for: </w:t>
      </w:r>
      <w:r>
        <w:rPr>
          <w:rFonts w:ascii="Arial" w:cs="Arial" w:eastAsia="Arial" w:hAnsi="Arial"/>
          <w:color w:val="212121"/>
          <w:sz w:val="26"/>
          <w:szCs w:val="26"/>
        </w:rPr>
        <w:t xml:space="preserve">GharSetu Operations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080" w:bottom="1080" w:left="1080" w:header="708" w:footer="708" w:gutter="0"/>
          <w:pgNumType/>
          <w:titlePg/>
          <w:docGrid w:linePitch="360"/>
        </w:sectPr>
      </w:pP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Fixes in Existing Modules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Fixes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Users &amp; Access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Create User form lets Admin pick any role; only Property Manager and Maintenance Team should be selectable. Tenants must come from lease signing, not direct creation.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Properties &amp; Units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Property reassignment exposed in the UI but the action never completes.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No amenities field on the property form — amenity selection cannot be recorded against a unit.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Leases &amp; Tenants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Admin has no UI path to create a lease.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Lease renewal cannot add or remove tenants.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Early termination flow does not complete end-to-end (including tenant consent).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Maintenance Requests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No per-request detail view — only flat summary, no history.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No role can close or reopen a request — status flow never ends.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Admin cannot reassign across properties. Maintenance Team cannot change priority.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PM-raised requests on a tenant’s unit do not appear on the tenant’s portal.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Requests can be raised against vacant units (no active-lease gate); maintenance categories not modelled, no category field on the 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5+ maintenance requests alert missing on the Admin dashboard — when a single lease (or a single room in shared accommodation) raises 5 or more requests in one calendar month, the Admin should see an alert on the dashboard; this is not surfaced today.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Rent Collection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Admin has no UI path to record a payment.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Late fee and outstanding amount only refresh once a day — figures on screen can be a day out of date between refreshes.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Dashboard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Admin and Property Manager dashboards incomplete — missing rent collection %, overdue tenant count, open maintenance by priority, and upcoming lease expirations.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Maintenance Team has no working dashboard — landing errors. Needs a daily queue (assigned tickets by priority and status).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Tenant has no dashboard — only a lease snapshot today. Needs rent status, outstanding, recent payments and active maintenance in one place.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New Roles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capabilities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Review and approve organization sign-up requests; on approval, provision the organization and auto-create its first Admin.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Manage the Subscription Plan catalogue (Basic / Standard / Premium) and assign or change the plan on any organization.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View, deactivate or reactivate any organization on the platform.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Cross-organization visibility — the only role that reads across organization boundaries.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New Features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Features added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Leases &amp; Tenants — Per-Room Leasing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Room-based leasing mode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 property is set to Room-based at creation; each room of a unit can carry its own active lease. A 4-BHK can hold up to 4 independent leases.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Per-room rent, deposit, term, end date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each room lease is independent of the others on the same unit.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Shared common areas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maintenance on shared areas is visible to every room tenant; room-specific work is private to the room’s tenant.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Users &amp; Access — Admin Impersonation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Login-as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Admin can start an impersonation session as any Property Manager, Maintenance Team member or Tenant within their own Organization; the Admin can end the session at any time.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Users &amp; Access — Task Delegation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Delegate from Admin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Admin assigns specific tasks to a Property Manager or Maintenance Team member for a defined date range.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Window-bounded rights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the delegate has the extra rights only inside the window; before or after it, normal role-scope rules apply.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Visitor Management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Tenant pre-approval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name, phone, purpose, expected date and time.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PM approval + check-in / out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approve or deny; arrival and departure timestamped.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Master Data Administration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Reference lists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Amenities, Maintenance Categories, Payment Methods, City, State; Admin creates, edits and deactivates them from the UI.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Deactivate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deactivated entries become unselectable on new records (deactivation is only permitted once no records reference them).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Settings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Tunable values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late-fee rate, grace period and rent-change notice window; Admin tunes them from the UI.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Organization Management (SAAS layer)</w:t>
            </w:r>
          </w:p>
        </w:tc>
        <w:tc>
          <w:tcPr>
            <w:tcW w:type="dxa" w:w="7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Public organization sign-up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prospects submit an organization application; the request queues for Super Admin review.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Super Admin approval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on approval the organization is provisioned and its first Admin is auto-created.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Subscription plans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Basic / Standard / Premium catalogue managed by Super Admin; the plan caps active users.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37E"/>
                <w:sz w:val="22"/>
                <w:szCs w:val="22"/>
              </w:rPr>
              <w:t xml:space="preserve">Organization lifecycle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12121"/>
                <w:sz w:val="22"/>
                <w:szCs w:val="22"/>
              </w:rPr>
              <w:t xml:space="preserve">— Super Admin can view, deactivate or change the plan on any organization.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Leasing mode (Unit-based or Room-based) locks once any active lease exists on a property; switching requires terminating all active leases first.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Shared (whole-unit) maintenance requests are visible to every room tenant on the unit, the Property Manager and the Maintenance Team. Room-specific requests are visible to that room’s tenant, the Property Manager and the Maintenance Team only.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Amenities, Maintenance Categories and Payment Methods are sourced from Master Data (Admin-managed). Forms read the active list from Master Data at the time of selection; values are no longer hardcoded anywhere in the system.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Master Data entries that are in use on active records cannot be deactivated until they are no longer referenced.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Every user belongs to exactly one Organization, with the sole exception of the Super Admin. The Super Admin is a platform-level role and sits above all organizations. No other role — including Admin — can read or write outside its own Organization; the platform enforces this on every request.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Each Organization has exactly one Subscription Plan (Basic / Standard / Premium). The plan caps active users; the Super Admin can change an Organization’s plan at any time, and the new cap applies immediately to subsequent user additions.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During an Admin impersonation session, every action is recorded against the Admin in the audit log — never the impersonated user. The Admin cannot impersonate the Super Admin, and cannot impersonate users outside their own Organization.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 delegated task runs under the delegate (Property Manager or Maintenance Team) inside the Admin-defined date range. Actions during the delegation window are recorded against the delegate, not the Admin. Outside the window the delegate has no extra rights.</w:t>
      </w:r>
    </w:p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Details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SUBSCRIPTION PLANS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3000"/>
        <w:gridCol w:w="4680"/>
      </w:tblGrid>
      <w:tr>
        <w:trPr>
          <w:tblHeader/>
        </w:trP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</w:t>
            </w:r>
          </w:p>
        </w:tc>
        <w:tc>
          <w:tcPr>
            <w:tcW w:type="dxa" w:w="30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Active-user cap</w:t>
            </w:r>
          </w:p>
        </w:tc>
        <w:tc>
          <w:tcPr>
            <w:tcW w:type="dxa" w:w="4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Basic</w:t>
            </w:r>
          </w:p>
        </w:tc>
        <w:tc>
          <w:tcPr>
            <w:tcW w:type="dxa" w:w="30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5 users</w:t>
            </w:r>
          </w:p>
        </w:tc>
        <w:tc>
          <w:tcPr>
            <w:tcW w:type="dxa" w:w="4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Limited features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Standard</w:t>
            </w:r>
          </w:p>
        </w:tc>
        <w:tc>
          <w:tcPr>
            <w:tcW w:type="dxa" w:w="30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20 users</w:t>
            </w:r>
          </w:p>
        </w:tc>
        <w:tc>
          <w:tcPr>
            <w:tcW w:type="dxa" w:w="4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Core features</w:t>
            </w:r>
          </w:p>
        </w:tc>
      </w:tr>
      <w:tr>
        <w:tc>
          <w:tcPr>
            <w:tcW w:type="dxa" w:w="24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Premium</w:t>
            </w:r>
          </w:p>
        </w:tc>
        <w:tc>
          <w:tcPr>
            <w:tcW w:type="dxa" w:w="300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Unlimited</w:t>
            </w:r>
          </w:p>
        </w:tc>
        <w:tc>
          <w:tcPr>
            <w:tcW w:type="dxa" w:w="468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All features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ADMIN IMPERSONATION SCOPE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 role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Within own Organization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Cross-organization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Property Manager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✓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Maintenance Team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✓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Tenant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✓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Super Admin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ADMIN TASK DELEGATION</w:t>
      </w:r>
    </w:p>
    <w:p>
      <w:pPr>
        <w:spacing w:after="2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An Admin can delegate any action they themselves are authorised to perform, to a Property Manager or Maintenance Team member within their own Organization, for a defined date range. Outside that window the delegate has no extra rights.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FF6F00"/>
          <w:spacing w:val="20"/>
          <w:sz w:val="20"/>
          <w:szCs w:val="20"/>
        </w:rPr>
        <w:t xml:space="preserve">SETTINGS — DEFAULTS AND TUNABLE RANGES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1A237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Tunable range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Late-fee rate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2% per full week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0% – 10%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Grace period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5 days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shd w:fill="F4F6FB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0 – 15 days</w:t>
            </w:r>
          </w:p>
        </w:tc>
      </w:tr>
      <w:tr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A237E"/>
                <w:sz w:val="20"/>
                <w:szCs w:val="20"/>
              </w:rPr>
              <w:t xml:space="preserve">Rent-change notice window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60 days</w:t>
            </w:r>
          </w:p>
        </w:tc>
        <w:tc>
          <w:tcPr>
            <w:tcW w:type="dxa" w:w="3360"/>
            <w:tcBorders>
              <w:top w:val="single" w:color="CFD8DC" w:sz="4"/>
              <w:left w:val="single" w:color="CFD8DC" w:sz="4"/>
              <w:bottom w:val="single" w:color="CFD8DC" w:sz="4"/>
              <w:right w:val="single" w:color="CFD8DC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212121"/>
                <w:sz w:val="20"/>
                <w:szCs w:val="20"/>
              </w:rPr>
              <w:t xml:space="preserve">30 – 90 days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Assumptions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Data migration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existing v1 data (users, properties, units, leases, payments, audit log) is moved into a single default Organization. Working name: </w:t>
      </w:r>
      <w:r>
        <w:rPr>
          <w:rFonts w:ascii="Arial" w:cs="Arial" w:eastAsia="Arial" w:hAnsi="Arial"/>
          <w:b/>
          <w:bCs/>
          <w:i w:val="false"/>
          <w:iCs w:val="false"/>
          <w:color w:val="212121"/>
          <w:sz w:val="22"/>
          <w:szCs w:val="22"/>
        </w:rPr>
        <w:t xml:space="preserve">GharSetu Solutions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 — final name to be confirmed before kickoff.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ID continuity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existing user, property, unit, lease and payment IDs are preserved through the migration; no external integration breaks.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A237E"/>
          <w:sz w:val="22"/>
          <w:szCs w:val="22"/>
        </w:rPr>
        <w:t xml:space="preserve">Email scope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— existing transactional emails (password reset, rent-change notification) continue working unchanged.</w:t>
      </w:r>
    </w:p>
    <w:p>
      <w:pPr>
        <w:spacing w:after="240" w:before="0"/>
      </w:pPr>
      <w:r>
        <w:t xml:space="preserve"/>
      </w:r>
    </w:p>
    <w:p>
      <w:pPr>
        <w:pBdr>
          <w:bottom w:val="single" w:color="FF6F00" w:sz="12" w:space="1"/>
        </w:pBdr>
        <w:spacing w:after="280" w:before="0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Out of Scope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Custom domains and per-organization branding (logo, colours) — not available in this engagement.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Billing for Subscription Plans — manual invoicing only; no payment-gateway integration.</w:t>
      </w:r>
    </w:p>
    <w:p>
      <w:pPr>
        <w:spacing w:after="240" w:before="0"/>
      </w:pPr>
      <w:r>
        <w:t xml:space="preserve"/>
      </w:r>
    </w:p>
    <w:p>
      <w:pPr>
        <w:pBdr>
          <w:bottom w:val="single" w:color="FF6F00" w:sz="8" w:space="8"/>
        </w:pBdr>
        <w:spacing w:after="120" w:before="400"/>
        <w:jc w:val="center"/>
      </w:pPr>
      <w:r>
        <w:rPr>
          <w:rFonts w:ascii="Arial" w:cs="Arial" w:eastAsia="Arial" w:hAnsi="Arial"/>
          <w:b/>
          <w:bCs/>
          <w:color w:val="1A237E"/>
          <w:sz w:val="40"/>
          <w:szCs w:val="40"/>
        </w:rPr>
        <w:t xml:space="preserve">Next Steps</w:t>
      </w:r>
    </w:p>
    <w:p>
      <w:pPr>
        <w:spacing w:after="160" w:before="0"/>
      </w:pPr>
      <w:r>
        <w:t xml:space="preserve"/>
      </w:r>
    </w:p>
    <w:p>
      <w:pPr>
        <w:spacing w:after="12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12121"/>
          <w:sz w:val="22"/>
          <w:szCs w:val="22"/>
        </w:rPr>
        <w:t xml:space="preserve">Once the scope is confirmed, work begins. Any clarifications or copy edits may be returned with this document; scope changes will trigger a revised plan.</w:t>
      </w:r>
    </w:p>
    <w:p>
      <w:pPr>
        <w:spacing w:after="360" w:before="0"/>
      </w:pPr>
      <w:r>
        <w:t xml:space="preserve"/>
      </w:r>
    </w:p>
    <w:p>
      <w:pPr>
        <w:pBdr>
          <w:bottom w:val="single" w:color="FF6F00" w:sz="12" w:space="1"/>
        </w:pBdr>
        <w:spacing w:after="0" w:before="200"/>
        <w:jc w:val="center"/>
      </w:pPr>
    </w:p>
    <w:sectPr>
      <w:headerReference w:type="default" r:id="rId9"/>
      <w:footerReference w:type="default" r:id="rId10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46E7A"/>
        <w:sz w:val="18"/>
        <w:szCs w:val="18"/>
      </w:rPr>
      <w:t xml:space="preserve">GharSetu  —  Solution Overview  ·  Page </w:t>
    </w:r>
    <w:r>
      <w:rPr>
        <w:rFonts w:ascii="Arial" w:cs="Arial" w:eastAsia="Arial" w:hAnsi="Arial"/>
        <w:color w:val="546E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46E7A"/>
        <w:sz w:val="18"/>
        <w:szCs w:val="18"/>
      </w:rPr>
      <w:t xml:space="preserve"> of </w:t>
    </w:r>
    <w:r>
      <w:rPr>
        <w:rFonts w:ascii="Arial" w:cs="Arial" w:eastAsia="Arial" w:hAnsi="Arial"/>
        <w:color w:val="546E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GharSetu — Solution Overview</dc:title>
  <dc:creator>Aayush Kumar</dc:creator>
  <cp:lastModifiedBy>Un-named</cp:lastModifiedBy>
  <cp:revision>1</cp:revision>
  <dcterms:created xsi:type="dcterms:W3CDTF">2026-05-27T05:26:09.978Z</dcterms:created>
  <dcterms:modified xsi:type="dcterms:W3CDTF">2026-05-27T05:26:09.979Z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