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NetCore Systems Bid</w:t>
      </w:r>
    </w:p>
    <w:p>
      <w:pPr>
        <w:pStyle w:val="BodyText"/>
        <w:bidi w:val="0"/>
        <w:spacing w:before="0" w:after="283"/>
        <w:jc w:val="left"/>
        <w:rPr/>
      </w:pPr>
      <w:r>
        <w:rPr/>
        <w:t>GSTIN 27AABCN4455K1Z6. ISO 27001 certificate attached.</w:t>
      </w:r>
    </w:p>
    <w:p>
      <w:pPr>
        <w:pStyle w:val="BodyText"/>
        <w:bidi w:val="0"/>
        <w:spacing w:before="0" w:after="283"/>
        <w:jc w:val="left"/>
        <w:rPr/>
      </w:pPr>
      <w:r>
        <w:rPr/>
        <w:t>Offered switch: 48 ports, 10 Gbps uplinks, OEM authorization from NetCore.</w:t>
      </w:r>
    </w:p>
    <w:p>
      <w:pPr>
        <w:pStyle w:val="BodyText"/>
        <w:bidi w:val="0"/>
        <w:spacing w:before="0" w:after="283"/>
        <w:jc w:val="left"/>
        <w:rPr/>
      </w:pPr>
      <w:r>
        <w:rPr/>
        <w:t>Public-sector experience: three years listed. Warranty offered: one year.</w:t>
      </w:r>
    </w:p>
    <w:p>
      <w:pPr>
        <w:pStyle w:val="BodyText"/>
        <w:bidi w:val="0"/>
        <w:spacing w:before="0" w:after="283"/>
        <w:jc w:val="left"/>
        <w:rPr/>
      </w:pPr>
      <w:r>
        <w:rPr/>
        <w:t>Turnover: INR 12 crore, INR 11 crore and INR 13 crore for the last three years.</w:t>
      </w:r>
    </w:p>
    <w:p>
      <w:pPr>
        <w:pStyle w:val="BodyText"/>
        <w:bidi w:val="0"/>
        <w:spacing w:before="0" w:after="283"/>
        <w:jc w:val="left"/>
        <w:rPr/>
      </w:pPr>
      <w:r>
        <w:rPr/>
        <w:t>Delivery and installation commitment: 30 days.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51</Words>
  <Characters>300</Characters>
  <CharactersWithSpaces>345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