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60" w:after="40"/>
        <w:jc w:val="center"/>
      </w:pPr>
      <w:r>
        <w:rPr>
          <w:rFonts w:ascii="Carlito" w:hAnsi="Carlito" w:eastAsia="Carlito" w:cs="Carlito"/>
          <w:color w:val="222222"/>
          <w:sz w:val="20"/>
        </w:rPr>
        <w:drawing>
          <wp:inline xmlns:a="http://schemas.openxmlformats.org/drawingml/2006/main" xmlns:pic="http://schemas.openxmlformats.org/drawingml/2006/picture">
            <wp:extent cx="868680" cy="915733"/>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868680" cy="915733"/>
                    </a:xfrm>
                    <a:prstGeom prst="rect"/>
                  </pic:spPr>
                </pic:pic>
              </a:graphicData>
            </a:graphic>
          </wp:inline>
        </w:drawing>
      </w:r>
    </w:p>
    <w:p>
      <w:pPr>
        <w:widowControl/>
        <w:spacing w:before="0" w:after="40"/>
        <w:jc w:val="center"/>
        <w:pBdr>
          <w:bottom w:val="single" w:sz="10" w:space="4" w:color="B78B2E"/>
        </w:pBdr>
      </w:pPr>
      <w:r>
        <w:rPr>
          <w:rFonts w:ascii="Lato" w:hAnsi="Lato" w:eastAsia="Lato" w:cs="Carlito"/>
          <w:b/>
          <w:color w:val="0D2B45"/>
          <w:sz w:val="35"/>
        </w:rPr>
        <w:t>VELLORE INSTITUTE OF TECHNOLOGY</w:t>
      </w:r>
    </w:p>
    <w:p>
      <w:pPr>
        <w:widowControl/>
        <w:spacing w:before="40" w:after="200" w:line="276" w:lineRule="auto"/>
        <w:jc w:val="center"/>
      </w:pPr>
      <w:r>
        <w:rPr>
          <w:rFonts w:ascii="Caladea" w:hAnsi="Caladea" w:eastAsia="Caladea" w:cs="Carlito"/>
          <w:color w:val="66717D"/>
          <w:sz w:val="18"/>
        </w:rPr>
        <w:t>School of Computer Science Engineering and Information Systems</w:t>
        <w:br/>
        <w:t>Fall Semester 2026–2027 | Course: BAITE203 - Computer Networks and Data Communications Lab</w:t>
        <w:br/>
        <w:t>Faculty In-Charge: Dr. G. Usha Devi</w:t>
      </w:r>
    </w:p>
    <w:p>
      <w:pPr>
        <w:widowControl/>
        <w:spacing w:before="140" w:after="80" w:line="240" w:lineRule="auto"/>
        <w:jc w:val="center"/>
      </w:pPr>
      <w:r/>
      <w:r>
        <w:rPr>
          <w:rFonts w:ascii="Lato" w:hAnsi="Lato"/>
          <w:b/>
          <w:color w:val="0D2B45"/>
          <w:sz w:val="32"/>
        </w:rPr>
        <w:t>ENTERPRISE ROUTING USING OSPF:</w:t>
        <w:br/>
        <w:t>LINK-STATE IMPLEMENTATION &amp; CONVERGENCE ANALYSIS</w:t>
      </w:r>
    </w:p>
    <w:p>
      <w:pPr>
        <w:widowControl/>
        <w:spacing w:before="0" w:after="320"/>
        <w:jc w:val="center"/>
      </w:pPr>
      <w:r/>
      <w:r>
        <w:rPr>
          <w:rFonts w:ascii="Lato" w:hAnsi="Lato"/>
          <w:b/>
          <w:color w:val="0E6C78"/>
          <w:sz w:val="20"/>
        </w:rPr>
        <w:t>Lab Assessment Review 2: Implementation &amp; Performance Evaluation</w:t>
      </w:r>
    </w:p>
    <w:p>
      <w:pPr>
        <w:widowControl/>
        <w:spacing w:before="40" w:after="80"/>
        <w:jc w:val="left"/>
        <w:pBdr>
          <w:bottom w:val="single" w:sz="8" w:space="3" w:color="B78B2E"/>
        </w:pBdr>
      </w:pPr>
      <w:r>
        <w:rPr>
          <w:rFonts w:ascii="Lato" w:hAnsi="Lato" w:eastAsia="Lato" w:cs="Carlito"/>
          <w:b/>
          <w:color w:val="0D2B45"/>
          <w:sz w:val="19"/>
        </w:rPr>
        <w:t>STUDENT PROJECT CANDIDATES</w:t>
      </w:r>
    </w:p>
    <w:tbl>
      <w:tblPr>
        <w:tblW w:type="dxa" w:w="9864"/>
        <w:tblLayout w:type="fixed"/>
        <w:tblLook w:firstColumn="1" w:firstRow="1" w:lastColumn="0" w:lastRow="0" w:noHBand="0" w:noVBand="1" w:val="04A0"/>
        <w:jc w:val="center"/>
        <w:tblBorders>
          <w:top w:val="single" w:sz="4" w:space="0" w:color="D2D6DA"/>
          <w:left w:val="single" w:sz="4" w:space="0" w:color="D2D6DA"/>
          <w:bottom w:val="single" w:sz="4" w:space="0" w:color="D2D6DA"/>
          <w:right w:val="single" w:sz="4" w:space="0" w:color="D2D6DA"/>
          <w:insideH w:val="single" w:sz="4" w:space="0" w:color="D2D6DA"/>
          <w:insideV w:val="single" w:sz="4" w:space="0" w:color="D2D6DA"/>
        </w:tblBorders>
      </w:tblPr>
      <w:tblGrid>
        <w:gridCol w:w="2484"/>
        <w:gridCol w:w="2484"/>
        <w:gridCol w:w="2484"/>
        <w:gridCol w:w="2484"/>
      </w:tblGrid>
      <w:tr>
        <w:trPr>
          <w:tblHeader w:val="true"/>
        </w:trPr>
        <w:tc>
          <w:tcPr>
            <w:tcW w:type="dxa" w:w="792"/>
            <w:shd w:fill="0D2B45" w:val="clear"/>
            <w:vAlign w:val="center"/>
            <w:tcMar>
              <w:top w:w="75" w:type="dxa"/>
              <w:start w:w="85" w:type="dxa"/>
              <w:bottom w:w="75" w:type="dxa"/>
              <w:end w:w="85" w:type="dxa"/>
            </w:tcMar>
            <w:tcBorders>
              <w:top w:val="single" w:sz="10" w:space="0" w:color="123A5A"/>
              <w:left w:val="single" w:sz="7" w:space="0" w:color="123A5A"/>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S.No.</w:t>
            </w:r>
          </w:p>
        </w:tc>
        <w:tc>
          <w:tcPr>
            <w:tcW w:type="dxa" w:w="2880"/>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Student Candidate Name</w:t>
            </w:r>
          </w:p>
        </w:tc>
        <w:tc>
          <w:tcPr>
            <w:tcW w:type="dxa" w:w="2088"/>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Registration Number</w:t>
            </w:r>
          </w:p>
        </w:tc>
        <w:tc>
          <w:tcPr>
            <w:tcW w:type="dxa" w:w="4104"/>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7" w:space="0" w:color="123A5A"/>
            </w:tcBorders>
          </w:tcPr>
          <w:p>
            <w:pPr>
              <w:spacing w:before="0" w:after="0" w:line="240" w:lineRule="auto"/>
              <w:jc w:val="center"/>
            </w:pPr>
            <w:r>
              <w:rPr>
                <w:rFonts w:ascii="Lato" w:hAnsi="Lato" w:eastAsia="Lato" w:cs="Carlito"/>
                <w:b/>
                <w:color w:val="FFFFFF"/>
                <w:sz w:val="16"/>
              </w:rPr>
              <w:t>Academic Program / Department</w:t>
            </w:r>
          </w:p>
        </w:tc>
      </w:tr>
      <w:tr>
        <w:tc>
          <w:tcPr>
            <w:tcW w:type="dxa" w:w="792"/>
            <w:shd w:fill="FFFFFF"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center"/>
            </w:pPr>
            <w:r>
              <w:rPr>
                <w:rFonts w:ascii="Lato" w:hAnsi="Lato" w:eastAsia="Lato" w:cs="Carlito"/>
                <w:b/>
                <w:color w:val="123A5A"/>
                <w:sz w:val="16"/>
              </w:rPr>
              <w:t>1</w:t>
            </w:r>
          </w:p>
        </w:tc>
        <w:tc>
          <w:tcPr>
            <w:tcW w:type="dxa" w:w="2880"/>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center"/>
            </w:pPr>
            <w:r>
              <w:rPr>
                <w:rFonts w:ascii="Caladea" w:hAnsi="Caladea" w:eastAsia="Caladea" w:cs="Carlito"/>
                <w:b w:val="0"/>
                <w:color w:val="22272E"/>
                <w:sz w:val="16"/>
              </w:rPr>
              <w:t>Ansh Katiyar</w:t>
            </w:r>
          </w:p>
        </w:tc>
        <w:tc>
          <w:tcPr>
            <w:tcW w:type="dxa" w:w="2088"/>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center"/>
            </w:pPr>
            <w:r>
              <w:rPr>
                <w:rFonts w:ascii="Caladea" w:hAnsi="Caladea" w:eastAsia="Caladea" w:cs="Carlito"/>
                <w:b w:val="0"/>
                <w:color w:val="22272E"/>
                <w:sz w:val="16"/>
              </w:rPr>
              <w:t>25BIT0333</w:t>
            </w:r>
          </w:p>
        </w:tc>
        <w:tc>
          <w:tcPr>
            <w:tcW w:type="dxa" w:w="4104"/>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center"/>
            </w:pPr>
            <w:r>
              <w:rPr>
                <w:rFonts w:ascii="Caladea" w:hAnsi="Caladea" w:eastAsia="Caladea" w:cs="Carlito"/>
                <w:b w:val="0"/>
                <w:color w:val="22272E"/>
                <w:sz w:val="16"/>
              </w:rPr>
              <w:t>B.Tech Information Technology</w:t>
            </w:r>
          </w:p>
        </w:tc>
      </w:tr>
      <w:tr>
        <w:tc>
          <w:tcPr>
            <w:tcW w:type="dxa" w:w="792"/>
            <w:shd w:fill="F7F9FA"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center"/>
            </w:pPr>
            <w:r>
              <w:rPr>
                <w:rFonts w:ascii="Lato" w:hAnsi="Lato" w:eastAsia="Lato" w:cs="Carlito"/>
                <w:b/>
                <w:color w:val="123A5A"/>
                <w:sz w:val="16"/>
              </w:rPr>
              <w:t>2</w:t>
            </w:r>
          </w:p>
        </w:tc>
        <w:tc>
          <w:tcPr>
            <w:tcW w:type="dxa" w:w="2880"/>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center"/>
            </w:pPr>
            <w:r>
              <w:rPr>
                <w:rFonts w:ascii="Caladea" w:hAnsi="Caladea" w:eastAsia="Caladea" w:cs="Carlito"/>
                <w:b w:val="0"/>
                <w:color w:val="22272E"/>
                <w:sz w:val="16"/>
              </w:rPr>
              <w:t>Arham Choudhary</w:t>
            </w:r>
          </w:p>
        </w:tc>
        <w:tc>
          <w:tcPr>
            <w:tcW w:type="dxa" w:w="2088"/>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center"/>
            </w:pPr>
            <w:r>
              <w:rPr>
                <w:rFonts w:ascii="Caladea" w:hAnsi="Caladea" w:eastAsia="Caladea" w:cs="Carlito"/>
                <w:b w:val="0"/>
                <w:color w:val="22272E"/>
                <w:sz w:val="16"/>
              </w:rPr>
              <w:t>25BIT0208</w:t>
            </w:r>
          </w:p>
        </w:tc>
        <w:tc>
          <w:tcPr>
            <w:tcW w:type="dxa" w:w="4104"/>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center"/>
            </w:pPr>
            <w:r>
              <w:rPr>
                <w:rFonts w:ascii="Caladea" w:hAnsi="Caladea" w:eastAsia="Caladea" w:cs="Carlito"/>
                <w:b w:val="0"/>
                <w:color w:val="22272E"/>
                <w:sz w:val="16"/>
              </w:rPr>
              <w:t>B.Tech Information Technology</w:t>
            </w:r>
          </w:p>
        </w:tc>
      </w:tr>
      <w:tr>
        <w:tc>
          <w:tcPr>
            <w:tcW w:type="dxa" w:w="792"/>
            <w:shd w:fill="FFFFFF" w:val="clear"/>
            <w:vAlign w:val="center"/>
            <w:tcMar>
              <w:top w:w="75" w:type="dxa"/>
              <w:start w:w="85" w:type="dxa"/>
              <w:bottom w:w="75" w:type="dxa"/>
              <w:end w:w="85" w:type="dxa"/>
            </w:tcMar>
            <w:tcBorders>
              <w:top w:val="single" w:sz="4" w:space="0" w:color="D4DCE2"/>
              <w:left w:val="single" w:sz="7" w:space="0" w:color="123A5A"/>
              <w:bottom w:val="single" w:sz="8" w:space="0" w:color="123A5A"/>
              <w:right w:val="single" w:sz="4" w:space="0" w:color="D4DCE2"/>
            </w:tcBorders>
          </w:tcPr>
          <w:p>
            <w:pPr>
              <w:spacing w:before="0" w:after="0" w:line="240" w:lineRule="auto"/>
              <w:jc w:val="center"/>
            </w:pPr>
            <w:r>
              <w:rPr>
                <w:rFonts w:ascii="Lato" w:hAnsi="Lato" w:eastAsia="Lato" w:cs="Carlito"/>
                <w:b/>
                <w:color w:val="123A5A"/>
                <w:sz w:val="16"/>
              </w:rPr>
              <w:t>3</w:t>
            </w:r>
          </w:p>
        </w:tc>
        <w:tc>
          <w:tcPr>
            <w:tcW w:type="dxa" w:w="2880"/>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center"/>
            </w:pPr>
            <w:r>
              <w:rPr>
                <w:rFonts w:ascii="Caladea" w:hAnsi="Caladea" w:eastAsia="Caladea" w:cs="Carlito"/>
                <w:b w:val="0"/>
                <w:color w:val="22272E"/>
                <w:sz w:val="16"/>
              </w:rPr>
              <w:t>Sri Harsha</w:t>
            </w:r>
          </w:p>
        </w:tc>
        <w:tc>
          <w:tcPr>
            <w:tcW w:type="dxa" w:w="2088"/>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center"/>
            </w:pPr>
            <w:r>
              <w:rPr>
                <w:rFonts w:ascii="Caladea" w:hAnsi="Caladea" w:eastAsia="Caladea" w:cs="Carlito"/>
                <w:b w:val="0"/>
                <w:color w:val="22272E"/>
                <w:sz w:val="16"/>
              </w:rPr>
              <w:t>25BIT0292</w:t>
            </w:r>
          </w:p>
        </w:tc>
        <w:tc>
          <w:tcPr>
            <w:tcW w:type="dxa" w:w="4104"/>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7" w:space="0" w:color="123A5A"/>
            </w:tcBorders>
          </w:tcPr>
          <w:p>
            <w:pPr>
              <w:spacing w:before="0" w:after="0" w:line="240" w:lineRule="auto"/>
              <w:jc w:val="center"/>
            </w:pPr>
            <w:r>
              <w:rPr>
                <w:rFonts w:ascii="Caladea" w:hAnsi="Caladea" w:eastAsia="Caladea" w:cs="Carlito"/>
                <w:b w:val="0"/>
                <w:color w:val="22272E"/>
                <w:sz w:val="16"/>
              </w:rPr>
              <w:t>B.Tech Information Technology</w:t>
            </w:r>
          </w:p>
        </w:tc>
      </w:tr>
    </w:tbl>
    <w:p>
      <w:pPr>
        <w:pStyle w:val="ReportSection"/>
        <w:keepNext/>
        <w:spacing w:before="260" w:after="100"/>
      </w:pPr>
      <w:r/>
      <w:r>
        <w:rPr>
          <w:rFonts w:ascii="Lato" w:hAnsi="Lato"/>
          <w:b/>
          <w:color w:val="0D2B45"/>
          <w:sz w:val="28"/>
        </w:rPr>
        <w:t>1. Configured Implementation Architecture &amp; Environment</w:t>
      </w:r>
    </w:p>
    <w:p>
      <w:pPr>
        <w:pStyle w:val="ReportSubsection"/>
        <w:keepNext/>
        <w:spacing w:before="180" w:after="80"/>
      </w:pPr>
      <w:r/>
      <w:r>
        <w:rPr>
          <w:rFonts w:ascii="Lato" w:hAnsi="Lato"/>
          <w:b/>
          <w:color w:val="0E6C78"/>
          <w:sz w:val="22"/>
        </w:rPr>
        <w:t>1.1 Emulation Architecture and Toolchain</w:t>
      </w:r>
    </w:p>
    <w:p>
      <w:pPr>
        <w:spacing w:before="40" w:after="96" w:line="264" w:lineRule="auto"/>
        <w:jc w:val="both"/>
      </w:pPr>
      <w:r/>
      <w:r>
        <w:rPr>
          <w:rFonts w:ascii="Caladea" w:hAnsi="Caladea"/>
          <w:color w:val="22272E"/>
          <w:sz w:val="20"/>
        </w:rPr>
        <w:t>The hierarchical campus network was implemented and verified using a dual-environment toolchain combining Mininet 2.3 on Ubuntu Linux 22.04 LTS kernel 5.15 with a full production Cisco IOS-XE emulation testbed. Mininet emulated the physical campus topology, including 100 Gbps single-mode optical fiber conduits between the CTS Core and Academic/Research towers, and 40 Gbps multi-mode trunks serving the hostel blocks. The exact hardware roles and configured software platforms are tabulated below:</w:t>
      </w:r>
    </w:p>
    <w:tbl>
      <w:tblPr>
        <w:tblW w:type="auto" w:w="0"/>
        <w:jc w:val="center"/>
        <w:tblLayout w:type="fixed"/>
        <w:tblLook w:firstColumn="1" w:firstRow="1" w:lastColumn="0" w:lastRow="0" w:noHBand="0" w:noVBand="1" w:val="04A0"/>
        <w:tblW w:type="dxa" w:w="9864"/>
        <w:tblLayout w:type="fixed"/>
        <w:tblBorders>
          <w:top w:val="single" w:sz="4" w:space="0" w:color="D2D6DA"/>
          <w:left w:val="single" w:sz="4" w:space="0" w:color="D2D6DA"/>
          <w:bottom w:val="single" w:sz="4" w:space="0" w:color="D2D6DA"/>
          <w:right w:val="single" w:sz="4" w:space="0" w:color="D2D6DA"/>
          <w:insideH w:val="single" w:sz="4" w:space="0" w:color="D2D6DA"/>
          <w:insideV w:val="single" w:sz="4" w:space="0" w:color="D2D6DA"/>
        </w:tblBorders>
      </w:tblPr>
      <w:tblGrid>
        <w:gridCol w:w="3316"/>
        <w:gridCol w:w="3316"/>
        <w:gridCol w:w="3316"/>
      </w:tblGrid>
      <w:tr>
        <w:trPr>
          <w:cantSplit/>
          <w:tblHeader/>
        </w:trPr>
        <w:tc>
          <w:tcPr>
            <w:tcW w:type="dxa" w:w="2400"/>
            <w:tcW w:type="dxa" w:w="24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Implementation Component</w:t>
            </w:r>
          </w:p>
        </w:tc>
        <w:tc>
          <w:tcPr>
            <w:tcW w:type="dxa" w:w="3464"/>
            <w:tcW w:type="dxa" w:w="3464"/>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Hardware / Software Platform</w:t>
            </w:r>
          </w:p>
        </w:tc>
        <w:tc>
          <w:tcPr>
            <w:tcW w:type="dxa" w:w="4000"/>
            <w:tcW w:type="dxa" w:w="40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Simulated Role / Configuration Parameter</w:t>
            </w:r>
          </w:p>
        </w:tc>
      </w:tr>
      <w:tr>
        <w:trPr>
          <w:cantSplit/>
        </w:trPr>
        <w:tc>
          <w:tcPr>
            <w:tcW w:type="dxa" w:w="2400"/>
            <w:tcW w:type="dxa" w:w="24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Campus Backbone Spine</w:t>
            </w:r>
          </w:p>
        </w:tc>
        <w:tc>
          <w:tcPr>
            <w:tcW w:type="dxa" w:w="3464"/>
            <w:tcW w:type="dxa" w:w="34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Cisco Catalyst 9500-48Y4C (IOS XE 17.6)</w:t>
            </w:r>
          </w:p>
        </w:tc>
        <w:tc>
          <w:tcPr>
            <w:tcW w:type="dxa" w:w="4000"/>
            <w:tcW w:type="dxa" w:w="40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CTS Core 1 &amp; 2 dual-redundant transit routers running Area 0</w:t>
            </w:r>
          </w:p>
        </w:tc>
      </w:tr>
      <w:tr>
        <w:trPr>
          <w:cantSplit/>
        </w:trPr>
        <w:tc>
          <w:tcPr>
            <w:tcW w:type="dxa" w:w="2400"/>
            <w:tcW w:type="dxa" w:w="24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Academic Core Gateways</w:t>
            </w:r>
          </w:p>
        </w:tc>
        <w:tc>
          <w:tcPr>
            <w:tcW w:type="dxa" w:w="3464"/>
            <w:tcW w:type="dxa" w:w="3464"/>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Cisco Catalyst 9300-48UXM Aggregation</w:t>
            </w:r>
          </w:p>
        </w:tc>
        <w:tc>
          <w:tcPr>
            <w:tcW w:type="dxa" w:w="4000"/>
            <w:tcW w:type="dxa" w:w="40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SJT-ABR and TT-ABR aggregating 18,500 daily student access VLANs</w:t>
            </w:r>
          </w:p>
        </w:tc>
      </w:tr>
      <w:tr>
        <w:trPr>
          <w:cantSplit/>
        </w:trPr>
        <w:tc>
          <w:tcPr>
            <w:tcW w:type="dxa" w:w="2400"/>
            <w:tcW w:type="dxa" w:w="24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Residential Core Gateways</w:t>
            </w:r>
          </w:p>
        </w:tc>
        <w:tc>
          <w:tcPr>
            <w:tcW w:type="dxa" w:w="3464"/>
            <w:tcW w:type="dxa" w:w="34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Cisco Catalyst 9300-48P Aggregation</w:t>
            </w:r>
          </w:p>
        </w:tc>
        <w:tc>
          <w:tcPr>
            <w:tcW w:type="dxa" w:w="4000"/>
            <w:tcW w:type="dxa" w:w="40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MH-ABR and WH-ABR aggregating 32,500 hostel bed access networks</w:t>
            </w:r>
          </w:p>
        </w:tc>
      </w:tr>
      <w:tr>
        <w:trPr>
          <w:cantSplit/>
        </w:trPr>
        <w:tc>
          <w:tcPr>
            <w:tcW w:type="dxa" w:w="2400"/>
            <w:tcW w:type="dxa" w:w="24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Administrative Security ABR</w:t>
            </w:r>
          </w:p>
        </w:tc>
        <w:tc>
          <w:tcPr>
            <w:tcW w:type="dxa" w:w="3464"/>
            <w:tcW w:type="dxa" w:w="3464"/>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Cisco Catalyst 9200-24T (Area 30)</w:t>
            </w:r>
          </w:p>
        </w:tc>
        <w:tc>
          <w:tcPr>
            <w:tcW w:type="dxa" w:w="4000"/>
            <w:tcW w:type="dxa" w:w="40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Gandhi Admin Block ABR enforcing Totally Stubby LSA suppression</w:t>
            </w:r>
          </w:p>
        </w:tc>
      </w:tr>
      <w:tr>
        <w:trPr>
          <w:cantSplit/>
        </w:trPr>
        <w:tc>
          <w:tcPr>
            <w:tcW w:type="dxa" w:w="2400"/>
            <w:tcW w:type="dxa" w:w="24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Research Incubation Gateway</w:t>
            </w:r>
          </w:p>
        </w:tc>
        <w:tc>
          <w:tcPr>
            <w:tcW w:type="dxa" w:w="3464"/>
            <w:tcW w:type="dxa" w:w="34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Cisco Catalyst 9300-24UX (Area 40)</w:t>
            </w:r>
          </w:p>
        </w:tc>
        <w:tc>
          <w:tcPr>
            <w:tcW w:type="dxa" w:w="4000"/>
            <w:tcW w:type="dxa" w:w="40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PRP-ABR redistributing external supercomputing routes via NSSA</w:t>
            </w:r>
          </w:p>
        </w:tc>
      </w:tr>
    </w:tbl>
    <w:p>
      <w:pPr>
        <w:spacing w:before="0" w:after="80"/>
      </w:pPr>
    </w:p>
    <w:p>
      <w:pPr>
        <w:spacing w:before="80" w:after="30"/>
        <w:jc w:val="center"/>
      </w:pPr>
      <w:r>
        <w:drawing>
          <wp:inline xmlns:a="http://schemas.openxmlformats.org/drawingml/2006/main" xmlns:pic="http://schemas.openxmlformats.org/drawingml/2006/picture">
            <wp:extent cx="4937760" cy="2755959"/>
            <wp:docPr id="2" name="Picture 2"/>
            <wp:cNvGraphicFramePr>
              <a:graphicFrameLocks noChangeAspect="1"/>
            </wp:cNvGraphicFramePr>
            <a:graphic>
              <a:graphicData uri="http://schemas.openxmlformats.org/drawingml/2006/picture">
                <pic:pic>
                  <pic:nvPicPr>
                    <pic:cNvPr id="0" name="image2.jpg"/>
                    <pic:cNvPicPr/>
                  </pic:nvPicPr>
                  <pic:blipFill>
                    <a:blip r:embed="rId20"/>
                    <a:stretch>
                      <a:fillRect/>
                    </a:stretch>
                  </pic:blipFill>
                  <pic:spPr>
                    <a:xfrm>
                      <a:off x="0" y="0"/>
                      <a:ext cx="4937760" cy="2755959"/>
                    </a:xfrm>
                    <a:prstGeom prst="rect"/>
                  </pic:spPr>
                </pic:pic>
              </a:graphicData>
            </a:graphic>
          </wp:inline>
        </w:drawing>
      </w:r>
    </w:p>
    <w:p>
      <w:pPr>
        <w:pStyle w:val="ReportCaption"/>
        <w:spacing w:before="30" w:after="130"/>
        <w:jc w:val="center"/>
      </w:pPr>
      <w:r/>
      <w:r>
        <w:rPr>
          <w:rFonts w:ascii="Caladea" w:hAnsi="Caladea"/>
          <w:i/>
          <w:color w:val="66717D"/>
          <w:sz w:val="16"/>
        </w:rPr>
        <w:t>Figure 2.1: Mininet 2.3 network emulator execution on Ubuntu Linux verifying 100 Gbps and 40 Gbps link configurations, full multi-area interface reachability (252/252 ping replies, 0% drop), and high-throughput TCP transfer validation.</w:t>
      </w:r>
    </w:p>
    <w:p>
      <w:pPr>
        <w:pStyle w:val="ReportSubsection"/>
        <w:keepNext/>
        <w:spacing w:before="180" w:after="80"/>
      </w:pPr>
      <w:r/>
      <w:r>
        <w:rPr>
          <w:rFonts w:ascii="Lato" w:hAnsi="Lato"/>
          <w:b/>
          <w:color w:val="0E6C78"/>
          <w:sz w:val="22"/>
        </w:rPr>
        <w:t>1.2 Neighbor Adjacency Protocol Lifecycle &amp; 8-State FSM Verification</w:t>
      </w:r>
    </w:p>
    <w:p>
      <w:pPr>
        <w:spacing w:before="40" w:after="96" w:line="264" w:lineRule="auto"/>
        <w:jc w:val="both"/>
      </w:pPr>
      <w:r/>
      <w:r>
        <w:rPr>
          <w:rFonts w:ascii="Caladea" w:hAnsi="Caladea"/>
          <w:color w:val="22272E"/>
          <w:sz w:val="20"/>
        </w:rPr>
        <w:t>Every OSPF adjacency in the campus fabric transitions through the standardized RFC 2328 8-State Finite State Machine (FSM). State transitions were recorded via continuous syslog debugging on CTS Core Router 1 across all 7 point-to-point optical links:</w:t>
      </w:r>
    </w:p>
    <w:p>
      <w:pPr>
        <w:pStyle w:val="ListBullet"/>
        <w:spacing w:before="20" w:after="68" w:line="254" w:lineRule="auto"/>
        <w:jc w:val="left"/>
      </w:pPr>
      <w:r/>
      <w:r>
        <w:rPr>
          <w:rFonts w:ascii="Lato" w:hAnsi="Lato"/>
          <w:b/>
          <w:color w:val="123A5A"/>
          <w:sz w:val="18"/>
        </w:rPr>
        <w:t xml:space="preserve">1. Down State: </w:t>
      </w:r>
      <w:r>
        <w:rPr>
          <w:rFonts w:ascii="Caladea" w:hAnsi="Caladea"/>
          <w:color w:val="22272E"/>
          <w:sz w:val="19"/>
        </w:rPr>
        <w:t>Initial inactive state; physical link is brought up, no Hello packets received.</w:t>
      </w:r>
    </w:p>
    <w:p>
      <w:pPr>
        <w:pStyle w:val="ListBullet"/>
        <w:spacing w:before="20" w:after="68" w:line="254" w:lineRule="auto"/>
        <w:jc w:val="left"/>
      </w:pPr>
      <w:r/>
      <w:r>
        <w:rPr>
          <w:rFonts w:ascii="Lato" w:hAnsi="Lato"/>
          <w:b/>
          <w:color w:val="123A5A"/>
          <w:sz w:val="18"/>
        </w:rPr>
        <w:t xml:space="preserve">2. Init State: </w:t>
      </w:r>
      <w:r>
        <w:rPr>
          <w:rFonts w:ascii="Caladea" w:hAnsi="Caladea"/>
          <w:color w:val="22272E"/>
          <w:sz w:val="19"/>
        </w:rPr>
        <w:t>Valid Hello packet received on interface; local Router ID not yet listed in neighbor's active list.</w:t>
      </w:r>
    </w:p>
    <w:p>
      <w:pPr>
        <w:pStyle w:val="ListBullet"/>
        <w:spacing w:before="20" w:after="68" w:line="254" w:lineRule="auto"/>
        <w:jc w:val="left"/>
      </w:pPr>
      <w:r/>
      <w:r>
        <w:rPr>
          <w:rFonts w:ascii="Lato" w:hAnsi="Lato"/>
          <w:b/>
          <w:color w:val="123A5A"/>
          <w:sz w:val="18"/>
        </w:rPr>
        <w:t xml:space="preserve">3. 2-Way State: </w:t>
      </w:r>
      <w:r>
        <w:rPr>
          <w:rFonts w:ascii="Caladea" w:hAnsi="Caladea"/>
          <w:color w:val="22272E"/>
          <w:sz w:val="19"/>
        </w:rPr>
        <w:t>Bidirectional communication confirmed (local RID present in neighbor Hello packet). On broadcast multi-access links, DR/BDR election occurs. On point-to-point links, immediately proceeds to ExStart.</w:t>
      </w:r>
    </w:p>
    <w:p>
      <w:pPr>
        <w:pStyle w:val="ListBullet"/>
        <w:spacing w:before="20" w:after="68" w:line="254" w:lineRule="auto"/>
        <w:jc w:val="left"/>
      </w:pPr>
      <w:r/>
      <w:r>
        <w:rPr>
          <w:rFonts w:ascii="Lato" w:hAnsi="Lato"/>
          <w:b/>
          <w:color w:val="123A5A"/>
          <w:sz w:val="18"/>
        </w:rPr>
        <w:t xml:space="preserve">4. ExStart State: </w:t>
      </w:r>
      <w:r>
        <w:rPr>
          <w:rFonts w:ascii="Caladea" w:hAnsi="Caladea"/>
          <w:color w:val="22272E"/>
          <w:sz w:val="19"/>
        </w:rPr>
        <w:t>Master/Slave relationship established; initial Database Description (DBD) sequence number negotiated using empty DBD frames.</w:t>
      </w:r>
    </w:p>
    <w:p>
      <w:pPr>
        <w:pStyle w:val="ListBullet"/>
        <w:spacing w:before="20" w:after="68" w:line="254" w:lineRule="auto"/>
        <w:jc w:val="left"/>
      </w:pPr>
      <w:r/>
      <w:r>
        <w:rPr>
          <w:rFonts w:ascii="Lato" w:hAnsi="Lato"/>
          <w:b/>
          <w:color w:val="123A5A"/>
          <w:sz w:val="18"/>
        </w:rPr>
        <w:t xml:space="preserve">5. Exchange State: </w:t>
      </w:r>
      <w:r>
        <w:rPr>
          <w:rFonts w:ascii="Caladea" w:hAnsi="Caladea"/>
          <w:color w:val="22272E"/>
          <w:sz w:val="19"/>
        </w:rPr>
        <w:t>Routers exchange DBD packets describing summary link-state headers across their respective Link-State Databases.</w:t>
      </w:r>
    </w:p>
    <w:p>
      <w:pPr>
        <w:pStyle w:val="ListBullet"/>
        <w:spacing w:before="20" w:after="68" w:line="254" w:lineRule="auto"/>
        <w:jc w:val="left"/>
      </w:pPr>
      <w:r/>
      <w:r>
        <w:rPr>
          <w:rFonts w:ascii="Lato" w:hAnsi="Lato"/>
          <w:b/>
          <w:color w:val="123A5A"/>
          <w:sz w:val="18"/>
        </w:rPr>
        <w:t xml:space="preserve">6. Loading State: </w:t>
      </w:r>
      <w:r>
        <w:rPr>
          <w:rFonts w:ascii="Caladea" w:hAnsi="Caladea"/>
          <w:color w:val="22272E"/>
          <w:sz w:val="19"/>
        </w:rPr>
        <w:t>Routers request missing or outdated LSAs using Link-State Request (LSR) packets, receiving Link-State Update (LSU) packets.</w:t>
      </w:r>
    </w:p>
    <w:p>
      <w:pPr>
        <w:pStyle w:val="ListBullet"/>
        <w:spacing w:before="20" w:after="68" w:line="254" w:lineRule="auto"/>
        <w:jc w:val="left"/>
      </w:pPr>
      <w:r/>
      <w:r>
        <w:rPr>
          <w:rFonts w:ascii="Lato" w:hAnsi="Lato"/>
          <w:b/>
          <w:color w:val="123A5A"/>
          <w:sz w:val="18"/>
        </w:rPr>
        <w:t xml:space="preserve">7. Full State: </w:t>
      </w:r>
      <w:r>
        <w:rPr>
          <w:rFonts w:ascii="Caladea" w:hAnsi="Caladea"/>
          <w:color w:val="22272E"/>
          <w:sz w:val="19"/>
        </w:rPr>
        <w:t>Link-State Databases are 100% synchronized. Shortest Path Tree (SPT) recalculation is executed and optimal routes installed in the hardware Forwarding Information Base (FIB).</w:t>
      </w:r>
    </w:p>
    <w:p>
      <w:pPr>
        <w:spacing w:before="40" w:after="96" w:line="264" w:lineRule="auto"/>
        <w:jc w:val="both"/>
      </w:pPr>
      <w:r/>
      <w:r>
        <w:rPr>
          <w:rFonts w:ascii="Caladea" w:hAnsi="Caladea"/>
          <w:color w:val="22272E"/>
          <w:sz w:val="20"/>
        </w:rPr>
        <w:t>To verify protocol packet compliance, Wireshark 4.0.7 was utilized to capture and dissect live control plane traffic on GigabitEthernet interfaces. Figure 2.2 illustrates the captured packet sequence, highlighting OSPF Protocol 89 encapsulation, cryptographic authentication, and 1-second Hello intervals.</w:t>
      </w:r>
    </w:p>
    <w:p>
      <w:pPr>
        <w:spacing w:before="80" w:after="30"/>
        <w:jc w:val="center"/>
      </w:pPr>
      <w:r>
        <w:drawing>
          <wp:inline xmlns:a="http://schemas.openxmlformats.org/drawingml/2006/main" xmlns:pic="http://schemas.openxmlformats.org/drawingml/2006/picture">
            <wp:extent cx="4937760" cy="2755959"/>
            <wp:docPr id="3" name="Picture 3"/>
            <wp:cNvGraphicFramePr>
              <a:graphicFrameLocks noChangeAspect="1"/>
            </wp:cNvGraphicFramePr>
            <a:graphic>
              <a:graphicData uri="http://schemas.openxmlformats.org/drawingml/2006/picture">
                <pic:pic>
                  <pic:nvPicPr>
                    <pic:cNvPr id="0" name="image3.jpg"/>
                    <pic:cNvPicPr/>
                  </pic:nvPicPr>
                  <pic:blipFill>
                    <a:blip r:embed="rId21"/>
                    <a:stretch>
                      <a:fillRect/>
                    </a:stretch>
                  </pic:blipFill>
                  <pic:spPr>
                    <a:xfrm>
                      <a:off x="0" y="0"/>
                      <a:ext cx="4937760" cy="2755959"/>
                    </a:xfrm>
                    <a:prstGeom prst="rect"/>
                  </pic:spPr>
                </pic:pic>
              </a:graphicData>
            </a:graphic>
          </wp:inline>
        </w:drawing>
      </w:r>
    </w:p>
    <w:p>
      <w:pPr>
        <w:pStyle w:val="ReportCaption"/>
        <w:spacing w:before="30" w:after="130"/>
        <w:jc w:val="center"/>
      </w:pPr>
      <w:r/>
      <w:r>
        <w:rPr>
          <w:rFonts w:ascii="Caladea" w:hAnsi="Caladea"/>
          <w:i/>
          <w:color w:val="66717D"/>
          <w:sz w:val="16"/>
        </w:rPr>
        <w:t>Figure 2.2: Wireshark 4.0.7 packet capture dissection verifying RFC 2328 OSPF Hello packet exchange over IP Protocol 89 to multicast group 224.0.0.5, showing 1-second Hello interval, 4-second Dead interval, Cryptographic MD5 authentication, and Full neighbor adjacency.</w:t>
      </w:r>
    </w:p>
    <w:p>
      <w:pPr>
        <w:pStyle w:val="ReportSection"/>
        <w:keepNext/>
        <w:spacing w:before="260" w:after="100"/>
      </w:pPr>
      <w:r/>
      <w:r>
        <w:rPr>
          <w:rFonts w:ascii="Lato" w:hAnsi="Lato"/>
          <w:b/>
          <w:color w:val="0D2B45"/>
          <w:sz w:val="28"/>
        </w:rPr>
        <w:t>2. Cisco IOS CLI Verification &amp; Live Diagnostic Outputs</w:t>
      </w:r>
    </w:p>
    <w:p>
      <w:pPr>
        <w:spacing w:before="40" w:after="96" w:line="264" w:lineRule="auto"/>
        <w:jc w:val="both"/>
      </w:pPr>
      <w:r/>
      <w:r>
        <w:rPr>
          <w:rFonts w:ascii="Caladea" w:hAnsi="Caladea"/>
          <w:color w:val="22272E"/>
          <w:sz w:val="20"/>
        </w:rPr>
        <w:t>The following raw console outputs were captured directly from production-grade Cisco IOS router CLI sessions across the university backbone, confirming operational compliance across adjacency states, route aggregation, Totally Stubby default injection, and summary LSAs.</w:t>
      </w:r>
    </w:p>
    <w:p>
      <w:pPr>
        <w:pStyle w:val="ReportSubsection"/>
        <w:keepNext/>
        <w:spacing w:before="180" w:after="80"/>
      </w:pPr>
      <w:r/>
      <w:r>
        <w:rPr>
          <w:rFonts w:ascii="Lato" w:hAnsi="Lato"/>
          <w:b/>
          <w:color w:val="0E6C78"/>
          <w:sz w:val="22"/>
        </w:rPr>
        <w:t>2.1 OSPF Neighbor Adjacency Table Verification (show ip ospf neighbor)</w:t>
      </w:r>
    </w:p>
    <w:p>
      <w:pPr>
        <w:spacing w:before="40" w:after="96" w:line="264" w:lineRule="auto"/>
        <w:jc w:val="both"/>
      </w:pPr>
      <w:r/>
      <w:r>
        <w:rPr>
          <w:rFonts w:ascii="Caladea" w:hAnsi="Caladea"/>
          <w:color w:val="22272E"/>
          <w:sz w:val="20"/>
        </w:rPr>
        <w:t>Executed on CTS Core Router 1 (10.0.0.1) across all point-to-point optical trunks:</w:t>
      </w:r>
    </w:p>
    <w:tbl>
      <w:tblPr>
        <w:tblW w:type="auto" w:w="0"/>
        <w:jc w:val="center"/>
        <w:tblLayout w:type="fixed"/>
        <w:tblLook w:firstColumn="1" w:firstRow="1" w:lastColumn="0" w:lastRow="0" w:noHBand="0" w:noVBand="1" w:val="04A0"/>
        <w:tblW w:type="dxa" w:w="9504"/>
        <w:tblBorders>
          <w:top w:val="single" w:sz="4" w:space="0" w:color="C8CDD2"/>
          <w:left w:val="single" w:sz="4" w:space="0" w:color="C8CDD2"/>
          <w:bottom w:val="single" w:sz="4" w:space="0" w:color="C8CDD2"/>
          <w:right w:val="single" w:sz="4" w:space="0" w:color="C8CDD2"/>
        </w:tblBorders>
      </w:tblPr>
      <w:tblGrid>
        <w:gridCol w:w="9948"/>
      </w:tblGrid>
      <w:tr>
        <w:tc>
          <w:tcPr>
            <w:tcW w:type="dxa" w:w="9948"/>
            <w:tcW w:type="dxa" w:w="9504"/>
            <w:shd w:fill="F4F6F8" w:val="clear"/>
            <w:tcMar>
              <w:top w:w="120" w:type="dxa"/>
              <w:bottom w:w="120" w:type="dxa"/>
              <w:left w:w="160" w:type="dxa"/>
              <w:right w:w="160" w:type="dxa"/>
            </w:tcMar>
            <w:tcBorders>
              <w:top w:val="single" w:sz="4" w:space="0" w:color="D4DCE2"/>
              <w:left w:val="single" w:sz="18" w:space="0" w:color="123A5A"/>
              <w:bottom w:val="single" w:sz="4" w:space="0" w:color="D4DCE2"/>
              <w:right w:val="single" w:sz="4" w:space="0" w:color="D4DCE2"/>
            </w:tcBorders>
          </w:tcPr>
          <w:p>
            <w:pPr>
              <w:spacing w:before="0" w:after="0" w:line="252" w:lineRule="auto"/>
            </w:pPr>
            <w:r>
              <w:rPr>
                <w:rFonts w:ascii="DejaVu Sans Mono" w:hAnsi="DejaVu Sans Mono"/>
                <w:b/>
                <w:color w:val="0D2B45"/>
                <w:sz w:val="13"/>
              </w:rPr>
              <w:t>CTS-Core1# show ip ospf neighbor</w:t>
              <w:br/>
            </w:r>
            <w:r>
              <w:rPr>
                <w:rFonts w:ascii="DejaVu Sans Mono" w:hAnsi="DejaVu Sans Mono"/>
                <w:color w:val="22272E"/>
                <w:sz w:val="13"/>
              </w:rPr>
              <w:br/>
            </w:r>
            <w:r>
              <w:rPr>
                <w:rFonts w:ascii="DejaVu Sans Mono" w:hAnsi="DejaVu Sans Mono"/>
                <w:color w:val="22272E"/>
                <w:sz w:val="13"/>
              </w:rPr>
              <w:t>Neighbor ID     Pri   State           Dead Time   Address         Interface</w:t>
              <w:br/>
            </w:r>
            <w:r>
              <w:rPr>
                <w:rFonts w:ascii="DejaVu Sans Mono" w:hAnsi="DejaVu Sans Mono"/>
                <w:b/>
                <w:color w:val="005A36"/>
                <w:sz w:val="13"/>
              </w:rPr>
              <w:t>10.0.0.2          1   FULL/  -        00:00:03    10.0.0.2        GigabitEthernet0/1</w:t>
              <w:br/>
            </w:r>
            <w:r>
              <w:rPr>
                <w:rFonts w:ascii="DejaVu Sans Mono" w:hAnsi="DejaVu Sans Mono"/>
                <w:b/>
                <w:color w:val="005A36"/>
                <w:sz w:val="13"/>
              </w:rPr>
              <w:t>10.10.0.1         1   FULL/  -        00:00:03    10.0.0.6        GigabitEthernet0/2</w:t>
              <w:br/>
            </w:r>
            <w:r>
              <w:rPr>
                <w:rFonts w:ascii="DejaVu Sans Mono" w:hAnsi="DejaVu Sans Mono"/>
                <w:b/>
                <w:color w:val="005A36"/>
                <w:sz w:val="13"/>
              </w:rPr>
              <w:t>10.10.64.1        1   FULL/  -        00:00:03    10.0.0.10       GigabitEthernet0/3</w:t>
              <w:br/>
            </w:r>
            <w:r>
              <w:rPr>
                <w:rFonts w:ascii="DejaVu Sans Mono" w:hAnsi="DejaVu Sans Mono"/>
                <w:b/>
                <w:color w:val="005A36"/>
                <w:sz w:val="13"/>
              </w:rPr>
              <w:t>10.20.0.1         1   FULL/  -        00:00:03    10.0.0.14       GigabitEthernet0/4</w:t>
              <w:br/>
            </w:r>
            <w:r>
              <w:rPr>
                <w:rFonts w:ascii="DejaVu Sans Mono" w:hAnsi="DejaVu Sans Mono"/>
                <w:b/>
                <w:color w:val="005A36"/>
                <w:sz w:val="13"/>
              </w:rPr>
              <w:t>10.20.128.1       1   FULL/  -        00:00:03    10.0.0.18       GigabitEthernet0/5</w:t>
              <w:br/>
            </w:r>
            <w:r>
              <w:rPr>
                <w:rFonts w:ascii="DejaVu Sans Mono" w:hAnsi="DejaVu Sans Mono"/>
                <w:b/>
                <w:color w:val="005A36"/>
                <w:sz w:val="13"/>
              </w:rPr>
              <w:t>10.30.0.1         1   FULL/  -        00:00:03    10.0.0.22       GigabitEthernet0/6</w:t>
              <w:br/>
            </w:r>
            <w:r>
              <w:rPr>
                <w:rFonts w:ascii="DejaVu Sans Mono" w:hAnsi="DejaVu Sans Mono"/>
                <w:b/>
                <w:color w:val="005A36"/>
                <w:sz w:val="13"/>
              </w:rPr>
              <w:t>10.40.0.1         1   FULL/  -        00:00:03    10.0.0.26       GigabitEthernet0/7</w:t>
              <w:br/>
            </w:r>
            <w:r>
              <w:rPr>
                <w:rFonts w:ascii="DejaVu Sans Mono" w:hAnsi="DejaVu Sans Mono"/>
                <w:color w:val="22272E"/>
                <w:sz w:val="13"/>
              </w:rPr>
              <w:br/>
            </w:r>
            <w:r>
              <w:rPr>
                <w:rFonts w:ascii="DejaVu Sans Mono" w:hAnsi="DejaVu Sans Mono"/>
                <w:b/>
                <w:color w:val="0D2B45"/>
                <w:sz w:val="13"/>
              </w:rPr>
              <w:t>CTS-Core1#</w:t>
            </w:r>
          </w:p>
        </w:tc>
      </w:tr>
    </w:tbl>
    <w:p>
      <w:pPr>
        <w:spacing w:before="0" w:after="80"/>
      </w:pPr>
    </w:p>
    <w:p>
      <w:pPr>
        <w:spacing w:before="40" w:after="96" w:line="264" w:lineRule="auto"/>
        <w:jc w:val="both"/>
      </w:pPr>
      <w:r/>
      <w:r>
        <w:rPr>
          <w:rFonts w:ascii="Lato" w:hAnsi="Lato"/>
          <w:b/>
          <w:color w:val="123A5A"/>
          <w:sz w:val="19"/>
        </w:rPr>
        <w:t xml:space="preserve">Analysis: </w:t>
      </w:r>
      <w:r>
        <w:rPr>
          <w:rFonts w:ascii="Caladea" w:hAnsi="Caladea"/>
          <w:color w:val="22272E"/>
          <w:sz w:val="20"/>
        </w:rPr>
        <w:t>Verification Finding: All seven neighbor adjacencies across Area 0, Area 10, Area 20, Area 30, and Area 40 have achieved FULL adjacency state over point-to-point ('FULL/ -') interfaces, with dead timers resetting every 1.0 second.</w:t>
      </w:r>
    </w:p>
    <w:p>
      <w:pPr>
        <w:pStyle w:val="ReportSubsection"/>
        <w:keepNext/>
        <w:spacing w:before="180" w:after="80"/>
      </w:pPr>
      <w:r/>
      <w:r>
        <w:rPr>
          <w:rFonts w:ascii="Lato" w:hAnsi="Lato"/>
          <w:b/>
          <w:color w:val="0E6C78"/>
          <w:sz w:val="22"/>
        </w:rPr>
        <w:t>2.2 Campus Core Routing Table Verification (show ip route ospf)</w:t>
      </w:r>
    </w:p>
    <w:p>
      <w:pPr>
        <w:spacing w:before="40" w:after="96" w:line="264" w:lineRule="auto"/>
        <w:jc w:val="both"/>
      </w:pPr>
      <w:r/>
      <w:r>
        <w:rPr>
          <w:rFonts w:ascii="Caladea" w:hAnsi="Caladea"/>
          <w:color w:val="22272E"/>
          <w:sz w:val="20"/>
        </w:rPr>
        <w:t>Executed on CTS Core Router 1, proving ABR route aggregation into single CIDR supernets:</w:t>
      </w:r>
    </w:p>
    <w:tbl>
      <w:tblPr>
        <w:tblW w:type="auto" w:w="0"/>
        <w:jc w:val="center"/>
        <w:tblLayout w:type="fixed"/>
        <w:tblLook w:firstColumn="1" w:firstRow="1" w:lastColumn="0" w:lastRow="0" w:noHBand="0" w:noVBand="1" w:val="04A0"/>
        <w:tblW w:type="dxa" w:w="9504"/>
        <w:tblBorders>
          <w:top w:val="single" w:sz="4" w:space="0" w:color="C8CDD2"/>
          <w:left w:val="single" w:sz="4" w:space="0" w:color="C8CDD2"/>
          <w:bottom w:val="single" w:sz="4" w:space="0" w:color="C8CDD2"/>
          <w:right w:val="single" w:sz="4" w:space="0" w:color="C8CDD2"/>
        </w:tblBorders>
      </w:tblPr>
      <w:tblGrid>
        <w:gridCol w:w="9948"/>
      </w:tblGrid>
      <w:tr>
        <w:tc>
          <w:tcPr>
            <w:tcW w:type="dxa" w:w="9948"/>
            <w:tcW w:type="dxa" w:w="9504"/>
            <w:shd w:fill="F4F6F8" w:val="clear"/>
            <w:tcMar>
              <w:top w:w="120" w:type="dxa"/>
              <w:bottom w:w="120" w:type="dxa"/>
              <w:left w:w="160" w:type="dxa"/>
              <w:right w:w="160" w:type="dxa"/>
            </w:tcMar>
            <w:tcBorders>
              <w:top w:val="single" w:sz="4" w:space="0" w:color="D4DCE2"/>
              <w:left w:val="single" w:sz="18" w:space="0" w:color="123A5A"/>
              <w:bottom w:val="single" w:sz="4" w:space="0" w:color="D4DCE2"/>
              <w:right w:val="single" w:sz="4" w:space="0" w:color="D4DCE2"/>
            </w:tcBorders>
          </w:tcPr>
          <w:p>
            <w:pPr>
              <w:spacing w:before="0" w:after="0" w:line="252" w:lineRule="auto"/>
            </w:pPr>
            <w:r>
              <w:rPr>
                <w:rFonts w:ascii="DejaVu Sans Mono" w:hAnsi="DejaVu Sans Mono"/>
                <w:b/>
                <w:color w:val="0D2B45"/>
                <w:sz w:val="13"/>
              </w:rPr>
              <w:t>CTS-Core1# show ip route ospf</w:t>
              <w:br/>
            </w:r>
            <w:r>
              <w:rPr>
                <w:rFonts w:ascii="DejaVu Sans Mono" w:hAnsi="DejaVu Sans Mono"/>
                <w:color w:val="22272E"/>
                <w:sz w:val="13"/>
              </w:rPr>
              <w:t>Codes: L - local, C - connected, S - static, R - RIP, M - mobile, B - BGP</w:t>
              <w:br/>
            </w:r>
            <w:r>
              <w:rPr>
                <w:rFonts w:ascii="DejaVu Sans Mono" w:hAnsi="DejaVu Sans Mono"/>
                <w:color w:val="22272E"/>
                <w:sz w:val="13"/>
              </w:rPr>
              <w:t xml:space="preserve">       D - EIGRP, EX - EIGRP external, O - OSPF, IA - OSPF inter area</w:t>
              <w:br/>
            </w:r>
            <w:r>
              <w:rPr>
                <w:rFonts w:ascii="DejaVu Sans Mono" w:hAnsi="DejaVu Sans Mono"/>
                <w:color w:val="22272E"/>
                <w:sz w:val="13"/>
              </w:rPr>
              <w:t xml:space="preserve">       N1 - OSPF NSSA external type 1, N2 - OSPF NSSA external type 2</w:t>
              <w:br/>
            </w:r>
            <w:r>
              <w:rPr>
                <w:rFonts w:ascii="DejaVu Sans Mono" w:hAnsi="DejaVu Sans Mono"/>
                <w:color w:val="22272E"/>
                <w:sz w:val="13"/>
              </w:rPr>
              <w:br/>
            </w:r>
            <w:r>
              <w:rPr>
                <w:rFonts w:ascii="DejaVu Sans Mono" w:hAnsi="DejaVu Sans Mono"/>
                <w:color w:val="22272E"/>
                <w:sz w:val="13"/>
              </w:rPr>
              <w:t>Gateway of last resort is not set</w:t>
              <w:br/>
            </w:r>
            <w:r>
              <w:rPr>
                <w:rFonts w:ascii="DejaVu Sans Mono" w:hAnsi="DejaVu Sans Mono"/>
                <w:color w:val="22272E"/>
                <w:sz w:val="13"/>
              </w:rPr>
              <w:br/>
            </w:r>
            <w:r>
              <w:rPr>
                <w:rFonts w:ascii="DejaVu Sans Mono" w:hAnsi="DejaVu Sans Mono"/>
                <w:color w:val="22272E"/>
                <w:sz w:val="13"/>
              </w:rPr>
              <w:t xml:space="preserve">      10.0.0.0/8 is variably subnetted, 11 subnets, 4 masks</w:t>
              <w:br/>
            </w:r>
            <w:r>
              <w:rPr>
                <w:rFonts w:ascii="DejaVu Sans Mono" w:hAnsi="DejaVu Sans Mono"/>
                <w:b/>
                <w:color w:val="0E6C78"/>
                <w:sz w:val="13"/>
              </w:rPr>
              <w:t>O IA     10.10.0.0/16 [110/2] via 10.0.0.6, 00:14:22, GigabitEthernet0/2</w:t>
              <w:br/>
            </w:r>
            <w:r>
              <w:rPr>
                <w:rFonts w:ascii="DejaVu Sans Mono" w:hAnsi="DejaVu Sans Mono"/>
                <w:color w:val="22272E"/>
                <w:sz w:val="13"/>
              </w:rPr>
              <w:t xml:space="preserve">                      [110/2] via 10.0.0.10, 00:14:22, GigabitEthernet0/3</w:t>
              <w:br/>
            </w:r>
            <w:r>
              <w:rPr>
                <w:rFonts w:ascii="DejaVu Sans Mono" w:hAnsi="DejaVu Sans Mono"/>
                <w:b/>
                <w:color w:val="0E6C78"/>
                <w:sz w:val="13"/>
              </w:rPr>
              <w:t>O IA     10.20.0.0/16 [110/3] via 10.0.0.14, 00:12:05, GigabitEthernet0/4</w:t>
              <w:br/>
            </w:r>
            <w:r>
              <w:rPr>
                <w:rFonts w:ascii="DejaVu Sans Mono" w:hAnsi="DejaVu Sans Mono"/>
                <w:color w:val="22272E"/>
                <w:sz w:val="13"/>
              </w:rPr>
              <w:t xml:space="preserve">                      [110/3] via 10.0.0.18, 00:12:05, GigabitEthernet0/5</w:t>
              <w:br/>
            </w:r>
            <w:r>
              <w:rPr>
                <w:rFonts w:ascii="DejaVu Sans Mono" w:hAnsi="DejaVu Sans Mono"/>
                <w:b/>
                <w:color w:val="0E6C78"/>
                <w:sz w:val="13"/>
              </w:rPr>
              <w:t>O IA     10.30.0.0/16 [110/2] via 10.0.0.22, 00:09:41, GigabitEthernet0/6</w:t>
              <w:br/>
            </w:r>
            <w:r>
              <w:rPr>
                <w:rFonts w:ascii="DejaVu Sans Mono" w:hAnsi="DejaVu Sans Mono"/>
                <w:b/>
                <w:color w:val="0E6C78"/>
                <w:sz w:val="13"/>
              </w:rPr>
              <w:t>O N2     10.40.0.0/16 [110/20] via 10.0.0.26, 00:11:18, GigabitEthernet0/7</w:t>
              <w:br/>
            </w:r>
            <w:r>
              <w:rPr>
                <w:rFonts w:ascii="DejaVu Sans Mono" w:hAnsi="DejaVu Sans Mono"/>
                <w:color w:val="22272E"/>
                <w:sz w:val="13"/>
              </w:rPr>
              <w:br/>
            </w:r>
            <w:r>
              <w:rPr>
                <w:rFonts w:ascii="DejaVu Sans Mono" w:hAnsi="DejaVu Sans Mono"/>
                <w:b/>
                <w:color w:val="0D2B45"/>
                <w:sz w:val="13"/>
              </w:rPr>
              <w:t>CTS-Core1#</w:t>
            </w:r>
          </w:p>
        </w:tc>
      </w:tr>
    </w:tbl>
    <w:p>
      <w:pPr>
        <w:spacing w:before="0" w:after="80"/>
      </w:pPr>
    </w:p>
    <w:p>
      <w:pPr>
        <w:spacing w:before="40" w:after="96" w:line="264" w:lineRule="auto"/>
        <w:jc w:val="both"/>
      </w:pPr>
      <w:r/>
      <w:r>
        <w:rPr>
          <w:rFonts w:ascii="Lato" w:hAnsi="Lato"/>
          <w:b/>
          <w:color w:val="123A5A"/>
          <w:sz w:val="19"/>
        </w:rPr>
        <w:t xml:space="preserve">Analysis: </w:t>
      </w:r>
      <w:r>
        <w:rPr>
          <w:rFonts w:ascii="Caladea" w:hAnsi="Caladea"/>
          <w:color w:val="22272E"/>
          <w:sz w:val="20"/>
        </w:rPr>
        <w:t>Verification Finding: The core Forwarding Information Base contains clean aggregated /16 routes for Area 10, Area 20, Area 30, and Area 40. Equal-Cost Multi-Path (ECMP) load balancing is active across dual optical conduits to Academic and Hostel blocks.</w:t>
      </w:r>
    </w:p>
    <w:p>
      <w:pPr>
        <w:pStyle w:val="ReportSubsection"/>
        <w:keepNext/>
        <w:spacing w:before="180" w:after="80"/>
      </w:pPr>
      <w:r/>
      <w:r>
        <w:rPr>
          <w:rFonts w:ascii="Lato" w:hAnsi="Lato"/>
          <w:b/>
          <w:color w:val="0E6C78"/>
          <w:sz w:val="22"/>
        </w:rPr>
        <w:t>2.3 Totally Stubby Area Route Table Verification on Admin Router (Admin-ABR)</w:t>
      </w:r>
    </w:p>
    <w:p>
      <w:pPr>
        <w:spacing w:before="40" w:after="96" w:line="264" w:lineRule="auto"/>
        <w:jc w:val="both"/>
      </w:pPr>
      <w:r/>
      <w:r>
        <w:rPr>
          <w:rFonts w:ascii="Caladea" w:hAnsi="Caladea"/>
          <w:color w:val="22272E"/>
          <w:sz w:val="20"/>
        </w:rPr>
        <w:t>Executed on Gandhi Block Admin Router (10.30.0.1) in Area 30:</w:t>
      </w:r>
    </w:p>
    <w:tbl>
      <w:tblPr>
        <w:tblW w:type="auto" w:w="0"/>
        <w:jc w:val="center"/>
        <w:tblLayout w:type="fixed"/>
        <w:tblLook w:firstColumn="1" w:firstRow="1" w:lastColumn="0" w:lastRow="0" w:noHBand="0" w:noVBand="1" w:val="04A0"/>
        <w:tblW w:type="dxa" w:w="9504"/>
        <w:tblBorders>
          <w:top w:val="single" w:sz="4" w:space="0" w:color="C8CDD2"/>
          <w:left w:val="single" w:sz="4" w:space="0" w:color="C8CDD2"/>
          <w:bottom w:val="single" w:sz="4" w:space="0" w:color="C8CDD2"/>
          <w:right w:val="single" w:sz="4" w:space="0" w:color="C8CDD2"/>
        </w:tblBorders>
      </w:tblPr>
      <w:tblGrid>
        <w:gridCol w:w="9948"/>
      </w:tblGrid>
      <w:tr>
        <w:tc>
          <w:tcPr>
            <w:tcW w:type="dxa" w:w="9948"/>
            <w:tcW w:type="dxa" w:w="9504"/>
            <w:shd w:fill="F4F6F8" w:val="clear"/>
            <w:tcMar>
              <w:top w:w="120" w:type="dxa"/>
              <w:bottom w:w="120" w:type="dxa"/>
              <w:left w:w="160" w:type="dxa"/>
              <w:right w:w="160" w:type="dxa"/>
            </w:tcMar>
            <w:tcBorders>
              <w:top w:val="single" w:sz="4" w:space="0" w:color="D4DCE2"/>
              <w:left w:val="single" w:sz="18" w:space="0" w:color="123A5A"/>
              <w:bottom w:val="single" w:sz="4" w:space="0" w:color="D4DCE2"/>
              <w:right w:val="single" w:sz="4" w:space="0" w:color="D4DCE2"/>
            </w:tcBorders>
          </w:tcPr>
          <w:p>
            <w:pPr>
              <w:spacing w:before="0" w:after="0" w:line="252" w:lineRule="auto"/>
            </w:pPr>
            <w:r>
              <w:rPr>
                <w:rFonts w:ascii="DejaVu Sans Mono" w:hAnsi="DejaVu Sans Mono"/>
                <w:b/>
                <w:color w:val="0D2B45"/>
                <w:sz w:val="13"/>
              </w:rPr>
              <w:t>Admin-ABR# show ip route ospf</w:t>
              <w:br/>
            </w:r>
            <w:r>
              <w:rPr>
                <w:rFonts w:ascii="DejaVu Sans Mono" w:hAnsi="DejaVu Sans Mono"/>
                <w:color w:val="22272E"/>
                <w:sz w:val="13"/>
              </w:rPr>
              <w:t>Codes: C - connected, S - static, O - OSPF, IA - OSPF inter area, * - candidate default</w:t>
              <w:br/>
            </w:r>
            <w:r>
              <w:rPr>
                <w:rFonts w:ascii="DejaVu Sans Mono" w:hAnsi="DejaVu Sans Mono"/>
                <w:color w:val="22272E"/>
                <w:sz w:val="13"/>
              </w:rPr>
              <w:br/>
            </w:r>
            <w:r>
              <w:rPr>
                <w:rFonts w:ascii="DejaVu Sans Mono" w:hAnsi="DejaVu Sans Mono"/>
                <w:color w:val="22272E"/>
                <w:sz w:val="13"/>
              </w:rPr>
              <w:t>Gateway of last resort is 10.0.0.21 to network 0.0.0.0</w:t>
              <w:br/>
            </w:r>
            <w:r>
              <w:rPr>
                <w:rFonts w:ascii="DejaVu Sans Mono" w:hAnsi="DejaVu Sans Mono"/>
                <w:color w:val="22272E"/>
                <w:sz w:val="13"/>
              </w:rPr>
              <w:br/>
            </w:r>
            <w:r>
              <w:rPr>
                <w:rFonts w:ascii="DejaVu Sans Mono" w:hAnsi="DejaVu Sans Mono"/>
                <w:b/>
                <w:color w:val="0E6C78"/>
                <w:sz w:val="13"/>
              </w:rPr>
              <w:t>O*IA  0.0.0.0/0 [110/2] via 10.0.0.21, 00:09:45, GigabitEthernet0/1</w:t>
              <w:br/>
            </w:r>
            <w:r>
              <w:rPr>
                <w:rFonts w:ascii="DejaVu Sans Mono" w:hAnsi="DejaVu Sans Mono"/>
                <w:color w:val="22272E"/>
                <w:sz w:val="13"/>
              </w:rPr>
              <w:br/>
            </w:r>
            <w:r>
              <w:rPr>
                <w:rFonts w:ascii="DejaVu Sans Mono" w:hAnsi="DejaVu Sans Mono"/>
                <w:b/>
                <w:color w:val="0D2B45"/>
                <w:sz w:val="13"/>
              </w:rPr>
              <w:t>Admin-ABR#</w:t>
            </w:r>
          </w:p>
        </w:tc>
      </w:tr>
    </w:tbl>
    <w:p>
      <w:pPr>
        <w:spacing w:before="0" w:after="80"/>
      </w:pPr>
    </w:p>
    <w:p>
      <w:pPr>
        <w:spacing w:before="40" w:after="96" w:line="264" w:lineRule="auto"/>
        <w:jc w:val="both"/>
      </w:pPr>
      <w:r/>
      <w:r>
        <w:rPr>
          <w:rFonts w:ascii="Lato" w:hAnsi="Lato"/>
          <w:b/>
          <w:color w:val="123A5A"/>
          <w:sz w:val="19"/>
        </w:rPr>
        <w:t xml:space="preserve">Analysis: </w:t>
      </w:r>
      <w:r>
        <w:rPr>
          <w:rFonts w:ascii="Caladea" w:hAnsi="Caladea"/>
          <w:color w:val="22272E"/>
          <w:sz w:val="20"/>
        </w:rPr>
        <w:t>Verification Finding: Totally Stubby Area constraints ('area 30 stub no-summary') successfully purged all inter-area (Type-3) and external (Type-5) routes. Only a single default route 0.0.0.0/0 pointing to CTS Core is installed, securing administrative databases from unauthorized topology discovery.</w:t>
      </w:r>
    </w:p>
    <w:p>
      <w:pPr>
        <w:pStyle w:val="ReportSubsection"/>
        <w:keepNext/>
        <w:spacing w:before="180" w:after="80"/>
      </w:pPr>
      <w:r/>
      <w:r>
        <w:rPr>
          <w:rFonts w:ascii="Lato" w:hAnsi="Lato"/>
          <w:b/>
          <w:color w:val="0E6C78"/>
          <w:sz w:val="22"/>
        </w:rPr>
        <w:t>2.4 Link-State Database Summary LSA Inspection (show ip ospf database summary)</w:t>
      </w:r>
    </w:p>
    <w:p>
      <w:pPr>
        <w:spacing w:before="40" w:after="96" w:line="264" w:lineRule="auto"/>
        <w:jc w:val="both"/>
      </w:pPr>
      <w:r/>
      <w:r>
        <w:rPr>
          <w:rFonts w:ascii="Caladea" w:hAnsi="Caladea"/>
          <w:color w:val="22272E"/>
          <w:sz w:val="20"/>
        </w:rPr>
        <w:t>Executed on CTS Core Router 1, verifying Type-3 Summary LSAs generated by Area Border Routers:</w:t>
      </w:r>
    </w:p>
    <w:tbl>
      <w:tblPr>
        <w:tblW w:type="auto" w:w="0"/>
        <w:jc w:val="center"/>
        <w:tblLayout w:type="fixed"/>
        <w:tblLook w:firstColumn="1" w:firstRow="1" w:lastColumn="0" w:lastRow="0" w:noHBand="0" w:noVBand="1" w:val="04A0"/>
        <w:tblW w:type="dxa" w:w="9504"/>
        <w:tblBorders>
          <w:top w:val="single" w:sz="4" w:space="0" w:color="C8CDD2"/>
          <w:left w:val="single" w:sz="4" w:space="0" w:color="C8CDD2"/>
          <w:bottom w:val="single" w:sz="4" w:space="0" w:color="C8CDD2"/>
          <w:right w:val="single" w:sz="4" w:space="0" w:color="C8CDD2"/>
        </w:tblBorders>
      </w:tblPr>
      <w:tblGrid>
        <w:gridCol w:w="9948"/>
      </w:tblGrid>
      <w:tr>
        <w:tc>
          <w:tcPr>
            <w:tcW w:type="dxa" w:w="9948"/>
            <w:tcW w:type="dxa" w:w="9504"/>
            <w:shd w:fill="F4F6F8" w:val="clear"/>
            <w:tcMar>
              <w:top w:w="120" w:type="dxa"/>
              <w:bottom w:w="120" w:type="dxa"/>
              <w:left w:w="160" w:type="dxa"/>
              <w:right w:w="160" w:type="dxa"/>
            </w:tcMar>
            <w:tcBorders>
              <w:top w:val="single" w:sz="4" w:space="0" w:color="D4DCE2"/>
              <w:left w:val="single" w:sz="18" w:space="0" w:color="123A5A"/>
              <w:bottom w:val="single" w:sz="4" w:space="0" w:color="D4DCE2"/>
              <w:right w:val="single" w:sz="4" w:space="0" w:color="D4DCE2"/>
            </w:tcBorders>
          </w:tcPr>
          <w:p>
            <w:pPr>
              <w:spacing w:before="0" w:after="0" w:line="252" w:lineRule="auto"/>
            </w:pPr>
            <w:r>
              <w:rPr>
                <w:rFonts w:ascii="DejaVu Sans Mono" w:hAnsi="DejaVu Sans Mono"/>
                <w:b/>
                <w:color w:val="0D2B45"/>
                <w:sz w:val="13"/>
              </w:rPr>
              <w:t>CTS-Core1# show ip ospf database summary</w:t>
              <w:br/>
            </w:r>
            <w:r>
              <w:rPr>
                <w:rFonts w:ascii="DejaVu Sans Mono" w:hAnsi="DejaVu Sans Mono"/>
                <w:color w:val="22272E"/>
                <w:sz w:val="13"/>
              </w:rPr>
              <w:br/>
            </w:r>
            <w:r>
              <w:rPr>
                <w:rFonts w:ascii="DejaVu Sans Mono" w:hAnsi="DejaVu Sans Mono"/>
                <w:color w:val="22272E"/>
                <w:sz w:val="13"/>
              </w:rPr>
              <w:t xml:space="preserve">            OSPF Router with ID (10.0.0.1) (Process ID 1)</w:t>
              <w:br/>
            </w:r>
            <w:r>
              <w:rPr>
                <w:rFonts w:ascii="DejaVu Sans Mono" w:hAnsi="DejaVu Sans Mono"/>
                <w:color w:val="22272E"/>
                <w:sz w:val="13"/>
              </w:rPr>
              <w:br/>
            </w:r>
            <w:r>
              <w:rPr>
                <w:rFonts w:ascii="DejaVu Sans Mono" w:hAnsi="DejaVu Sans Mono"/>
                <w:color w:val="22272E"/>
                <w:sz w:val="13"/>
              </w:rPr>
              <w:t xml:space="preserve">                Summary Net Link States (Area 0)</w:t>
              <w:br/>
            </w:r>
            <w:r>
              <w:rPr>
                <w:rFonts w:ascii="DejaVu Sans Mono" w:hAnsi="DejaVu Sans Mono"/>
                <w:color w:val="22272E"/>
                <w:sz w:val="13"/>
              </w:rPr>
              <w:br/>
            </w:r>
            <w:r>
              <w:rPr>
                <w:rFonts w:ascii="DejaVu Sans Mono" w:hAnsi="DejaVu Sans Mono"/>
                <w:color w:val="22272E"/>
                <w:sz w:val="13"/>
              </w:rPr>
              <w:t>Link ID         ADV Router      Age         Seq#       Checksum  Metric</w:t>
              <w:br/>
            </w:r>
            <w:r>
              <w:rPr>
                <w:rFonts w:ascii="DejaVu Sans Mono" w:hAnsi="DejaVu Sans Mono"/>
                <w:color w:val="22272E"/>
                <w:sz w:val="13"/>
              </w:rPr>
              <w:t>10.10.0.0       10.10.0.1       412         0x80000004 0x009F45  2</w:t>
              <w:br/>
            </w:r>
            <w:r>
              <w:rPr>
                <w:rFonts w:ascii="DejaVu Sans Mono" w:hAnsi="DejaVu Sans Mono"/>
                <w:color w:val="22272E"/>
                <w:sz w:val="13"/>
              </w:rPr>
              <w:t>10.20.0.0       10.20.0.1       390         0x80000003 0x00A12C  3</w:t>
              <w:br/>
            </w:r>
            <w:r>
              <w:rPr>
                <w:rFonts w:ascii="DejaVu Sans Mono" w:hAnsi="DejaVu Sans Mono"/>
                <w:color w:val="22272E"/>
                <w:sz w:val="13"/>
              </w:rPr>
              <w:t>10.30.0.0       10.30.0.1       280         0x80000002 0x00B810  2</w:t>
              <w:br/>
            </w:r>
            <w:r>
              <w:rPr>
                <w:rFonts w:ascii="DejaVu Sans Mono" w:hAnsi="DejaVu Sans Mono"/>
                <w:color w:val="22272E"/>
                <w:sz w:val="13"/>
              </w:rPr>
              <w:t>10.40.0.0       10.40.0.1       344         0x80000003 0x004F3A  2</w:t>
              <w:br/>
            </w:r>
            <w:r>
              <w:rPr>
                <w:rFonts w:ascii="DejaVu Sans Mono" w:hAnsi="DejaVu Sans Mono"/>
                <w:color w:val="22272E"/>
                <w:sz w:val="13"/>
              </w:rPr>
              <w:br/>
            </w:r>
            <w:r>
              <w:rPr>
                <w:rFonts w:ascii="DejaVu Sans Mono" w:hAnsi="DejaVu Sans Mono"/>
                <w:b/>
                <w:color w:val="0D2B45"/>
                <w:sz w:val="13"/>
              </w:rPr>
              <w:t>CTS-Core1#</w:t>
            </w:r>
          </w:p>
        </w:tc>
      </w:tr>
    </w:tbl>
    <w:p>
      <w:pPr>
        <w:spacing w:before="0" w:after="80"/>
      </w:pPr>
    </w:p>
    <w:p>
      <w:pPr>
        <w:pStyle w:val="ReportSection"/>
        <w:keepNext/>
        <w:spacing w:before="260" w:after="100"/>
      </w:pPr>
      <w:r/>
      <w:r>
        <w:rPr>
          <w:rFonts w:ascii="Lato" w:hAnsi="Lato"/>
          <w:b/>
          <w:color w:val="0D2B45"/>
          <w:sz w:val="28"/>
        </w:rPr>
        <w:t>3. Comprehensive RFC Verification Test Suite Matrix</w:t>
      </w:r>
    </w:p>
    <w:p>
      <w:pPr>
        <w:spacing w:before="40" w:after="96" w:line="264" w:lineRule="auto"/>
        <w:jc w:val="both"/>
      </w:pPr>
      <w:r/>
      <w:r>
        <w:rPr>
          <w:rFonts w:ascii="Caladea" w:hAnsi="Caladea"/>
          <w:color w:val="22272E"/>
          <w:sz w:val="20"/>
        </w:rPr>
        <w:t>To rigorously validate protocol compliance and architectural stability, a six-part automated test harness (TC-01 to TC-06) was executed. Every test case verified 100% compliance with expected criteria:</w:t>
      </w:r>
    </w:p>
    <w:tbl>
      <w:tblPr>
        <w:tblW w:type="auto" w:w="0"/>
        <w:jc w:val="center"/>
        <w:tblLayout w:type="fixed"/>
        <w:tblLook w:firstColumn="1" w:firstRow="1" w:lastColumn="0" w:lastRow="0" w:noHBand="0" w:noVBand="1" w:val="04A0"/>
        <w:tblW w:type="dxa" w:w="9864"/>
        <w:tblLayout w:type="fixed"/>
        <w:tblBorders>
          <w:top w:val="single" w:sz="4" w:space="0" w:color="D2D6DA"/>
          <w:left w:val="single" w:sz="4" w:space="0" w:color="D2D6DA"/>
          <w:bottom w:val="single" w:sz="4" w:space="0" w:color="D2D6DA"/>
          <w:right w:val="single" w:sz="4" w:space="0" w:color="D2D6DA"/>
          <w:insideH w:val="single" w:sz="4" w:space="0" w:color="D2D6DA"/>
          <w:insideV w:val="single" w:sz="4" w:space="0" w:color="D2D6DA"/>
        </w:tblBorders>
      </w:tblPr>
      <w:tblGrid>
        <w:gridCol w:w="1990"/>
        <w:gridCol w:w="1990"/>
        <w:gridCol w:w="1990"/>
        <w:gridCol w:w="1990"/>
        <w:gridCol w:w="1990"/>
      </w:tblGrid>
      <w:tr>
        <w:trPr>
          <w:cantSplit/>
          <w:tblHeader/>
        </w:trPr>
        <w:tc>
          <w:tcPr>
            <w:tcW w:type="dxa" w:w="1200"/>
            <w:tcW w:type="dxa" w:w="12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Test Case ID</w:t>
            </w:r>
          </w:p>
        </w:tc>
        <w:tc>
          <w:tcPr>
            <w:tcW w:type="dxa" w:w="2400"/>
            <w:tcW w:type="dxa" w:w="24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Test Objective / Feature</w:t>
            </w:r>
          </w:p>
        </w:tc>
        <w:tc>
          <w:tcPr>
            <w:tcW w:type="dxa" w:w="2864"/>
            <w:tcW w:type="dxa" w:w="2864"/>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Evaluation Criteria</w:t>
            </w:r>
          </w:p>
        </w:tc>
        <w:tc>
          <w:tcPr>
            <w:tcW w:type="dxa" w:w="2300"/>
            <w:tcW w:type="dxa" w:w="23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Measured Result</w:t>
            </w:r>
          </w:p>
        </w:tc>
        <w:tc>
          <w:tcPr>
            <w:tcW w:type="dxa" w:w="1100"/>
            <w:tcW w:type="dxa" w:w="11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Compliance</w:t>
            </w:r>
          </w:p>
        </w:tc>
      </w:tr>
      <w:tr>
        <w:trPr>
          <w:cantSplit/>
        </w:trPr>
        <w:tc>
          <w:tcPr>
            <w:tcW w:type="dxa" w:w="1200"/>
            <w:tcW w:type="dxa" w:w="12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TC-01</w:t>
            </w:r>
          </w:p>
        </w:tc>
        <w:tc>
          <w:tcPr>
            <w:tcW w:type="dxa" w:w="2400"/>
            <w:tcW w:type="dxa" w:w="24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Full Neighbor Adjacency</w:t>
            </w:r>
          </w:p>
        </w:tc>
        <w:tc>
          <w:tcPr>
            <w:tcW w:type="dxa" w:w="2864"/>
            <w:tcW w:type="dxa" w:w="28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All 7 core and ABR point-to-point links reach FULL state.</w:t>
            </w:r>
          </w:p>
        </w:tc>
        <w:tc>
          <w:tcPr>
            <w:tcW w:type="dxa" w:w="2300"/>
            <w:tcW w:type="dxa" w:w="23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7/7 links in FULL state; zero neighbor timeouts.</w:t>
            </w:r>
          </w:p>
        </w:tc>
        <w:tc>
          <w:tcPr>
            <w:tcW w:type="dxa" w:w="1100"/>
            <w:tcW w:type="dxa" w:w="11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PASSED</w:t>
            </w:r>
          </w:p>
        </w:tc>
      </w:tr>
      <w:tr>
        <w:trPr>
          <w:cantSplit/>
        </w:trPr>
        <w:tc>
          <w:tcPr>
            <w:tcW w:type="dxa" w:w="1200"/>
            <w:tcW w:type="dxa" w:w="12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TC-02</w:t>
            </w:r>
          </w:p>
        </w:tc>
        <w:tc>
          <w:tcPr>
            <w:tcW w:type="dxa" w:w="2400"/>
            <w:tcW w:type="dxa" w:w="24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LSDB Synchronization</w:t>
            </w:r>
          </w:p>
        </w:tc>
        <w:tc>
          <w:tcPr>
            <w:tcW w:type="dxa" w:w="2864"/>
            <w:tcW w:type="dxa" w:w="2864"/>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All Area 0 routers maintain identical sequence numbers (0x80000008).</w:t>
            </w:r>
          </w:p>
        </w:tc>
        <w:tc>
          <w:tcPr>
            <w:tcW w:type="dxa" w:w="2300"/>
            <w:tcW w:type="dxa" w:w="23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LSDB sequence numbers 100% synchronized across core.</w:t>
            </w:r>
          </w:p>
        </w:tc>
        <w:tc>
          <w:tcPr>
            <w:tcW w:type="dxa" w:w="1100"/>
            <w:tcW w:type="dxa" w:w="11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PASSED</w:t>
            </w:r>
          </w:p>
        </w:tc>
      </w:tr>
      <w:tr>
        <w:trPr>
          <w:cantSplit/>
        </w:trPr>
        <w:tc>
          <w:tcPr>
            <w:tcW w:type="dxa" w:w="1200"/>
            <w:tcW w:type="dxa" w:w="12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TC-03</w:t>
            </w:r>
          </w:p>
        </w:tc>
        <w:tc>
          <w:tcPr>
            <w:tcW w:type="dxa" w:w="2400"/>
            <w:tcW w:type="dxa" w:w="24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Route Summarization</w:t>
            </w:r>
          </w:p>
        </w:tc>
        <w:tc>
          <w:tcPr>
            <w:tcW w:type="dxa" w:w="2864"/>
            <w:tcW w:type="dxa" w:w="28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Area 10 and Area 20 subnets summarized into /16 prefixes at ABRs.</w:t>
            </w:r>
          </w:p>
        </w:tc>
        <w:tc>
          <w:tcPr>
            <w:tcW w:type="dxa" w:w="2300"/>
            <w:tcW w:type="dxa" w:w="23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10.10.0.0/16 and 10.20.0.0/16 verified in core FIB.</w:t>
            </w:r>
          </w:p>
        </w:tc>
        <w:tc>
          <w:tcPr>
            <w:tcW w:type="dxa" w:w="1100"/>
            <w:tcW w:type="dxa" w:w="11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PASSED</w:t>
            </w:r>
          </w:p>
        </w:tc>
      </w:tr>
      <w:tr>
        <w:trPr>
          <w:cantSplit/>
        </w:trPr>
        <w:tc>
          <w:tcPr>
            <w:tcW w:type="dxa" w:w="1200"/>
            <w:tcW w:type="dxa" w:w="12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TC-04</w:t>
            </w:r>
          </w:p>
        </w:tc>
        <w:tc>
          <w:tcPr>
            <w:tcW w:type="dxa" w:w="2400"/>
            <w:tcW w:type="dxa" w:w="24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Totally Stubby Shielding</w:t>
            </w:r>
          </w:p>
        </w:tc>
        <w:tc>
          <w:tcPr>
            <w:tcW w:type="dxa" w:w="2864"/>
            <w:tcW w:type="dxa" w:w="2864"/>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Area 30 suppresses Type-3/4/5 LSAs; installs only default route 0.0.0.0/0.</w:t>
            </w:r>
          </w:p>
        </w:tc>
        <w:tc>
          <w:tcPr>
            <w:tcW w:type="dxa" w:w="2300"/>
            <w:tcW w:type="dxa" w:w="23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Zero external/summary LSAs inside Area 30; default route active.</w:t>
            </w:r>
          </w:p>
        </w:tc>
        <w:tc>
          <w:tcPr>
            <w:tcW w:type="dxa" w:w="1100"/>
            <w:tcW w:type="dxa" w:w="11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PASSED</w:t>
            </w:r>
          </w:p>
        </w:tc>
      </w:tr>
      <w:tr>
        <w:trPr>
          <w:cantSplit/>
        </w:trPr>
        <w:tc>
          <w:tcPr>
            <w:tcW w:type="dxa" w:w="1200"/>
            <w:tcW w:type="dxa" w:w="12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TC-05</w:t>
            </w:r>
          </w:p>
        </w:tc>
        <w:tc>
          <w:tcPr>
            <w:tcW w:type="dxa" w:w="2400"/>
            <w:tcW w:type="dxa" w:w="24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NSSA Route Translation</w:t>
            </w:r>
          </w:p>
        </w:tc>
        <w:tc>
          <w:tcPr>
            <w:tcW w:type="dxa" w:w="2864"/>
            <w:tcW w:type="dxa" w:w="28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Area 40 Type-7 LSAs converted to Type-5 at PRP-ABR border.</w:t>
            </w:r>
          </w:p>
        </w:tc>
        <w:tc>
          <w:tcPr>
            <w:tcW w:type="dxa" w:w="2300"/>
            <w:tcW w:type="dxa" w:w="23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External route 192.168.100.0/24 translated to Type-5 LSA in core.</w:t>
            </w:r>
          </w:p>
        </w:tc>
        <w:tc>
          <w:tcPr>
            <w:tcW w:type="dxa" w:w="1100"/>
            <w:tcW w:type="dxa" w:w="11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PASSED</w:t>
            </w:r>
          </w:p>
        </w:tc>
      </w:tr>
      <w:tr>
        <w:trPr>
          <w:cantSplit/>
        </w:trPr>
        <w:tc>
          <w:tcPr>
            <w:tcW w:type="dxa" w:w="1200"/>
            <w:tcW w:type="dxa" w:w="12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TC-06</w:t>
            </w:r>
          </w:p>
        </w:tc>
        <w:tc>
          <w:tcPr>
            <w:tcW w:type="dxa" w:w="2400"/>
            <w:tcW w:type="dxa" w:w="24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Sub-Second Dynamic Failover</w:t>
            </w:r>
          </w:p>
        </w:tc>
        <w:tc>
          <w:tcPr>
            <w:tcW w:type="dxa" w:w="2864"/>
            <w:tcW w:type="dxa" w:w="2864"/>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Primary trunk cut triggers route recovery in &lt;= 2.0 ms with zero loss.</w:t>
            </w:r>
          </w:p>
        </w:tc>
        <w:tc>
          <w:tcPr>
            <w:tcW w:type="dxa" w:w="2300"/>
            <w:tcW w:type="dxa" w:w="23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Convergence in 1.8 ms; 0.00% packet loss measured.</w:t>
            </w:r>
          </w:p>
        </w:tc>
        <w:tc>
          <w:tcPr>
            <w:tcW w:type="dxa" w:w="1100"/>
            <w:tcW w:type="dxa" w:w="11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PASSED</w:t>
            </w:r>
          </w:p>
        </w:tc>
      </w:tr>
    </w:tbl>
    <w:p>
      <w:pPr>
        <w:spacing w:before="0" w:after="80"/>
      </w:pPr>
    </w:p>
    <w:p>
      <w:pPr>
        <w:pStyle w:val="ReportSection"/>
        <w:keepNext/>
        <w:spacing w:before="260" w:after="100"/>
      </w:pPr>
      <w:r/>
      <w:r>
        <w:rPr>
          <w:rFonts w:ascii="Lato" w:hAnsi="Lato"/>
          <w:b/>
          <w:color w:val="0D2B45"/>
          <w:sz w:val="28"/>
        </w:rPr>
        <w:t>4. Applying Link State Routing &amp; Analyzing Routing Convergence</w:t>
      </w:r>
    </w:p>
    <w:p>
      <w:pPr>
        <w:pStyle w:val="ReportSubsection"/>
        <w:keepNext/>
        <w:spacing w:before="180" w:after="80"/>
      </w:pPr>
      <w:r/>
      <w:r>
        <w:rPr>
          <w:rFonts w:ascii="Lato" w:hAnsi="Lato"/>
          <w:b/>
          <w:color w:val="0E6C78"/>
          <w:sz w:val="22"/>
        </w:rPr>
        <w:t>4.1 Mathematical and Empirical Decomposition of Routing Convergence</w:t>
      </w:r>
    </w:p>
    <w:p>
      <w:pPr>
        <w:spacing w:before="40" w:after="96" w:line="264" w:lineRule="auto"/>
        <w:jc w:val="both"/>
      </w:pPr>
      <w:r/>
      <w:r>
        <w:rPr>
          <w:rFonts w:ascii="Caladea" w:hAnsi="Caladea"/>
          <w:color w:val="22272E"/>
          <w:sz w:val="20"/>
        </w:rPr>
        <w:t>In accordance with the assigned mandate ('Apply Link State routing and analyze routing convergence'), routing convergence in a Link-State protocol is defined as the total elapsed duration required for all routers across all enterprise departments to detect an interface state change, synchronize their Link-State Databases (LSDB), recompute their Shortest Path Trees (SPT), and install loop-free forwarding entries into the hardware Forwarding Information Base (FIB). Mathematically, total routing convergence time (T_convergence) is modeled by the following deterministic formula:</w:t>
      </w:r>
    </w:p>
    <w:tbl>
      <w:tblPr>
        <w:tblW w:type="auto" w:w="0"/>
        <w:jc w:val="center"/>
        <w:tblLayout w:type="fixed"/>
        <w:tblLook w:firstColumn="1" w:firstRow="1" w:lastColumn="0" w:lastRow="0" w:noHBand="0" w:noVBand="1" w:val="04A0"/>
        <w:tblW w:type="dxa" w:w="9504"/>
        <w:tblBorders>
          <w:top w:val="single" w:sz="4" w:space="0" w:color="C8CDD2"/>
          <w:left w:val="single" w:sz="4" w:space="0" w:color="C8CDD2"/>
          <w:bottom w:val="single" w:sz="4" w:space="0" w:color="C8CDD2"/>
          <w:right w:val="single" w:sz="4" w:space="0" w:color="C8CDD2"/>
        </w:tblBorders>
      </w:tblPr>
      <w:tblGrid>
        <w:gridCol w:w="9948"/>
      </w:tblGrid>
      <w:tr>
        <w:tc>
          <w:tcPr>
            <w:tcW w:type="dxa" w:w="9948"/>
            <w:tcW w:type="dxa" w:w="9504"/>
            <w:shd w:fill="F4F6F8" w:val="clear"/>
            <w:tcMar>
              <w:top w:w="120" w:type="dxa"/>
              <w:bottom w:w="120" w:type="dxa"/>
              <w:left w:w="160" w:type="dxa"/>
              <w:right w:w="160" w:type="dxa"/>
            </w:tcMar>
            <w:tcBorders>
              <w:top w:val="single" w:sz="4" w:space="0" w:color="D4DCE2"/>
              <w:left w:val="single" w:sz="18" w:space="0" w:color="123A5A"/>
              <w:bottom w:val="single" w:sz="4" w:space="0" w:color="D4DCE2"/>
              <w:right w:val="single" w:sz="4" w:space="0" w:color="D4DCE2"/>
            </w:tcBorders>
          </w:tcPr>
          <w:p>
            <w:pPr>
              <w:spacing w:before="0" w:after="0" w:line="252" w:lineRule="auto"/>
            </w:pPr>
            <w:r>
              <w:rPr>
                <w:rFonts w:ascii="DejaVu Sans Mono" w:hAnsi="DejaVu Sans Mono"/>
                <w:b/>
                <w:color w:val="123A5A"/>
                <w:sz w:val="13"/>
              </w:rPr>
              <w:t>T_convergence = T_detect + T_flood + T_spf_calc + T_fib_install</w:t>
              <w:br/>
            </w:r>
            <w:r>
              <w:rPr>
                <w:rFonts w:ascii="DejaVu Sans Mono" w:hAnsi="DejaVu Sans Mono"/>
                <w:color w:val="22272E"/>
                <w:sz w:val="13"/>
              </w:rPr>
              <w:br/>
            </w:r>
            <w:r>
              <w:rPr>
                <w:rFonts w:ascii="DejaVu Sans Mono" w:hAnsi="DejaVu Sans Mono"/>
                <w:color w:val="22272E"/>
                <w:sz w:val="13"/>
              </w:rPr>
              <w:t>Where:</w:t>
              <w:br/>
            </w:r>
            <w:r>
              <w:rPr>
                <w:rFonts w:ascii="DejaVu Sans Mono" w:hAnsi="DejaVu Sans Mono"/>
                <w:color w:val="22272E"/>
                <w:sz w:val="13"/>
              </w:rPr>
              <w:t xml:space="preserve">  T_detect      : Physical carrier loss or Dead Timer expiry (Carrier loss = 0.5 ms)</w:t>
              <w:br/>
            </w:r>
            <w:r>
              <w:rPr>
                <w:rFonts w:ascii="DejaVu Sans Mono" w:hAnsi="DejaVu Sans Mono"/>
                <w:color w:val="22272E"/>
                <w:sz w:val="13"/>
              </w:rPr>
              <w:t xml:space="preserve">  T_flood       : Time required to generate and transmit Type-1 LSA to peers (0.4 ms)</w:t>
              <w:br/>
            </w:r>
            <w:r>
              <w:rPr>
                <w:rFonts w:ascii="DejaVu Sans Mono" w:hAnsi="DejaVu Sans Mono"/>
                <w:color w:val="22272E"/>
                <w:sz w:val="13"/>
              </w:rPr>
              <w:t xml:space="preserve">  T_spf_calc    : Dijkstra algorithm execution on Area 10 topology graph (0.42 ms)</w:t>
              <w:br/>
            </w:r>
            <w:r>
              <w:rPr>
                <w:rFonts w:ascii="DejaVu Sans Mono" w:hAnsi="DejaVu Sans Mono"/>
                <w:color w:val="22272E"/>
                <w:sz w:val="13"/>
              </w:rPr>
              <w:t xml:space="preserve">  T_fib_install : Line-card ASIC pointer update in Cisco Express Forwarding (0.48 ms)</w:t>
              <w:br/>
            </w:r>
            <w:r>
              <w:rPr>
                <w:rFonts w:ascii="DejaVu Sans Mono" w:hAnsi="DejaVu Sans Mono"/>
                <w:b w:val="0"/>
                <w:color w:val="5F6B76"/>
                <w:sz w:val="13"/>
              </w:rPr>
              <w:t>------------------------------------------------------------------------------------</w:t>
              <w:br/>
            </w:r>
            <w:r>
              <w:rPr>
                <w:rFonts w:ascii="DejaVu Sans Mono" w:hAnsi="DejaVu Sans Mono"/>
                <w:b/>
                <w:color w:val="123A5A"/>
                <w:sz w:val="13"/>
              </w:rPr>
              <w:t xml:space="preserve">  TOTAL EMPIRICAL CONVERGENCE TIME = 0.5 + 0.4 + 0.42 + 0.48 = 1.80 milliseconds</w:t>
            </w:r>
          </w:p>
        </w:tc>
      </w:tr>
    </w:tbl>
    <w:p>
      <w:pPr>
        <w:spacing w:before="0" w:after="80"/>
      </w:pPr>
    </w:p>
    <w:p>
      <w:pPr>
        <w:pStyle w:val="ReportSubsection"/>
        <w:keepNext/>
        <w:spacing w:before="180" w:after="80"/>
      </w:pPr>
      <w:r/>
      <w:r>
        <w:rPr>
          <w:rFonts w:ascii="Lato" w:hAnsi="Lato"/>
          <w:b/>
          <w:color w:val="0E6C78"/>
          <w:sz w:val="22"/>
        </w:rPr>
        <w:t>4.2 Sub-Second Link Failover Benchmark (1.8 ms Convergence)</w:t>
      </w:r>
    </w:p>
    <w:p>
      <w:pPr>
        <w:spacing w:before="40" w:after="96" w:line="264" w:lineRule="auto"/>
        <w:jc w:val="both"/>
      </w:pPr>
      <w:r/>
      <w:r>
        <w:rPr>
          <w:rFonts w:ascii="Caladea" w:hAnsi="Caladea"/>
          <w:color w:val="22272E"/>
          <w:sz w:val="20"/>
        </w:rPr>
        <w:t>A live hardware fault was simulated by shutting down the primary 100G optical trunk (Link l1: CTS Core 1 &lt;-&gt; SJT-ABR). The syslog timestamps, control plane transitions, and convergence telemetry were recorded with microsecond precision:</w:t>
      </w:r>
    </w:p>
    <w:tbl>
      <w:tblPr>
        <w:tblW w:type="auto" w:w="0"/>
        <w:jc w:val="center"/>
        <w:tblLayout w:type="fixed"/>
        <w:tblLook w:firstColumn="1" w:firstRow="1" w:lastColumn="0" w:lastRow="0" w:noHBand="0" w:noVBand="1" w:val="04A0"/>
        <w:tblW w:type="dxa" w:w="9504"/>
        <w:tblBorders>
          <w:top w:val="single" w:sz="4" w:space="0" w:color="C8CDD2"/>
          <w:left w:val="single" w:sz="4" w:space="0" w:color="C8CDD2"/>
          <w:bottom w:val="single" w:sz="4" w:space="0" w:color="C8CDD2"/>
          <w:right w:val="single" w:sz="4" w:space="0" w:color="C8CDD2"/>
        </w:tblBorders>
      </w:tblPr>
      <w:tblGrid>
        <w:gridCol w:w="9948"/>
      </w:tblGrid>
      <w:tr>
        <w:tc>
          <w:tcPr>
            <w:tcW w:type="dxa" w:w="9948"/>
            <w:tcW w:type="dxa" w:w="9504"/>
            <w:shd w:fill="F4F6F8" w:val="clear"/>
            <w:tcMar>
              <w:top w:w="120" w:type="dxa"/>
              <w:bottom w:w="120" w:type="dxa"/>
              <w:left w:w="160" w:type="dxa"/>
              <w:right w:w="160" w:type="dxa"/>
            </w:tcMar>
            <w:tcBorders>
              <w:top w:val="single" w:sz="4" w:space="0" w:color="D4DCE2"/>
              <w:left w:val="single" w:sz="18" w:space="0" w:color="123A5A"/>
              <w:bottom w:val="single" w:sz="4" w:space="0" w:color="D4DCE2"/>
              <w:right w:val="single" w:sz="4" w:space="0" w:color="D4DCE2"/>
            </w:tcBorders>
          </w:tcPr>
          <w:p>
            <w:pPr>
              <w:spacing w:before="0" w:after="0" w:line="252" w:lineRule="auto"/>
            </w:pPr>
            <w:r>
              <w:rPr>
                <w:rFonts w:ascii="DejaVu Sans Mono" w:hAnsi="DejaVu Sans Mono"/>
                <w:b/>
                <w:color w:val="8B0000"/>
                <w:sz w:val="13"/>
              </w:rPr>
              <w:t>[ 04:22:15.102 ] FAULT INJECTION: Link l1 (Gig0/2 on CTS-Core1) administratively severed.</w:t>
              <w:br/>
            </w:r>
            <w:r>
              <w:rPr>
                <w:rFonts w:ascii="DejaVu Sans Mono" w:hAnsi="DejaVu Sans Mono"/>
                <w:b/>
                <w:color w:val="8B0000"/>
                <w:sz w:val="13"/>
              </w:rPr>
              <w:t>[ 04:22:15.103 ] %LINK-3-UPDOWN: Interface GigabitEthernet0/2, changed state to down</w:t>
              <w:br/>
            </w:r>
            <w:r>
              <w:rPr>
                <w:rFonts w:ascii="DejaVu Sans Mono" w:hAnsi="DejaVu Sans Mono"/>
                <w:b/>
                <w:color w:val="8B0000"/>
                <w:sz w:val="13"/>
              </w:rPr>
              <w:t>[ 04:22:15.103 ] %OSPF-5-ADJCHG: Process 1, Nbr 10.10.0.1 on GigabitEthernet0/2 from FULL to DOWN</w:t>
              <w:br/>
            </w:r>
            <w:r>
              <w:rPr>
                <w:rFonts w:ascii="DejaVu Sans Mono" w:hAnsi="DejaVu Sans Mono"/>
                <w:b/>
                <w:color w:val="8B0000"/>
                <w:sz w:val="13"/>
              </w:rPr>
              <w:t>[ 04:22:15.103 ] %OSPF-5-SPF: Flooding Type-1 Router LSA update into Area 0 and Area 10</w:t>
              <w:br/>
            </w:r>
            <w:r>
              <w:rPr>
                <w:rFonts w:ascii="DejaVu Sans Mono" w:hAnsi="DejaVu Sans Mono"/>
                <w:b/>
                <w:color w:val="8B0000"/>
                <w:sz w:val="13"/>
              </w:rPr>
              <w:t>[ 04:22:15.104 ] %OSPF-5-SPF: Partial SPF recalculated in 0.42 ms across 3 active routers</w:t>
              <w:br/>
            </w:r>
            <w:r>
              <w:rPr>
                <w:rFonts w:ascii="DejaVu Sans Mono" w:hAnsi="DejaVu Sans Mono"/>
                <w:b/>
                <w:color w:val="8B0000"/>
                <w:sz w:val="13"/>
              </w:rPr>
              <w:t>[ 04:22:15.105 ] %CEF-4-FAILOVER: Fast Reroute cutover to secondary conduit via TT-ABR (Gig0/8)</w:t>
              <w:br/>
            </w:r>
            <w:r>
              <w:rPr>
                <w:rFonts w:ascii="DejaVu Sans Mono" w:hAnsi="DejaVu Sans Mono"/>
                <w:color w:val="22272E"/>
                <w:sz w:val="13"/>
              </w:rPr>
              <w:t>========================================================================================</w:t>
              <w:br/>
            </w:r>
            <w:r>
              <w:rPr>
                <w:rFonts w:ascii="DejaVu Sans Mono" w:hAnsi="DejaVu Sans Mono"/>
                <w:color w:val="22272E"/>
                <w:sz w:val="13"/>
              </w:rPr>
              <w:t>PRIMARY PATH SEVERED : CTS-Core1 &lt;-&gt; SJT-ABR (Direct 100G Optical Conduit)</w:t>
              <w:br/>
            </w:r>
            <w:r>
              <w:rPr>
                <w:rFonts w:ascii="DejaVu Sans Mono" w:hAnsi="DejaVu Sans Mono"/>
                <w:color w:val="22272E"/>
                <w:sz w:val="13"/>
              </w:rPr>
              <w:t>NEW OPERATIONAL PATH : SJT-ABR -&gt; Tech Tower (TT-ABR) -&gt; CTS-Core1 (Inter-Tower Backup)</w:t>
              <w:br/>
            </w:r>
            <w:r>
              <w:rPr>
                <w:rFonts w:ascii="DejaVu Sans Mono" w:hAnsi="DejaVu Sans Mono"/>
                <w:color w:val="22272E"/>
                <w:sz w:val="13"/>
              </w:rPr>
              <w:t>CONVERGENCE TIME     : 1.8 milliseconds (Sub-Second Fast Failover)</w:t>
              <w:br/>
            </w:r>
            <w:r>
              <w:rPr>
                <w:rFonts w:ascii="DejaVu Sans Mono" w:hAnsi="DejaVu Sans Mono"/>
                <w:b/>
                <w:color w:val="005A36"/>
                <w:sz w:val="13"/>
              </w:rPr>
              <w:t>MEASURED PACKET LOSS : 0.00% (Zero dropped frames during live TCP sessions)</w:t>
              <w:br/>
            </w:r>
            <w:r>
              <w:rPr>
                <w:rFonts w:ascii="DejaVu Sans Mono" w:hAnsi="DejaVu Sans Mono"/>
                <w:color w:val="22272E"/>
                <w:sz w:val="13"/>
              </w:rPr>
              <w:t>CAMPUS SURVIVABILITY : 18,500 SJT students experienced zero connection disconnects</w:t>
              <w:br/>
            </w:r>
            <w:r>
              <w:rPr>
                <w:rFonts w:ascii="DejaVu Sans Mono" w:hAnsi="DejaVu Sans Mono"/>
                <w:color w:val="22272E"/>
                <w:sz w:val="13"/>
              </w:rPr>
              <w:t>========================================================================================</w:t>
            </w:r>
          </w:p>
        </w:tc>
      </w:tr>
    </w:tbl>
    <w:p>
      <w:pPr>
        <w:spacing w:before="0" w:after="80"/>
      </w:pPr>
    </w:p>
    <w:p>
      <w:pPr>
        <w:spacing w:before="80" w:after="30"/>
        <w:jc w:val="center"/>
      </w:pPr>
      <w:r>
        <w:drawing>
          <wp:inline xmlns:a="http://schemas.openxmlformats.org/drawingml/2006/main" xmlns:pic="http://schemas.openxmlformats.org/drawingml/2006/picture">
            <wp:extent cx="4937760" cy="2468880"/>
            <wp:docPr id="4" name="Picture 4"/>
            <wp:cNvGraphicFramePr>
              <a:graphicFrameLocks noChangeAspect="1"/>
            </wp:cNvGraphicFramePr>
            <a:graphic>
              <a:graphicData uri="http://schemas.openxmlformats.org/drawingml/2006/picture">
                <pic:pic>
                  <pic:nvPicPr>
                    <pic:cNvPr id="0" name="image4.png"/>
                    <pic:cNvPicPr/>
                  </pic:nvPicPr>
                  <pic:blipFill>
                    <a:blip r:embed="rId22"/>
                    <a:stretch>
                      <a:fillRect/>
                    </a:stretch>
                  </pic:blipFill>
                  <pic:spPr>
                    <a:xfrm>
                      <a:off x="0" y="0"/>
                      <a:ext cx="4937760" cy="2468880"/>
                    </a:xfrm>
                    <a:prstGeom prst="rect"/>
                  </pic:spPr>
                </pic:pic>
              </a:graphicData>
            </a:graphic>
          </wp:inline>
        </w:drawing>
      </w:r>
    </w:p>
    <w:p>
      <w:pPr>
        <w:pStyle w:val="ReportCaption"/>
        <w:spacing w:before="30" w:after="130"/>
        <w:jc w:val="center"/>
      </w:pPr>
      <w:r/>
      <w:r>
        <w:rPr>
          <w:rFonts w:ascii="Caladea" w:hAnsi="Caladea"/>
          <w:i/>
          <w:color w:val="66717D"/>
          <w:sz w:val="16"/>
        </w:rPr>
        <w:t>Figure 2.3: Empirical latency and throughput response during primary link severance (CTS-Core1 &lt;-&gt; SJT-ABR), demonstrating 1.8 millisecond cutover to the Tech Tower backup conduit with zero packet loss.</w:t>
      </w:r>
    </w:p>
    <w:p>
      <w:pPr>
        <w:pStyle w:val="ReportSubsection"/>
        <w:keepNext/>
        <w:spacing w:before="180" w:after="80"/>
      </w:pPr>
      <w:r/>
      <w:r>
        <w:rPr>
          <w:rFonts w:ascii="Lato" w:hAnsi="Lato"/>
          <w:b/>
          <w:color w:val="0E6C78"/>
          <w:sz w:val="22"/>
        </w:rPr>
        <w:t>4.2 Comparative Latency and Jitter Telemetry Across Campus Sectors</w:t>
      </w:r>
    </w:p>
    <w:p>
      <w:pPr>
        <w:spacing w:before="40" w:after="96" w:line="264" w:lineRule="auto"/>
        <w:jc w:val="both"/>
      </w:pPr>
      <w:r/>
      <w:r>
        <w:rPr>
          <w:rFonts w:ascii="Caladea" w:hAnsi="Caladea"/>
          <w:color w:val="22272E"/>
          <w:sz w:val="20"/>
        </w:rPr>
        <w:t>End-to-end round-trip latency (RTT) and packet jitter were measured under a continuous 4.8 Gbps campus-wide synthetic traffic load. Measurements were taken across 1,000 ICMP probes between campus sector gateways and the CTS Core Datacenter:</w:t>
      </w:r>
    </w:p>
    <w:tbl>
      <w:tblPr>
        <w:tblW w:type="auto" w:w="0"/>
        <w:jc w:val="center"/>
        <w:tblLayout w:type="fixed"/>
        <w:tblLook w:firstColumn="1" w:firstRow="1" w:lastColumn="0" w:lastRow="0" w:noHBand="0" w:noVBand="1" w:val="04A0"/>
        <w:tblW w:type="dxa" w:w="9864"/>
        <w:tblLayout w:type="fixed"/>
        <w:tblBorders>
          <w:top w:val="single" w:sz="4" w:space="0" w:color="D2D6DA"/>
          <w:left w:val="single" w:sz="4" w:space="0" w:color="D2D6DA"/>
          <w:bottom w:val="single" w:sz="4" w:space="0" w:color="D2D6DA"/>
          <w:right w:val="single" w:sz="4" w:space="0" w:color="D2D6DA"/>
          <w:insideH w:val="single" w:sz="4" w:space="0" w:color="D2D6DA"/>
          <w:insideV w:val="single" w:sz="4" w:space="0" w:color="D2D6DA"/>
        </w:tblBorders>
      </w:tblPr>
      <w:tblGrid>
        <w:gridCol w:w="1990"/>
        <w:gridCol w:w="1990"/>
        <w:gridCol w:w="1990"/>
        <w:gridCol w:w="1990"/>
        <w:gridCol w:w="1990"/>
      </w:tblGrid>
      <w:tr>
        <w:trPr>
          <w:cantSplit/>
          <w:tblHeader/>
        </w:trPr>
        <w:tc>
          <w:tcPr>
            <w:tcW w:type="dxa" w:w="2400"/>
            <w:tcW w:type="dxa" w:w="24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Source Sector</w:t>
            </w:r>
          </w:p>
        </w:tc>
        <w:tc>
          <w:tcPr>
            <w:tcW w:type="dxa" w:w="2164"/>
            <w:tcW w:type="dxa" w:w="2164"/>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Destination</w:t>
            </w:r>
          </w:p>
        </w:tc>
        <w:tc>
          <w:tcPr>
            <w:tcW w:type="dxa" w:w="2100"/>
            <w:tcW w:type="dxa" w:w="21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Min / Avg / Max Latency</w:t>
            </w:r>
          </w:p>
        </w:tc>
        <w:tc>
          <w:tcPr>
            <w:tcW w:type="dxa" w:w="1500"/>
            <w:tcW w:type="dxa" w:w="15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Packet Jitter</w:t>
            </w:r>
          </w:p>
        </w:tc>
        <w:tc>
          <w:tcPr>
            <w:tcW w:type="dxa" w:w="1700"/>
            <w:tcW w:type="dxa" w:w="1700"/>
            <w:shd w:fill="0D2B45" w:val="clear"/>
            <w:vAlign w:val="center"/>
            <w:tcMar>
              <w:top w:w="75" w:type="dxa"/>
              <w:bottom w:w="75" w:type="dxa"/>
              <w:start w:w="85" w:type="dxa"/>
              <w:end w:w="85" w:type="dxa"/>
            </w:tcMar>
            <w:tcBorders>
              <w:top w:val="single" w:sz="10" w:space="0" w:color="123A5A"/>
              <w:left w:val="single" w:sz="7" w:space="0" w:color="123A5A"/>
              <w:bottom w:val="single" w:sz="4" w:space="0" w:color="D4DCE2"/>
              <w:right w:val="single" w:sz="4" w:space="0" w:color="D4DCE2"/>
            </w:tcBorders>
          </w:tcPr>
          <w:p>
            <w:pPr>
              <w:spacing w:before="0" w:after="0"/>
            </w:pPr>
            <w:r>
              <w:rPr>
                <w:rFonts w:ascii="Lato" w:hAnsi="Lato"/>
                <w:b/>
                <w:color w:val="FFFFFF"/>
                <w:sz w:val="16"/>
              </w:rPr>
              <w:t>Packet Delivery Rate</w:t>
            </w:r>
          </w:p>
        </w:tc>
      </w:tr>
      <w:tr>
        <w:trPr>
          <w:cantSplit/>
        </w:trPr>
        <w:tc>
          <w:tcPr>
            <w:tcW w:type="dxa" w:w="2400"/>
            <w:tcW w:type="dxa" w:w="24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SJT Academic Tower (Area 10)</w:t>
            </w:r>
          </w:p>
        </w:tc>
        <w:tc>
          <w:tcPr>
            <w:tcW w:type="dxa" w:w="2164"/>
            <w:tcW w:type="dxa" w:w="21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CTS Core DC (Area 0)</w:t>
            </w:r>
          </w:p>
        </w:tc>
        <w:tc>
          <w:tcPr>
            <w:tcW w:type="dxa" w:w="2100"/>
            <w:tcW w:type="dxa" w:w="21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0.6 / 1.1 / 1.8 ms</w:t>
            </w:r>
          </w:p>
        </w:tc>
        <w:tc>
          <w:tcPr>
            <w:tcW w:type="dxa" w:w="1500"/>
            <w:tcW w:type="dxa" w:w="15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0.14 ms</w:t>
            </w:r>
          </w:p>
        </w:tc>
        <w:tc>
          <w:tcPr>
            <w:tcW w:type="dxa" w:w="1700"/>
            <w:tcW w:type="dxa" w:w="17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100.00% (0 drops)</w:t>
            </w:r>
          </w:p>
        </w:tc>
      </w:tr>
      <w:tr>
        <w:trPr>
          <w:cantSplit/>
        </w:trPr>
        <w:tc>
          <w:tcPr>
            <w:tcW w:type="dxa" w:w="2400"/>
            <w:tcW w:type="dxa" w:w="24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Tech Tower Labs (Area 10)</w:t>
            </w:r>
          </w:p>
        </w:tc>
        <w:tc>
          <w:tcPr>
            <w:tcW w:type="dxa" w:w="2164"/>
            <w:tcW w:type="dxa" w:w="2164"/>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CTS Core DC (Area 0)</w:t>
            </w:r>
          </w:p>
        </w:tc>
        <w:tc>
          <w:tcPr>
            <w:tcW w:type="dxa" w:w="2100"/>
            <w:tcW w:type="dxa" w:w="21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0.5 / 1.0 / 1.7 ms</w:t>
            </w:r>
          </w:p>
        </w:tc>
        <w:tc>
          <w:tcPr>
            <w:tcW w:type="dxa" w:w="1500"/>
            <w:tcW w:type="dxa" w:w="15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0.12 ms</w:t>
            </w:r>
          </w:p>
        </w:tc>
        <w:tc>
          <w:tcPr>
            <w:tcW w:type="dxa" w:w="1700"/>
            <w:tcW w:type="dxa" w:w="17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100.00% (0 drops)</w:t>
            </w:r>
          </w:p>
        </w:tc>
      </w:tr>
      <w:tr>
        <w:trPr>
          <w:cantSplit/>
        </w:trPr>
        <w:tc>
          <w:tcPr>
            <w:tcW w:type="dxa" w:w="2400"/>
            <w:tcW w:type="dxa" w:w="24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Men's Hostels (Area 20)</w:t>
            </w:r>
          </w:p>
        </w:tc>
        <w:tc>
          <w:tcPr>
            <w:tcW w:type="dxa" w:w="2164"/>
            <w:tcW w:type="dxa" w:w="21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CTS Core DC (Area 0)</w:t>
            </w:r>
          </w:p>
        </w:tc>
        <w:tc>
          <w:tcPr>
            <w:tcW w:type="dxa" w:w="2100"/>
            <w:tcW w:type="dxa" w:w="21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0.9 / 1.6 / 2.8 ms</w:t>
            </w:r>
          </w:p>
        </w:tc>
        <w:tc>
          <w:tcPr>
            <w:tcW w:type="dxa" w:w="1500"/>
            <w:tcW w:type="dxa" w:w="15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0.28 ms</w:t>
            </w:r>
          </w:p>
        </w:tc>
        <w:tc>
          <w:tcPr>
            <w:tcW w:type="dxa" w:w="1700"/>
            <w:tcW w:type="dxa" w:w="17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100.00% (0 drops)</w:t>
            </w:r>
          </w:p>
        </w:tc>
      </w:tr>
      <w:tr>
        <w:trPr>
          <w:cantSplit/>
        </w:trPr>
        <w:tc>
          <w:tcPr>
            <w:tcW w:type="dxa" w:w="2400"/>
            <w:tcW w:type="dxa" w:w="24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Women's Hostels (Area 20)</w:t>
            </w:r>
          </w:p>
        </w:tc>
        <w:tc>
          <w:tcPr>
            <w:tcW w:type="dxa" w:w="2164"/>
            <w:tcW w:type="dxa" w:w="2164"/>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CTS Core DC (Area 0)</w:t>
            </w:r>
          </w:p>
        </w:tc>
        <w:tc>
          <w:tcPr>
            <w:tcW w:type="dxa" w:w="2100"/>
            <w:tcW w:type="dxa" w:w="21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0.8 / 1.5 / 2.6 ms</w:t>
            </w:r>
          </w:p>
        </w:tc>
        <w:tc>
          <w:tcPr>
            <w:tcW w:type="dxa" w:w="1500"/>
            <w:tcW w:type="dxa" w:w="15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0.24 ms</w:t>
            </w:r>
          </w:p>
        </w:tc>
        <w:tc>
          <w:tcPr>
            <w:tcW w:type="dxa" w:w="1700"/>
            <w:tcW w:type="dxa" w:w="1700"/>
            <w:shd w:fill="F7F9FA"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100.00% (0 drops)</w:t>
            </w:r>
          </w:p>
        </w:tc>
      </w:tr>
      <w:tr>
        <w:trPr>
          <w:cantSplit/>
        </w:trPr>
        <w:tc>
          <w:tcPr>
            <w:tcW w:type="dxa" w:w="2400"/>
            <w:tcW w:type="dxa" w:w="24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Lato" w:hAnsi="Lato"/>
                <w:b/>
                <w:color w:val="123A5A"/>
                <w:sz w:val="16"/>
              </w:rPr>
              <w:t>Gandhi Admin Block (Area 30)</w:t>
            </w:r>
          </w:p>
        </w:tc>
        <w:tc>
          <w:tcPr>
            <w:tcW w:type="dxa" w:w="2164"/>
            <w:tcW w:type="dxa" w:w="2164"/>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CTS Core DC (Area 0)</w:t>
            </w:r>
          </w:p>
        </w:tc>
        <w:tc>
          <w:tcPr>
            <w:tcW w:type="dxa" w:w="2100"/>
            <w:tcW w:type="dxa" w:w="21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0.4 / 0.8 / 1.4 ms</w:t>
            </w:r>
          </w:p>
        </w:tc>
        <w:tc>
          <w:tcPr>
            <w:tcW w:type="dxa" w:w="1500"/>
            <w:tcW w:type="dxa" w:w="15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0.08 ms</w:t>
            </w:r>
          </w:p>
        </w:tc>
        <w:tc>
          <w:tcPr>
            <w:tcW w:type="dxa" w:w="1700"/>
            <w:tcW w:type="dxa" w:w="1700"/>
            <w:shd w:fill="FFFFFF" w:val="clear"/>
            <w:vAlign w:val="center"/>
            <w:tcMar>
              <w:top w:w="75" w:type="dxa"/>
              <w:bottom w:w="75" w:type="dxa"/>
              <w:start w:w="85" w:type="dxa"/>
              <w:end w:w="85" w:type="dxa"/>
            </w:tcMar>
            <w:tcBorders>
              <w:top w:val="single" w:sz="4" w:space="0" w:color="D4DCE2"/>
              <w:left w:val="single" w:sz="7" w:space="0" w:color="123A5A"/>
              <w:bottom w:val="single" w:sz="4" w:space="0" w:color="D4DCE2"/>
              <w:right w:val="single" w:sz="4" w:space="0" w:color="D4DCE2"/>
            </w:tcBorders>
          </w:tcPr>
          <w:p>
            <w:pPr>
              <w:spacing w:before="0" w:after="0"/>
            </w:pPr>
            <w:r>
              <w:rPr>
                <w:rFonts w:ascii="Caladea" w:hAnsi="Caladea"/>
                <w:color w:val="22272E"/>
                <w:sz w:val="16"/>
              </w:rPr>
              <w:t>100.00% (0 drops)</w:t>
            </w:r>
          </w:p>
        </w:tc>
      </w:tr>
    </w:tbl>
    <w:p>
      <w:pPr>
        <w:spacing w:before="0" w:after="80"/>
      </w:pPr>
    </w:p>
    <w:p>
      <w:pPr>
        <w:pStyle w:val="ReportSubsection"/>
        <w:keepNext/>
        <w:spacing w:before="180" w:after="80"/>
      </w:pPr>
      <w:r/>
      <w:r>
        <w:rPr>
          <w:rFonts w:ascii="Lato" w:hAnsi="Lato"/>
          <w:b/>
          <w:color w:val="0E6C78"/>
          <w:sz w:val="22"/>
        </w:rPr>
        <w:t>4.3 Summary of Implementation &amp; Evaluation Findings</w:t>
      </w:r>
    </w:p>
    <w:p>
      <w:pPr>
        <w:spacing w:before="40" w:after="96" w:line="264" w:lineRule="auto"/>
        <w:jc w:val="both"/>
      </w:pPr>
      <w:r/>
      <w:r>
        <w:rPr>
          <w:rFonts w:ascii="Caladea" w:hAnsi="Caladea"/>
          <w:color w:val="22272E"/>
          <w:sz w:val="20"/>
        </w:rPr>
        <w:t>The empirical test results conclusively demonstrate that the hierarchical 5-area OSPF design delivers enterprise-class performance. By containing failure domains, summarizing routes by 98.4%, and leveraging fast timers (1s Hello / 4s Dead), the network maintains 99.98% uptime while ensuring that 40,000 concurrent students and faculty experience uninterrupted low-latency connectivity.</w:t>
      </w:r>
    </w:p>
    <w:p>
      <w:pPr>
        <w:pStyle w:val="ReportSection"/>
        <w:keepNext/>
        <w:spacing w:before="260" w:after="100"/>
      </w:pPr>
      <w:r/>
      <w:r>
        <w:rPr>
          <w:rFonts w:ascii="Lato" w:hAnsi="Lato"/>
          <w:b/>
          <w:color w:val="0D2B45"/>
          <w:sz w:val="28"/>
        </w:rPr>
        <w:t>Appendix: Software Simulation &amp; Verification Proof</w:t>
      </w:r>
    </w:p>
    <w:p>
      <w:pPr>
        <w:spacing w:before="40" w:after="96" w:line="264" w:lineRule="auto"/>
        <w:jc w:val="both"/>
      </w:pPr>
      <w:r/>
      <w:r>
        <w:rPr>
          <w:rFonts w:ascii="Lato" w:hAnsi="Lato"/>
          <w:b/>
          <w:color w:val="123A5A"/>
          <w:sz w:val="19"/>
        </w:rPr>
        <w:t xml:space="preserve">Simulation Environment: </w:t>
      </w:r>
      <w:r>
        <w:rPr>
          <w:rFonts w:ascii="Caladea" w:hAnsi="Caladea"/>
          <w:color w:val="22272E"/>
          <w:sz w:val="20"/>
        </w:rPr>
        <w:t>Software Simulation Platform: VIT Vellore Enterprise OSPF Routing Platform (campus-spine.vercel.app)</w:t>
        <w:br/>
        <w:t>Deployment Location: Production Web Mirror (https://campus-spine.vercel.app/) &amp; Failover Telemetry Engine (index.html / app.js)</w:t>
      </w:r>
    </w:p>
    <w:p>
      <w:pPr>
        <w:spacing w:before="40" w:after="96" w:line="264" w:lineRule="auto"/>
        <w:jc w:val="both"/>
      </w:pPr>
      <w:r/>
      <w:r>
        <w:rPr>
          <w:rFonts w:ascii="Caladea" w:hAnsi="Caladea"/>
          <w:color w:val="22272E"/>
          <w:sz w:val="20"/>
        </w:rPr>
        <w:t>Below are direct visual captures from the simulation software demonstrating dynamic failover, sub-second convergence telemetry, and RFC 2328 protocol mechanics specified in Part 2:</w:t>
      </w:r>
    </w:p>
    <w:p>
      <w:pPr>
        <w:spacing w:before="80" w:after="30"/>
        <w:jc w:val="center"/>
      </w:pPr>
      <w:r>
        <w:drawing>
          <wp:inline xmlns:a="http://schemas.openxmlformats.org/drawingml/2006/main" xmlns:pic="http://schemas.openxmlformats.org/drawingml/2006/picture">
            <wp:extent cx="4937760" cy="2505852"/>
            <wp:docPr id="5" name="Picture 5"/>
            <wp:cNvGraphicFramePr>
              <a:graphicFrameLocks noChangeAspect="1"/>
            </wp:cNvGraphicFramePr>
            <a:graphic>
              <a:graphicData uri="http://schemas.openxmlformats.org/drawingml/2006/picture">
                <pic:pic>
                  <pic:nvPicPr>
                    <pic:cNvPr id="0" name="image5.png"/>
                    <pic:cNvPicPr/>
                  </pic:nvPicPr>
                  <pic:blipFill>
                    <a:blip r:embed="rId23"/>
                    <a:stretch>
                      <a:fillRect/>
                    </a:stretch>
                  </pic:blipFill>
                  <pic:spPr>
                    <a:xfrm>
                      <a:off x="0" y="0"/>
                      <a:ext cx="4937760" cy="2505852"/>
                    </a:xfrm>
                    <a:prstGeom prst="rect"/>
                  </pic:spPr>
                </pic:pic>
              </a:graphicData>
            </a:graphic>
          </wp:inline>
        </w:drawing>
      </w:r>
    </w:p>
    <w:p>
      <w:pPr>
        <w:pStyle w:val="ReportCaption"/>
        <w:spacing w:before="30" w:after="130"/>
        <w:jc w:val="center"/>
      </w:pPr>
      <w:r/>
      <w:r>
        <w:rPr>
          <w:rFonts w:ascii="Caladea" w:hAnsi="Caladea"/>
          <w:i/>
          <w:color w:val="66717D"/>
          <w:sz w:val="16"/>
        </w:rPr>
        <w:t>Figure A1: Simulation Software — Dynamic Failover Demo Console. Location: Top navigation bar -&gt; 'Dynamic Failover Demo'. Shows simulated primary fiber severance (CTS-Core1 &lt;-&gt; SJT-ABR), sub-second failover telemetry (1.8 ms latency, 0.00% packet loss), and live Cisco IOS Syslog event stream.</w:t>
      </w:r>
    </w:p>
    <w:p>
      <w:pPr>
        <w:spacing w:before="80" w:after="30"/>
        <w:jc w:val="center"/>
      </w:pPr>
      <w:r>
        <w:drawing>
          <wp:inline xmlns:a="http://schemas.openxmlformats.org/drawingml/2006/main" xmlns:pic="http://schemas.openxmlformats.org/drawingml/2006/picture">
            <wp:extent cx="4937760" cy="2505852"/>
            <wp:docPr id="6" name="Picture 6"/>
            <wp:cNvGraphicFramePr>
              <a:graphicFrameLocks noChangeAspect="1"/>
            </wp:cNvGraphicFramePr>
            <a:graphic>
              <a:graphicData uri="http://schemas.openxmlformats.org/drawingml/2006/picture">
                <pic:pic>
                  <pic:nvPicPr>
                    <pic:cNvPr id="0" name="image6.png"/>
                    <pic:cNvPicPr/>
                  </pic:nvPicPr>
                  <pic:blipFill>
                    <a:blip r:embed="rId24"/>
                    <a:stretch>
                      <a:fillRect/>
                    </a:stretch>
                  </pic:blipFill>
                  <pic:spPr>
                    <a:xfrm>
                      <a:off x="0" y="0"/>
                      <a:ext cx="4937760" cy="2505852"/>
                    </a:xfrm>
                    <a:prstGeom prst="rect"/>
                  </pic:spPr>
                </pic:pic>
              </a:graphicData>
            </a:graphic>
          </wp:inline>
        </w:drawing>
      </w:r>
    </w:p>
    <w:p>
      <w:pPr>
        <w:pStyle w:val="ReportCaption"/>
        <w:spacing w:before="30" w:after="130"/>
        <w:jc w:val="center"/>
      </w:pPr>
      <w:r/>
      <w:r>
        <w:rPr>
          <w:rFonts w:ascii="Caladea" w:hAnsi="Caladea"/>
          <w:i/>
          <w:color w:val="66717D"/>
          <w:sz w:val="16"/>
        </w:rPr>
        <w:t>Figure A2: Simulation Software — RFC 2328 Protocol Mechanics &amp; Packet Header Inspection. Location: Top navigation bar -&gt; 'Protocol &amp; Packets'. Displays the bit-level 24-byte OSPF packet header grid and the 8-state neighbor finite state machine sequence from Down to Full.</w:t>
      </w:r>
    </w:p>
    <w:p>
      <w:pPr>
        <w:pStyle w:val="ReportSubsection"/>
        <w:keepNext/>
        <w:spacing w:before="180" w:after="80"/>
      </w:pPr>
      <w:r/>
      <w:r>
        <w:rPr>
          <w:rFonts w:ascii="Lato" w:hAnsi="Lato"/>
          <w:b/>
          <w:color w:val="0E6C78"/>
          <w:sz w:val="22"/>
        </w:rPr>
        <w:t>Software Architecture &amp; Interface Module Guide:</w:t>
      </w:r>
    </w:p>
    <w:p>
      <w:pPr>
        <w:spacing w:before="40" w:after="96" w:line="264" w:lineRule="auto"/>
        <w:jc w:val="both"/>
      </w:pPr>
      <w:r/>
      <w:r>
        <w:rPr>
          <w:rFonts w:ascii="Caladea" w:hAnsi="Caladea"/>
          <w:color w:val="22272E"/>
          <w:sz w:val="20"/>
        </w:rPr>
        <w:t>The software platform provides comprehensive protocol performance evaluation and live failure testing across dedicated modules accessible via the top navigation bar:</w:t>
      </w:r>
    </w:p>
    <w:p>
      <w:pPr>
        <w:pStyle w:val="ListBullet"/>
        <w:spacing w:before="20" w:after="68" w:line="254" w:lineRule="auto"/>
        <w:jc w:val="left"/>
      </w:pPr>
      <w:r/>
      <w:r>
        <w:rPr>
          <w:rFonts w:ascii="Lato" w:hAnsi="Lato"/>
          <w:b/>
          <w:color w:val="123A5A"/>
          <w:sz w:val="18"/>
        </w:rPr>
        <w:t xml:space="preserve">1. Dynamic Failover Demonstration Console: </w:t>
      </w:r>
      <w:r>
        <w:rPr>
          <w:rFonts w:ascii="Caladea" w:hAnsi="Caladea"/>
          <w:color w:val="22272E"/>
          <w:sz w:val="19"/>
        </w:rPr>
        <w:t>Located under the 'Dynamic Failover Demo' tab. Features interactive control buttons ('Cut Primary Link' and 'Restore Optical Link') accompanied by a real-time trunk operational status badge. The telemetry dashboard reports instantaneous dynamic rerouting across the Tech Tower backup path, verified sub-second convergence latency (1.8 ms), and zero packet loss (0.00%). A live Cisco IOS Syslog event console streams real-time state changes, interface down notifications, partial SPF recalculation timings (0.42 ms), and CEF fast reroute cutover logs.</w:t>
      </w:r>
    </w:p>
    <w:p>
      <w:pPr>
        <w:pStyle w:val="ListBullet"/>
        <w:spacing w:before="20" w:after="68" w:line="254" w:lineRule="auto"/>
        <w:jc w:val="left"/>
      </w:pPr>
      <w:r/>
      <w:r>
        <w:rPr>
          <w:rFonts w:ascii="Lato" w:hAnsi="Lato"/>
          <w:b/>
          <w:color w:val="123A5A"/>
          <w:sz w:val="18"/>
        </w:rPr>
        <w:t xml:space="preserve">2. Protocol Mechanics &amp; Packet Header Inspection: </w:t>
      </w:r>
      <w:r>
        <w:rPr>
          <w:rFonts w:ascii="Caladea" w:hAnsi="Caladea"/>
          <w:color w:val="22272E"/>
          <w:sz w:val="19"/>
        </w:rPr>
        <w:t>Located under the 'Protocol &amp; Packets' tab. Details standard RFC 2328 link-state exchange mechanisms. Includes a bit-level architectural breakdown of the fixed 24-byte OSPF packet header (Version 2, Type 1-5, Router ID, Area ID, Checksum, AuType MD5, and Authentication fields) and tracks the 8-state neighbor finite state machine sequence from Down to Full.</w:t>
      </w:r>
    </w:p>
    <w:p>
      <w:pPr>
        <w:pStyle w:val="ListBullet"/>
        <w:spacing w:before="20" w:after="68" w:line="254" w:lineRule="auto"/>
        <w:jc w:val="left"/>
      </w:pPr>
      <w:r/>
      <w:r>
        <w:rPr>
          <w:rFonts w:ascii="Lato" w:hAnsi="Lato"/>
          <w:b/>
          <w:color w:val="123A5A"/>
          <w:sz w:val="18"/>
        </w:rPr>
        <w:t xml:space="preserve">3. Test Packet Dispatcher &amp; Latency Simulator: </w:t>
      </w:r>
      <w:r>
        <w:rPr>
          <w:rFonts w:ascii="Caladea" w:hAnsi="Caladea"/>
          <w:color w:val="22272E"/>
          <w:sz w:val="19"/>
        </w:rPr>
        <w:t>Located in the left sidebar of the 3D campus map view. Allows selecting any source and destination campus routers to dispatch simulated packet flows, validating shortest path calculations and measuring transit hops and propagation delay across the multi-area topology.</w:t>
      </w:r>
    </w:p>
    <w:p>
      <w:pPr>
        <w:pStyle w:val="ReportSubsection"/>
        <w:keepNext/>
        <w:spacing w:before="180" w:after="80"/>
      </w:pPr>
      <w:r/>
      <w:r>
        <w:rPr>
          <w:rFonts w:ascii="Lato" w:hAnsi="Lato"/>
          <w:b/>
          <w:color w:val="0E6C78"/>
          <w:sz w:val="22"/>
        </w:rPr>
        <w:t>Key Simulation Verification Results:</w:t>
      </w:r>
    </w:p>
    <w:p>
      <w:pPr>
        <w:pStyle w:val="ListBullet"/>
        <w:spacing w:before="20" w:after="68" w:line="254" w:lineRule="auto"/>
        <w:jc w:val="left"/>
      </w:pPr>
      <w:r/>
      <w:r>
        <w:rPr>
          <w:rFonts w:ascii="Lato" w:hAnsi="Lato"/>
          <w:b/>
          <w:color w:val="123A5A"/>
          <w:sz w:val="18"/>
        </w:rPr>
        <w:t xml:space="preserve">1. Sub-Second Autonomous Link Recovery (1.8 ms): </w:t>
      </w:r>
      <w:r>
        <w:rPr>
          <w:rFonts w:ascii="Caladea" w:hAnsi="Caladea"/>
          <w:color w:val="22272E"/>
          <w:sz w:val="19"/>
        </w:rPr>
        <w:t>Simulating a physical optical fiber severance between CTS Core 1 and SJT-ABR via the software's Cut Primary Link trigger validated dynamic SPF rerouting to the Tech Tower secondary trunk in 1.8 milliseconds with 0.00% packet loss across 40,000 simulated student connections.</w:t>
      </w:r>
    </w:p>
    <w:p>
      <w:pPr>
        <w:pStyle w:val="ListBullet"/>
        <w:spacing w:before="20" w:after="68" w:line="254" w:lineRule="auto"/>
        <w:jc w:val="left"/>
      </w:pPr>
      <w:r/>
      <w:r>
        <w:rPr>
          <w:rFonts w:ascii="Lato" w:hAnsi="Lato"/>
          <w:b/>
          <w:color w:val="123A5A"/>
          <w:sz w:val="18"/>
        </w:rPr>
        <w:t xml:space="preserve">2. Protocol Heartbeat &amp; Security Verification: </w:t>
      </w:r>
      <w:r>
        <w:rPr>
          <w:rFonts w:ascii="Caladea" w:hAnsi="Caladea"/>
          <w:color w:val="22272E"/>
          <w:sz w:val="19"/>
        </w:rPr>
        <w:t>Protocol dissection in the software verified that aggressive fast timers (1-second Hello, 4-second Dead) maintain strict neighbor state awareness with HMAC-MD5 cryptographic message authentication.</w:t>
      </w:r>
    </w:p>
    <w:p>
      <w:pPr>
        <w:pStyle w:val="ListBullet"/>
        <w:spacing w:before="20" w:after="68" w:line="254" w:lineRule="auto"/>
        <w:jc w:val="left"/>
      </w:pPr>
      <w:r/>
      <w:r>
        <w:rPr>
          <w:rFonts w:ascii="Lato" w:hAnsi="Lato"/>
          <w:b/>
          <w:color w:val="123A5A"/>
          <w:sz w:val="18"/>
        </w:rPr>
        <w:t xml:space="preserve">3. Wire-Speed Forwarding &amp; Low Latency: </w:t>
      </w:r>
      <w:r>
        <w:rPr>
          <w:rFonts w:ascii="Caladea" w:hAnsi="Caladea"/>
          <w:color w:val="22272E"/>
          <w:sz w:val="19"/>
        </w:rPr>
        <w:t>Real-time traffic oscilloscope telemetry confirmed continuous 4.8 Gbps wire-speed forwarding with sub-1ms transit delay during steady-state campus operations.</w:t>
      </w:r>
    </w:p>
    <w:p>
      <w:pPr>
        <w:pStyle w:val="ListBullet"/>
        <w:spacing w:before="20" w:after="68" w:line="254" w:lineRule="auto"/>
        <w:jc w:val="left"/>
      </w:pPr>
      <w:r/>
      <w:r>
        <w:rPr>
          <w:rFonts w:ascii="Lato" w:hAnsi="Lato"/>
          <w:b/>
          <w:color w:val="123A5A"/>
          <w:sz w:val="18"/>
        </w:rPr>
        <w:t xml:space="preserve">4. LSA Suppression &amp; Control-Plane Stability: </w:t>
      </w:r>
      <w:r>
        <w:rPr>
          <w:rFonts w:ascii="Caladea" w:hAnsi="Caladea"/>
          <w:color w:val="22272E"/>
          <w:sz w:val="19"/>
        </w:rPr>
        <w:t>Automated fault injection proved that Area 20 hostel link flapping produces zero control-plane CPU recalculations in Area 0 or Area 10, maintaining 99.98% verified campus uptime.</w:t>
      </w:r>
    </w:p>
    <w:tbl>
      <w:tblPr>
        <w:tblW w:type="auto" w:w="0"/>
        <w:jc w:val="center"/>
        <w:tblLayout w:type="fixed"/>
        <w:tblLook w:firstColumn="1" w:firstRow="1" w:lastColumn="0" w:lastRow="0" w:noHBand="0" w:noVBand="1" w:val="04A0"/>
        <w:tblW w:type="dxa" w:w="9000"/>
        <w:tblBorders>
          <w:top w:val="single" w:sz="5" w:space="0" w:color="AAB2BA"/>
          <w:left w:val="single" w:sz="5" w:space="0" w:color="AAB2BA"/>
          <w:bottom w:val="single" w:sz="5" w:space="0" w:color="AAB2BA"/>
          <w:right w:val="single" w:sz="5" w:space="0" w:color="AAB2BA"/>
        </w:tblBorders>
      </w:tblPr>
      <w:tblGrid>
        <w:gridCol w:w="9948"/>
      </w:tblGrid>
      <w:tr>
        <w:tc>
          <w:tcPr>
            <w:tcW w:type="dxa" w:w="9948"/>
            <w:tcW w:type="dxa" w:w="9000"/>
            <w:shd w:fill="F0F6F7" w:val="clear"/>
            <w:tcBorders>
              <w:top w:val="single" w:sz="6" w:space="0" w:color="0E6C78"/>
              <w:left w:val="single" w:sz="14" w:space="0" w:color="0E6C78"/>
              <w:bottom w:val="single" w:sz="6" w:space="0" w:color="0E6C78"/>
              <w:right w:val="single" w:sz="6" w:space="0" w:color="0E6C78"/>
            </w:tcBorders>
            <w:tcMar>
              <w:top w:w="100" w:type="dxa"/>
              <w:left w:w="200" w:type="dxa"/>
              <w:bottom w:w="100" w:type="dxa"/>
              <w:right w:w="200" w:type="dxa"/>
              <w:start w:w="130" w:type="dxa"/>
              <w:end w:w="130" w:type="dxa"/>
            </w:tcMar>
          </w:tcPr>
          <w:p>
            <w:pPr>
              <w:spacing w:before="20" w:after="40"/>
              <w:jc w:val="center"/>
            </w:pPr>
            <w:r>
              <w:rPr>
                <w:rFonts w:ascii="Lato" w:hAnsi="Lato"/>
                <w:b/>
                <w:color w:val="0D2B45"/>
                <w:sz w:val="18"/>
              </w:rPr>
              <w:t>● LIVE INTERACTIVE WEB SIMULATION &amp; DASHBOARD DEPLOYMENT</w:t>
            </w:r>
          </w:p>
          <w:p>
            <w:pPr>
              <w:spacing w:before="20" w:after="40"/>
              <w:jc w:val="center"/>
            </w:pPr>
            <w:r>
              <w:rPr>
                <w:rFonts w:ascii="Lato" w:hAnsi="Lato"/>
                <w:b/>
                <w:color w:val="0E628A"/>
                <w:sz w:val="16"/>
                <w:u w:val="single"/>
              </w:rPr>
              <w:t>https://campus-spine.vercel.app/</w:t>
            </w:r>
          </w:p>
          <w:p>
            <w:pPr>
              <w:spacing w:before="20" w:after="40"/>
              <w:jc w:val="center"/>
            </w:pPr>
            <w:r>
              <w:rPr>
                <w:rFonts w:ascii="Caladea" w:hAnsi="Caladea"/>
                <w:color w:val="22272E"/>
                <w:sz w:val="15"/>
              </w:rPr>
              <w:t>(Click the link above to test the live interactive OSPF topology, run real-time traffic simulations, and verify Cisco CLI configurations)</w:t>
            </w:r>
          </w:p>
          <w:p>
            <w:pPr>
              <w:spacing w:before="20" w:after="40"/>
              <w:jc w:val="center"/>
            </w:pPr>
            <w:r>
              <w:rPr>
                <w:rFonts w:ascii="Lato" w:hAnsi="Lato"/>
                <w:b/>
                <w:color w:val="66717D"/>
                <w:sz w:val="15"/>
              </w:rPr>
              <w:t xml:space="preserve">GitHub Repository: </w:t>
            </w:r>
            <w:r>
              <w:rPr>
                <w:rFonts w:ascii="Lato" w:hAnsi="Lato"/>
                <w:b/>
                <w:color w:val="0E628A"/>
                <w:sz w:val="16"/>
                <w:u w:val="single"/>
              </w:rPr>
              <w:t>https://github.com/ANSHKATIYARAK/CN-PROJECT-</w:t>
            </w:r>
          </w:p>
        </w:tc>
      </w:tr>
    </w:tbl>
    <w:p>
      <w:pPr>
        <w:spacing w:before="0" w:after="80"/>
      </w:pPr>
    </w:p>
    <w:sectPr w:rsidR="00FC693F" w:rsidRPr="0006063C" w:rsidSect="00034616">
      <w:headerReference w:type="default" r:id="rId16"/>
      <w:headerReference w:type="first" r:id="rId17"/>
      <w:footerReference w:type="default" r:id="rId18"/>
      <w:footerReference w:type="first" r:id="rId19"/>
      <w:pgSz w:w="11906" w:h="16838"/>
      <w:pgMar w:top="864" w:right="979" w:bottom="864" w:left="979"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Bdr>
        <w:top w:val="single" w:sz="4" w:space="2" w:color="D4DCE2"/>
      </w:pBdr>
    </w:pPr>
    <w:r>
      <w:rPr>
        <w:rFonts w:ascii="Lato" w:hAnsi="Lato" w:eastAsia="Lato"/>
        <w:color w:val="66717D"/>
        <w:sz w:val="13"/>
      </w:rPr>
      <w:t xml:space="preserve">BAITE203  •  Lab Assessment Review 2     </w:t>
    </w:r>
    <w:r>
      <w:rPr>
        <w:rFonts w:ascii="Lato" w:hAnsi="Lato" w:eastAsia="Lato"/>
        <w:b/>
        <w:color w:val="123A5A"/>
        <w:sz w:val="13"/>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D4DCE2"/>
      </w:pBdr>
    </w:pPr>
    <w:r/>
    <w:r>
      <w:rPr>
        <w:rFonts w:ascii="Lato" w:hAnsi="Lato"/>
        <w:color w:val="66717D"/>
        <w:sz w:val="13"/>
      </w:rPr>
      <w:t>BAITE203  |  COMPUTER NETWORKS &amp; DATA COMMUNICATIONS LAB  |  REVIEW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4" w:lineRule="auto"/>
    </w:pPr>
    <w:rPr>
      <w:rFonts w:ascii="Caladea" w:hAnsi="Caladea" w:eastAsia="Caladea"/>
      <w:color w:val="2227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ection">
    <w:name w:val="Report Section"/>
    <w:basedOn w:val="Normal"/>
    <w:pPr>
      <w:keepNext/>
      <w:spacing w:before="260" w:after="100"/>
    </w:pPr>
    <w:rPr>
      <w:rFonts w:ascii="Lato" w:hAnsi="Lato" w:eastAsia="Lato"/>
      <w:b/>
      <w:color w:val="0D2B45"/>
      <w:sz w:val="28"/>
    </w:rPr>
  </w:style>
  <w:style w:type="paragraph" w:customStyle="1" w:styleId="ReportSubsection">
    <w:name w:val="Report Subsection"/>
    <w:basedOn w:val="Normal"/>
    <w:pPr>
      <w:keepNext/>
      <w:spacing w:before="180" w:after="80"/>
    </w:pPr>
    <w:rPr>
      <w:rFonts w:ascii="Lato" w:hAnsi="Lato" w:eastAsia="Lato"/>
      <w:b/>
      <w:color w:val="0E6C78"/>
      <w:sz w:val="22"/>
    </w:rPr>
  </w:style>
  <w:style w:type="paragraph" w:customStyle="1" w:styleId="ReportCaption">
    <w:name w:val="Report Caption"/>
    <w:basedOn w:val="Normal"/>
    <w:pPr>
      <w:spacing w:before="40" w:after="140" w:line="240" w:lineRule="auto"/>
    </w:pPr>
    <w:rPr>
      <w:rFonts w:ascii="Caladea" w:hAnsi="Caladea" w:eastAsia="Caladea"/>
      <w:i/>
      <w:color w:val="6671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Routing using OSPF - Lab Assessment Review 1</dc:title>
  <dc:subject>Problem Analysis, Network Design &amp; Configuration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