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280" w:after="40"/>
        <w:jc w:val="center"/>
      </w:pPr>
      <w:r>
        <w:rPr>
          <w:rFonts w:ascii="Arial" w:hAnsi="Arial"/>
          <w:b/>
          <w:color w:val="003366"/>
          <w:sz w:val="30"/>
        </w:rPr>
        <w:t>ENTERPRISE ROUTING USING OSPF:</w:t>
        <w:br/>
        <w:t>SCALABLE MULTI-DEPARTMENT CAMPUS NETWORK DESIGN</w:t>
      </w:r>
    </w:p>
    <w:p>
      <w:pPr>
        <w:spacing w:before="0" w:after="320"/>
        <w:jc w:val="center"/>
      </w:pPr>
      <w:r>
        <w:rPr>
          <w:rFonts w:ascii="Arial" w:hAnsi="Arial"/>
          <w:b/>
          <w:color w:val="006699"/>
          <w:sz w:val="24"/>
        </w:rPr>
        <w:t>Lab Assessment Review 1: Problem Analysis, Network Design &amp; Configuration</w:t>
      </w:r>
    </w:p>
    <w:p>
      <w:pPr>
        <w:spacing w:before="200" w:after="8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Problem Formulation &amp; Multi-Department Scope</w:t>
      </w:r>
    </w:p>
    <w:p>
      <w:pPr>
        <w:keepNext/>
        <w:spacing w:before="240" w:after="60"/>
      </w:pPr>
      <w:r>
        <w:rPr>
          <w:rFonts w:ascii="Arial" w:hAnsi="Arial"/>
          <w:b/>
          <w:color w:val="006699"/>
          <w:sz w:val="24"/>
        </w:rPr>
        <w:t>1.1 Assigned Problem Statement</w:t>
      </w:r>
    </w:p>
    <w:p>
      <w:pPr>
        <w:spacing w:after="80" w:line="276" w:lineRule="auto"/>
      </w:pPr>
      <w:r>
        <w:rPr>
          <w:rFonts w:ascii="Calibri" w:hAnsi="Calibri"/>
          <w:b/>
          <w:color w:val="0F172A"/>
          <w:sz w:val="21"/>
        </w:rPr>
        <w:t xml:space="preserve">Problem Statement: </w:t>
      </w:r>
      <w:r>
        <w:rPr>
          <w:rFonts w:ascii="Calibri" w:hAnsi="Calibri"/>
          <w:color w:val="222222"/>
          <w:sz w:val="21"/>
        </w:rPr>
        <w:t>"Enterprise Routing using OSPF – Design a scalable routing system for multiple departments."</w:t>
      </w:r>
    </w:p>
    <w:p>
      <w:pPr>
        <w:spacing w:after="80" w:line="276" w:lineRule="auto"/>
      </w:pPr>
      <w:r>
        <w:rPr>
          <w:rFonts w:ascii="Calibri" w:hAnsi="Calibri"/>
          <w:color w:val="222222"/>
          <w:sz w:val="21"/>
        </w:rPr>
        <w:t>The objective of this engineering project is to design, configure, and evaluate an enterprise-grade multi-area Open Shortest Path First (OSPF) routing infrastructure capable of interconnecting multiple academic, administrative, residential, and research departments across the 372-acre Vellore Institute of Technology (VIT Vellore) campus serving more than 40,000 students. The topology is fully modeled and validated in Cisco Packet Tracer 8.2 with Link-State convergence verified under live link failure scenarios.</w:t>
      </w:r>
    </w:p>
    <w:p>
      <w:pPr>
        <w:keepNext/>
        <w:spacing w:before="240" w:after="60"/>
      </w:pPr>
      <w:r>
        <w:rPr>
          <w:rFonts w:ascii="Arial" w:hAnsi="Arial"/>
          <w:b/>
          <w:color w:val="006699"/>
          <w:sz w:val="24"/>
        </w:rPr>
        <w:t>1.2 Operational Scale Across Multiple University Departments</w:t>
      </w:r>
    </w:p>
    <w:p>
      <w:pPr>
        <w:spacing w:after="80" w:line="276" w:lineRule="auto"/>
      </w:pPr>
      <w:r>
        <w:rPr>
          <w:rFonts w:ascii="Calibri" w:hAnsi="Calibri"/>
          <w:color w:val="222222"/>
          <w:sz w:val="21"/>
        </w:rPr>
        <w:t>Modern enterprise university environments like VIT Vellore host diverse departments with widely varying traffic, security, and quality-of-service demands. Designing a scalable enterprise routing system requires analyzing the unique operational requirements of each individual department across the 372-acre campus:</w:t>
      </w:r>
    </w:p>
    <w:tbl>
      <w:tblPr>
        <w:tblW w:type="auto" w:w="0"/>
        <w:jc w:val="center"/>
        <w:tblLook w:firstColumn="1" w:firstRow="1" w:lastColumn="0" w:lastRow="0" w:noHBand="0" w:noVBand="1" w:val="04A0"/>
      </w:tblPr>
      <w:tblGrid>
        <w:gridCol w:w="2484"/>
        <w:gridCol w:w="2484"/>
        <w:gridCol w:w="2484"/>
        <w:gridCol w:w="2484"/>
      </w:tblGrid>
      <w:tr>
        <w:tc>
          <w:tcPr>
            <w:tcW w:type="dxa" w:w="2160"/>
            <w:shd w:fill="003366"/>
          </w:tcPr>
          <w:p>
            <w:pPr>
              <w:jc w:val="center"/>
            </w:pPr>
            <w:r>
              <w:rPr>
                <w:rFonts w:ascii="Arial" w:hAnsi="Arial"/>
                <w:b/>
                <w:color w:val="FFFFFF"/>
                <w:sz w:val="18"/>
              </w:rPr>
              <w:t>Campus Sector</w:t>
            </w:r>
          </w:p>
        </w:tc>
        <w:tc>
          <w:tcPr>
            <w:tcW w:type="dxa" w:w="3168"/>
            <w:shd w:fill="003366"/>
          </w:tcPr>
          <w:p>
            <w:pPr>
              <w:jc w:val="center"/>
            </w:pPr>
            <w:r>
              <w:rPr>
                <w:rFonts w:ascii="Arial" w:hAnsi="Arial"/>
                <w:b/>
                <w:color w:val="FFFFFF"/>
                <w:sz w:val="18"/>
              </w:rPr>
              <w:t>Physical Facilities / Landmarks</w:t>
            </w:r>
          </w:p>
        </w:tc>
        <w:tc>
          <w:tcPr>
            <w:tcW w:type="dxa" w:w="2016"/>
            <w:shd w:fill="003366"/>
          </w:tcPr>
          <w:p>
            <w:pPr>
              <w:jc w:val="center"/>
            </w:pPr>
            <w:r>
              <w:rPr>
                <w:rFonts w:ascii="Arial" w:hAnsi="Arial"/>
                <w:b/>
                <w:color w:val="FFFFFF"/>
                <w:sz w:val="18"/>
              </w:rPr>
              <w:t>Active User Population</w:t>
            </w:r>
          </w:p>
        </w:tc>
        <w:tc>
          <w:tcPr>
            <w:tcW w:type="dxa" w:w="3456"/>
            <w:shd w:fill="003366"/>
          </w:tcPr>
          <w:p>
            <w:pPr>
              <w:jc w:val="center"/>
            </w:pPr>
            <w:r>
              <w:rPr>
                <w:rFonts w:ascii="Arial" w:hAnsi="Arial"/>
                <w:b/>
                <w:color w:val="FFFFFF"/>
                <w:sz w:val="18"/>
              </w:rPr>
              <w:t>Operational Network Profile</w:t>
            </w:r>
          </w:p>
        </w:tc>
      </w:tr>
      <w:tr>
        <w:tc>
          <w:tcPr>
            <w:tcW w:type="dxa" w:w="2160"/>
            <w:shd w:fill="F8FAFC"/>
          </w:tcPr>
          <w:p>
            <w:r>
              <w:rPr>
                <w:rFonts w:ascii="Calibri" w:hAnsi="Calibri"/>
                <w:color w:val="222222"/>
                <w:sz w:val="17"/>
              </w:rPr>
              <w:t>Academic Core</w:t>
            </w:r>
          </w:p>
        </w:tc>
        <w:tc>
          <w:tcPr>
            <w:tcW w:type="dxa" w:w="3168"/>
            <w:shd w:fill="F8FAFC"/>
          </w:tcPr>
          <w:p>
            <w:r>
              <w:rPr>
                <w:rFonts w:ascii="Calibri" w:hAnsi="Calibri"/>
                <w:color w:val="222222"/>
                <w:sz w:val="17"/>
              </w:rPr>
              <w:t>Silver Jubilee Tower (SJT 12 floors), Technology Tower (TT), Main Building (MB), SMV Hexagon</w:t>
            </w:r>
          </w:p>
        </w:tc>
        <w:tc>
          <w:tcPr>
            <w:tcW w:type="dxa" w:w="2016"/>
            <w:shd w:fill="F8FAFC"/>
          </w:tcPr>
          <w:p>
            <w:r>
              <w:rPr>
                <w:rFonts w:ascii="Calibri" w:hAnsi="Calibri"/>
                <w:color w:val="222222"/>
                <w:sz w:val="17"/>
              </w:rPr>
              <w:t>18,500 Daily Students</w:t>
            </w:r>
          </w:p>
        </w:tc>
        <w:tc>
          <w:tcPr>
            <w:tcW w:type="dxa" w:w="3456"/>
            <w:shd w:fill="F8FAFC"/>
          </w:tcPr>
          <w:p>
            <w:r>
              <w:rPr>
                <w:rFonts w:ascii="Calibri" w:hAnsi="Calibri"/>
                <w:color w:val="222222"/>
                <w:sz w:val="17"/>
              </w:rPr>
              <w:t>High-concurrency e-learning, lab virtualization, video streaming, low latency (&lt;= 5 ms).</w:t>
            </w:r>
          </w:p>
        </w:tc>
      </w:tr>
      <w:tr>
        <w:tc>
          <w:tcPr>
            <w:tcW w:type="dxa" w:w="2160"/>
            <w:shd w:fill="FFFFFF"/>
          </w:tcPr>
          <w:p>
            <w:r>
              <w:rPr>
                <w:rFonts w:ascii="Calibri" w:hAnsi="Calibri"/>
                <w:color w:val="222222"/>
                <w:sz w:val="17"/>
              </w:rPr>
              <w:t>Residential Hostels</w:t>
            </w:r>
          </w:p>
        </w:tc>
        <w:tc>
          <w:tcPr>
            <w:tcW w:type="dxa" w:w="3168"/>
            <w:shd w:fill="FFFFFF"/>
          </w:tcPr>
          <w:p>
            <w:r>
              <w:rPr>
                <w:rFonts w:ascii="Calibri" w:hAnsi="Calibri"/>
                <w:color w:val="222222"/>
                <w:sz w:val="17"/>
              </w:rPr>
              <w:t>Men's Hostels (Blocks A to T), Women's Hostels (Blocks A to H) - 35+ blocks</w:t>
            </w:r>
          </w:p>
        </w:tc>
        <w:tc>
          <w:tcPr>
            <w:tcW w:type="dxa" w:w="2016"/>
            <w:shd w:fill="FFFFFF"/>
          </w:tcPr>
          <w:p>
            <w:r>
              <w:rPr>
                <w:rFonts w:ascii="Calibri" w:hAnsi="Calibri"/>
                <w:color w:val="222222"/>
                <w:sz w:val="17"/>
              </w:rPr>
              <w:t>32,500 Resident Students</w:t>
            </w:r>
          </w:p>
        </w:tc>
        <w:tc>
          <w:tcPr>
            <w:tcW w:type="dxa" w:w="3456"/>
            <w:shd w:fill="FFFFFF"/>
          </w:tcPr>
          <w:p>
            <w:r>
              <w:rPr>
                <w:rFonts w:ascii="Calibri" w:hAnsi="Calibri"/>
                <w:color w:val="222222"/>
                <w:sz w:val="17"/>
              </w:rPr>
              <w:t>Massive Wi-Fi density, continuous client roam/flaps, entertainment, cloud gaming, peer-to-peer.</w:t>
            </w:r>
          </w:p>
        </w:tc>
      </w:tr>
      <w:tr>
        <w:tc>
          <w:tcPr>
            <w:tcW w:type="dxa" w:w="2160"/>
            <w:shd w:fill="F8FAFC"/>
          </w:tcPr>
          <w:p>
            <w:r>
              <w:rPr>
                <w:rFonts w:ascii="Calibri" w:hAnsi="Calibri"/>
                <w:color w:val="222222"/>
                <w:sz w:val="17"/>
              </w:rPr>
              <w:t>Central Administration</w:t>
            </w:r>
          </w:p>
        </w:tc>
        <w:tc>
          <w:tcPr>
            <w:tcW w:type="dxa" w:w="3168"/>
            <w:shd w:fill="F8FAFC"/>
          </w:tcPr>
          <w:p>
            <w:r>
              <w:rPr>
                <w:rFonts w:ascii="Calibri" w:hAnsi="Calibri"/>
                <w:color w:val="222222"/>
                <w:sz w:val="17"/>
              </w:rPr>
              <w:t>Gandhi Block Administration, Examination Controller, Finance Data Center</w:t>
            </w:r>
          </w:p>
        </w:tc>
        <w:tc>
          <w:tcPr>
            <w:tcW w:type="dxa" w:w="2016"/>
            <w:shd w:fill="F8FAFC"/>
          </w:tcPr>
          <w:p>
            <w:r>
              <w:rPr>
                <w:rFonts w:ascii="Calibri" w:hAnsi="Calibri"/>
                <w:color w:val="222222"/>
                <w:sz w:val="17"/>
              </w:rPr>
              <w:t>3,500 Administrative Staff</w:t>
            </w:r>
          </w:p>
        </w:tc>
        <w:tc>
          <w:tcPr>
            <w:tcW w:type="dxa" w:w="3456"/>
            <w:shd w:fill="F8FAFC"/>
          </w:tcPr>
          <w:p>
            <w:r>
              <w:rPr>
                <w:rFonts w:ascii="Calibri" w:hAnsi="Calibri"/>
                <w:color w:val="222222"/>
                <w:sz w:val="17"/>
              </w:rPr>
              <w:t>High security, ERP student records, payroll, strict route isolation and access controls.</w:t>
            </w:r>
          </w:p>
        </w:tc>
      </w:tr>
      <w:tr>
        <w:tc>
          <w:tcPr>
            <w:tcW w:type="dxa" w:w="2160"/>
            <w:shd w:fill="FFFFFF"/>
          </w:tcPr>
          <w:p>
            <w:r>
              <w:rPr>
                <w:rFonts w:ascii="Calibri" w:hAnsi="Calibri"/>
                <w:color w:val="222222"/>
                <w:sz w:val="17"/>
              </w:rPr>
              <w:t>Research &amp; Innovation</w:t>
            </w:r>
          </w:p>
        </w:tc>
        <w:tc>
          <w:tcPr>
            <w:tcW w:type="dxa" w:w="3168"/>
            <w:shd w:fill="FFFFFF"/>
          </w:tcPr>
          <w:p>
            <w:r>
              <w:rPr>
                <w:rFonts w:ascii="Calibri" w:hAnsi="Calibri"/>
                <w:color w:val="222222"/>
                <w:sz w:val="17"/>
              </w:rPr>
              <w:t>Pearl Research Park (PRP 7 floors), AI Supercomputing &amp; Technology Incubators</w:t>
            </w:r>
          </w:p>
        </w:tc>
        <w:tc>
          <w:tcPr>
            <w:tcW w:type="dxa" w:w="2016"/>
            <w:shd w:fill="FFFFFF"/>
          </w:tcPr>
          <w:p>
            <w:r>
              <w:rPr>
                <w:rFonts w:ascii="Calibri" w:hAnsi="Calibri"/>
                <w:color w:val="222222"/>
                <w:sz w:val="17"/>
              </w:rPr>
              <w:t>4,800 Researchers</w:t>
            </w:r>
          </w:p>
        </w:tc>
        <w:tc>
          <w:tcPr>
            <w:tcW w:type="dxa" w:w="3456"/>
            <w:shd w:fill="FFFFFF"/>
          </w:tcPr>
          <w:p>
            <w:r>
              <w:rPr>
                <w:rFonts w:ascii="Calibri" w:hAnsi="Calibri"/>
                <w:color w:val="222222"/>
                <w:sz w:val="17"/>
              </w:rPr>
              <w:t>High-throughput data transfers, HPC clusters, custom experimental IP route injection.</w:t>
            </w:r>
          </w:p>
        </w:tc>
      </w:tr>
      <w:tr>
        <w:tc>
          <w:tcPr>
            <w:tcW w:type="dxa" w:w="2160"/>
            <w:shd w:fill="F8FAFC"/>
          </w:tcPr>
          <w:p>
            <w:r>
              <w:rPr>
                <w:rFonts w:ascii="Calibri" w:hAnsi="Calibri"/>
                <w:color w:val="222222"/>
                <w:sz w:val="17"/>
              </w:rPr>
              <w:t>Campus Core DC</w:t>
            </w:r>
          </w:p>
        </w:tc>
        <w:tc>
          <w:tcPr>
            <w:tcW w:type="dxa" w:w="3168"/>
            <w:shd w:fill="F8FAFC"/>
          </w:tcPr>
          <w:p>
            <w:r>
              <w:rPr>
                <w:rFonts w:ascii="Calibri" w:hAnsi="Calibri"/>
                <w:color w:val="222222"/>
                <w:sz w:val="17"/>
              </w:rPr>
              <w:t>Centre for Technical Support (CTS DC 1 &amp; 2)</w:t>
            </w:r>
          </w:p>
        </w:tc>
        <w:tc>
          <w:tcPr>
            <w:tcW w:type="dxa" w:w="2016"/>
            <w:shd w:fill="F8FAFC"/>
          </w:tcPr>
          <w:p>
            <w:r>
              <w:rPr>
                <w:rFonts w:ascii="Calibri" w:hAnsi="Calibri"/>
                <w:color w:val="222222"/>
                <w:sz w:val="17"/>
              </w:rPr>
              <w:t>Core Enterprise Hub</w:t>
            </w:r>
          </w:p>
        </w:tc>
        <w:tc>
          <w:tcPr>
            <w:tcW w:type="dxa" w:w="3456"/>
            <w:shd w:fill="F8FAFC"/>
          </w:tcPr>
          <w:p>
            <w:r>
              <w:rPr>
                <w:rFonts w:ascii="Calibri" w:hAnsi="Calibri"/>
                <w:color w:val="222222"/>
                <w:sz w:val="17"/>
              </w:rPr>
              <w:t>Dual redundant optical backbone spine terminating all inter-sector optical conduits at 100 Gbps.</w:t>
            </w:r>
          </w:p>
        </w:tc>
      </w:tr>
    </w:tbl>
    <w:p>
      <w:pPr>
        <w:keepNext/>
        <w:spacing w:before="240" w:after="60"/>
      </w:pPr>
      <w:r>
        <w:rPr>
          <w:rFonts w:ascii="Arial" w:hAnsi="Arial"/>
          <w:b/>
          <w:color w:val="006699"/>
          <w:sz w:val="24"/>
        </w:rPr>
        <w:t>1.3 Failure Modes of a Flat Single-Area Network Design</w:t>
      </w:r>
    </w:p>
    <w:p>
      <w:pPr>
        <w:spacing w:after="80" w:line="276" w:lineRule="auto"/>
      </w:pPr>
      <w:r>
        <w:rPr>
          <w:rFonts w:ascii="Calibri" w:hAnsi="Calibri"/>
          <w:color w:val="222222"/>
          <w:sz w:val="21"/>
        </w:rPr>
        <w:t>In a conventional single-area (flat Area 0) routing deployment, every router in the university maintains an identical Link-State Database (LSDB) containing every router, interface, and link in the entire campus. In an enterprise environment with 40,000 students and over 120,000 connected BYOD devices, a flat topology introduces three critical architectural failures:</w:t>
      </w:r>
    </w:p>
    <w:p>
      <w:pPr>
        <w:pStyle w:val="ListBullet"/>
        <w:spacing w:after="60" w:line="276" w:lineRule="auto"/>
      </w:pPr>
      <w:r>
        <w:rPr>
          <w:rFonts w:ascii="Calibri" w:hAnsi="Calibri"/>
          <w:b/>
          <w:color w:val="0F172A"/>
          <w:sz w:val="21"/>
        </w:rPr>
        <w:t xml:space="preserve">1. Continuous SPF Recalculation Storms: </w:t>
      </w:r>
      <w:r>
        <w:rPr>
          <w:rFonts w:ascii="Calibri" w:hAnsi="Calibri"/>
          <w:color w:val="222222"/>
          <w:sz w:val="21"/>
        </w:rPr>
        <w:t>In a flat network, every student Wi-Fi link transition, access switch reboot, or port flap in any hostel block generates a Type-1 Router Link-State Advertisement (LSA) that must be flooded to every router across the 372-acre campus. Every core, distribution, and access router must execute the full Dijkstra Shortest Path First algorithm. With hundreds of daily link transitions, router CPU utilization exceeds 90%, causing control plane starvation, BGP session drops, and packet forwarding blackouts.</w:t>
      </w:r>
    </w:p>
    <w:p>
      <w:pPr>
        <w:pStyle w:val="ListBullet"/>
        <w:spacing w:after="60" w:line="276" w:lineRule="auto"/>
      </w:pPr>
      <w:r>
        <w:rPr>
          <w:rFonts w:ascii="Calibri" w:hAnsi="Calibri"/>
          <w:b/>
          <w:color w:val="0F172A"/>
          <w:sz w:val="21"/>
        </w:rPr>
        <w:t xml:space="preserve">2. Hardware TCAM Exhaustion: </w:t>
      </w:r>
      <w:r>
        <w:rPr>
          <w:rFonts w:ascii="Calibri" w:hAnsi="Calibri"/>
          <w:color w:val="222222"/>
          <w:sz w:val="21"/>
        </w:rPr>
        <w:t>Every unique building subnet, lab VLAN, and access link must be installed directly into the Ternary Content-Addressable Memory (TCAM) of all core and distribution switches. In a campus with 248 individual access subnets, flat route tables exhaust switch TCAM line cards. When TCAM tables overflow, routers fall back to slow software CPU forwarding, degrading throughput from 100 Gbps to under 1 Gbps.</w:t>
      </w:r>
    </w:p>
    <w:p>
      <w:pPr>
        <w:pStyle w:val="ListBullet"/>
        <w:spacing w:after="60" w:line="276" w:lineRule="auto"/>
      </w:pPr>
      <w:r>
        <w:rPr>
          <w:rFonts w:ascii="Calibri" w:hAnsi="Calibri"/>
          <w:b/>
          <w:color w:val="0F172A"/>
          <w:sz w:val="21"/>
        </w:rPr>
        <w:t xml:space="preserve">3. Absence of Failure Domain Isolation: </w:t>
      </w:r>
      <w:r>
        <w:rPr>
          <w:rFonts w:ascii="Calibri" w:hAnsi="Calibri"/>
          <w:color w:val="222222"/>
          <w:sz w:val="21"/>
        </w:rPr>
        <w:t>A flat design lacks failure domain boundaries. A fiber cut between two hostel blocks or a misconfigured laboratory switch in the academic zone propagates through the entire campus within milliseconds, destabilizing university-wide administrative and academic services.</w:t>
      </w:r>
    </w:p>
    <w:p>
      <w:pPr>
        <w:keepNext/>
        <w:spacing w:before="240" w:after="60"/>
      </w:pPr>
      <w:r>
        <w:rPr>
          <w:rFonts w:ascii="Arial" w:hAnsi="Arial"/>
          <w:b/>
          <w:color w:val="006699"/>
          <w:sz w:val="24"/>
        </w:rPr>
        <w:t>1.4 Engineering Objectives and Multi-Department SLA Constraints</w:t>
      </w:r>
    </w:p>
    <w:p>
      <w:pPr>
        <w:spacing w:after="80" w:line="276" w:lineRule="auto"/>
      </w:pPr>
      <w:r>
        <w:rPr>
          <w:rFonts w:ascii="Calibri" w:hAnsi="Calibri"/>
          <w:color w:val="222222"/>
          <w:sz w:val="21"/>
        </w:rPr>
        <w:t>To resolve these operational challenges, this project establishes a hierarchical, multi-area OSPF routing architecture engineered to achieve the following measurable service-level benchmarks:</w:t>
      </w:r>
    </w:p>
    <w:p>
      <w:pPr>
        <w:pStyle w:val="ListBullet"/>
        <w:spacing w:after="60" w:line="276" w:lineRule="auto"/>
      </w:pPr>
      <w:r>
        <w:rPr>
          <w:rFonts w:ascii="Calibri" w:hAnsi="Calibri"/>
          <w:b/>
          <w:color w:val="0F172A"/>
          <w:sz w:val="21"/>
        </w:rPr>
        <w:t xml:space="preserve">High Availability: </w:t>
      </w:r>
      <w:r>
        <w:rPr>
          <w:rFonts w:ascii="Calibri" w:hAnsi="Calibri"/>
          <w:color w:val="222222"/>
          <w:sz w:val="21"/>
        </w:rPr>
        <w:t>Maintain 99.98% network availability across 40,000 concurrent user sessions.</w:t>
      </w:r>
    </w:p>
    <w:p>
      <w:pPr>
        <w:pStyle w:val="ListBullet"/>
        <w:spacing w:after="60" w:line="276" w:lineRule="auto"/>
      </w:pPr>
      <w:r>
        <w:rPr>
          <w:rFonts w:ascii="Calibri" w:hAnsi="Calibri"/>
          <w:b/>
          <w:color w:val="0F172A"/>
          <w:sz w:val="21"/>
        </w:rPr>
        <w:t xml:space="preserve">Fast Convergence: </w:t>
      </w:r>
      <w:r>
        <w:rPr>
          <w:rFonts w:ascii="Calibri" w:hAnsi="Calibri"/>
          <w:color w:val="222222"/>
          <w:sz w:val="21"/>
        </w:rPr>
        <w:t>Sub-second route recovery (&lt;= 2 milliseconds) during any primary trunk fiber severance using fast timers and pre-calculated backup paths.</w:t>
      </w:r>
    </w:p>
    <w:p>
      <w:pPr>
        <w:pStyle w:val="ListBullet"/>
        <w:spacing w:after="60" w:line="276" w:lineRule="auto"/>
      </w:pPr>
      <w:r>
        <w:rPr>
          <w:rFonts w:ascii="Calibri" w:hAnsi="Calibri"/>
          <w:b/>
          <w:color w:val="0F172A"/>
          <w:sz w:val="21"/>
        </w:rPr>
        <w:t xml:space="preserve">TCAM Route Summarization: </w:t>
      </w:r>
      <w:r>
        <w:rPr>
          <w:rFonts w:ascii="Calibri" w:hAnsi="Calibri"/>
          <w:color w:val="222222"/>
          <w:sz w:val="21"/>
        </w:rPr>
        <w:t>Achieve at least 95% reduction in core routing table size via deterministic Class A VLSM supernetting at Area Border Routers.</w:t>
      </w:r>
    </w:p>
    <w:p>
      <w:pPr>
        <w:pStyle w:val="ListBullet"/>
        <w:spacing w:after="60" w:line="276" w:lineRule="auto"/>
      </w:pPr>
      <w:r>
        <w:rPr>
          <w:rFonts w:ascii="Calibri" w:hAnsi="Calibri"/>
          <w:b/>
          <w:color w:val="0F172A"/>
          <w:sz w:val="21"/>
        </w:rPr>
        <w:t xml:space="preserve">Administrative Route Shielding: </w:t>
      </w:r>
      <w:r>
        <w:rPr>
          <w:rFonts w:ascii="Calibri" w:hAnsi="Calibri"/>
          <w:color w:val="222222"/>
          <w:sz w:val="21"/>
        </w:rPr>
        <w:t>Isolate administrative and financial servers from student network reachability using Totally Stubby Area boundary constraints.</w:t>
      </w:r>
    </w:p>
    <w:p>
      <w:pPr>
        <w:keepNext/>
        <w:spacing w:before="320" w:after="80"/>
      </w:pPr>
      <w:r>
        <w:rPr>
          <w:rFonts w:ascii="Arial" w:hAnsi="Arial"/>
          <w:b/>
          <w:color w:val="003366"/>
          <w:sz w:val="28"/>
        </w:rPr>
        <w:t>2. Hierarchical Network Topology Design</w:t>
      </w:r>
    </w:p>
    <w:p>
      <w:pPr>
        <w:keepNext/>
        <w:spacing w:before="240" w:after="60"/>
      </w:pPr>
      <w:r>
        <w:rPr>
          <w:rFonts w:ascii="Arial" w:hAnsi="Arial"/>
          <w:b/>
          <w:color w:val="006699"/>
          <w:sz w:val="24"/>
        </w:rPr>
        <w:t>2.1 Multi-Area Campus Architecture Overview</w:t>
      </w:r>
    </w:p>
    <w:p>
      <w:pPr>
        <w:spacing w:after="80" w:line="276" w:lineRule="auto"/>
      </w:pPr>
      <w:r>
        <w:rPr>
          <w:rFonts w:ascii="Calibri" w:hAnsi="Calibri"/>
          <w:color w:val="222222"/>
          <w:sz w:val="21"/>
        </w:rPr>
        <w:t>The campus network is structured into five specialized OSPF areas connected to a dual-redundant transit backbone. This hierarchical partitioning confines link-state flooding within local area boundaries, converting volatile access networks into deterministic summary routes at the backbone edge:</w:t>
      </w:r>
    </w:p>
    <w:p>
      <w:pPr>
        <w:pStyle w:val="ListBullet"/>
        <w:spacing w:after="60" w:line="276" w:lineRule="auto"/>
      </w:pPr>
      <w:r>
        <w:rPr>
          <w:rFonts w:ascii="Calibri" w:hAnsi="Calibri"/>
          <w:b/>
          <w:color w:val="0F172A"/>
          <w:sz w:val="21"/>
        </w:rPr>
        <w:t xml:space="preserve">Area 0 (Backbone Core): </w:t>
      </w:r>
      <w:r>
        <w:rPr>
          <w:rFonts w:ascii="Calibri" w:hAnsi="Calibri"/>
          <w:color w:val="222222"/>
          <w:sz w:val="21"/>
        </w:rPr>
        <w:t>Centrally situated at the Centre for Technical Support (CTS DC 1 &amp; 2). Acts as the high-speed transit hub interconnecting all campus zones. Maintains dual 100 Gbps optical trunks running over Point-to-Point links (10.0.0.0/24). Zero route summarization occurs within Area 0 to ensure authoritative routing.</w:t>
      </w:r>
    </w:p>
    <w:p>
      <w:pPr>
        <w:pStyle w:val="ListBullet"/>
        <w:spacing w:after="60" w:line="276" w:lineRule="auto"/>
      </w:pPr>
      <w:r>
        <w:rPr>
          <w:rFonts w:ascii="Calibri" w:hAnsi="Calibri"/>
          <w:b/>
          <w:color w:val="0F172A"/>
          <w:sz w:val="21"/>
        </w:rPr>
        <w:t xml:space="preserve">Area 10 (Academic Core): </w:t>
      </w:r>
      <w:r>
        <w:rPr>
          <w:rFonts w:ascii="Calibri" w:hAnsi="Calibri"/>
          <w:color w:val="222222"/>
          <w:sz w:val="21"/>
        </w:rPr>
        <w:t>Encompasses Silver Jubilee Tower (SJT-ABR), Technology Tower (TT-ABR), Main Building, and SMV Hexagon. Aggregates 18,500 daily students. Connected via dual 100G uplinks to CTS Core 1 and CTS Core 2, with an inter-tower 40G backup conduit (Link l8) between SJT and TT.</w:t>
      </w:r>
    </w:p>
    <w:p>
      <w:pPr>
        <w:pStyle w:val="ListBullet"/>
        <w:spacing w:after="60" w:line="276" w:lineRule="auto"/>
      </w:pPr>
      <w:r>
        <w:rPr>
          <w:rFonts w:ascii="Calibri" w:hAnsi="Calibri"/>
          <w:b/>
          <w:color w:val="0F172A"/>
          <w:sz w:val="21"/>
        </w:rPr>
        <w:t xml:space="preserve">Area 20 (Residential Hostels): </w:t>
      </w:r>
      <w:r>
        <w:rPr>
          <w:rFonts w:ascii="Calibri" w:hAnsi="Calibri"/>
          <w:color w:val="222222"/>
          <w:sz w:val="21"/>
        </w:rPr>
        <w:t>Encompasses 35+ hostel blocks across Men's Hostels (MH-ABR) and Women's Hostels (WH-ABR) housing 32,500 resident students. High-frequency Wi-Fi roaming and access port flaps are fully contained within Area 20, shielding the academic core from SPF recalculation churn.</w:t>
      </w:r>
    </w:p>
    <w:p>
      <w:pPr>
        <w:pStyle w:val="ListBullet"/>
        <w:spacing w:after="60" w:line="276" w:lineRule="auto"/>
      </w:pPr>
      <w:r>
        <w:rPr>
          <w:rFonts w:ascii="Calibri" w:hAnsi="Calibri"/>
          <w:b/>
          <w:color w:val="0F172A"/>
          <w:sz w:val="21"/>
        </w:rPr>
        <w:t xml:space="preserve">Area 30 (Central Administration - Totally Stubby): </w:t>
      </w:r>
      <w:r>
        <w:rPr>
          <w:rFonts w:ascii="Calibri" w:hAnsi="Calibri"/>
          <w:color w:val="222222"/>
          <w:sz w:val="21"/>
        </w:rPr>
        <w:t>Encompasses Gandhi Block Administration, Examination Controller, and University Finance. Configured as a Totally Stubby Area (TSA) using 'area 30 stub no-summary'. Discards all inter-area summaries (Type-3) and external routes (Type-5), installing a single default route 0.0.0.0/0 via the core.</w:t>
      </w:r>
    </w:p>
    <w:p>
      <w:pPr>
        <w:pStyle w:val="ListBullet"/>
        <w:spacing w:after="60" w:line="276" w:lineRule="auto"/>
      </w:pPr>
      <w:r>
        <w:rPr>
          <w:rFonts w:ascii="Calibri" w:hAnsi="Calibri"/>
          <w:b/>
          <w:color w:val="0F172A"/>
          <w:sz w:val="21"/>
        </w:rPr>
        <w:t xml:space="preserve">Area 40 (Research &amp; Incubation - NSSA): </w:t>
      </w:r>
      <w:r>
        <w:rPr>
          <w:rFonts w:ascii="Calibri" w:hAnsi="Calibri"/>
          <w:color w:val="222222"/>
          <w:sz w:val="21"/>
        </w:rPr>
        <w:t>Encompasses Pearl Research Park (PRP-ABR) housing supercomputing testbeds, AI laboratories, and startup incubators. Operates as a Not-So-Stubby Area (NSSA) allowing researchers to redistribute external lab routes (Type-7 LSAs) translated to Type-5 at PRP-ABR.</w:t>
      </w:r>
    </w:p>
    <w:p>
      <w:pPr>
        <w:keepNext/>
        <w:spacing w:before="240" w:after="60"/>
      </w:pPr>
      <w:r>
        <w:rPr>
          <w:rFonts w:ascii="Arial" w:hAnsi="Arial"/>
          <w:b/>
          <w:color w:val="006699"/>
          <w:sz w:val="24"/>
        </w:rPr>
        <w:t>2.2 Campus Topological Interconnection Diagram</w:t>
      </w:r>
    </w:p>
    <w:p>
      <w:pPr>
        <w:spacing w:after="80" w:line="276" w:lineRule="auto"/>
      </w:pPr>
      <w:r>
        <w:rPr>
          <w:rFonts w:ascii="Calibri" w:hAnsi="Calibri"/>
          <w:color w:val="222222"/>
          <w:sz w:val="21"/>
        </w:rPr>
        <w:t>To satisfy the AST08 deliverable requirement for an industry-standard network design and topology diagram, the complete 5-area campus architecture was implemented in Cisco Packet Tracer 8.2 and mapped to the physical 372-acre campus layout. Figure 1.1 presents the verified Cisco Packet Tracer logical workspace topology, and Figure 1.2 presents the 3D isometric architectural overview.</w:t>
      </w:r>
    </w:p>
    <w:p>
      <w:pPr>
        <w:spacing w:before="160" w:after="40"/>
        <w:jc w:val="center"/>
      </w:pPr>
    </w:p>
    <w:p>
      <w:pPr>
        <w:jc w:val="center"/>
      </w:pPr>
      <w:r>
        <w:drawing>
          <wp:inline xmlns:a="http://schemas.openxmlformats.org/drawingml/2006/main" xmlns:pic="http://schemas.openxmlformats.org/drawingml/2006/picture">
            <wp:extent cx="5852160" cy="3266322"/>
            <wp:docPr id="1" name="Picture 1"/>
            <wp:cNvGraphicFramePr>
              <a:graphicFrameLocks noChangeAspect="1"/>
            </wp:cNvGraphicFramePr>
            <a:graphic>
              <a:graphicData uri="http://schemas.openxmlformats.org/drawingml/2006/picture">
                <pic:pic>
                  <pic:nvPicPr>
                    <pic:cNvPr id="0" name="cisco_packet_tracer_topology.jpg"/>
                    <pic:cNvPicPr/>
                  </pic:nvPicPr>
                  <pic:blipFill>
                    <a:blip r:embed="rId9"/>
                    <a:stretch>
                      <a:fillRect/>
                    </a:stretch>
                  </pic:blipFill>
                  <pic:spPr>
                    <a:xfrm>
                      <a:off x="0" y="0"/>
                      <a:ext cx="5852160" cy="3266322"/>
                    </a:xfrm>
                    <a:prstGeom prst="rect"/>
                  </pic:spPr>
                </pic:pic>
              </a:graphicData>
            </a:graphic>
          </wp:inline>
        </w:drawing>
      </w:r>
    </w:p>
    <w:p>
      <w:pPr>
        <w:spacing w:after="200"/>
        <w:jc w:val="center"/>
      </w:pPr>
      <w:r>
        <w:rPr>
          <w:rFonts w:ascii="Calibri" w:hAnsi="Calibri"/>
          <w:i/>
          <w:color w:val="475569"/>
          <w:sz w:val="19"/>
        </w:rPr>
        <w:t>Figure 1.1: Cisco Packet Tracer 8.2 implementation showing the multi-area campus topology with 5 shaded functional zones (Area 0 Backbone, Area 10 Academic Core, Area 20 Hostels, Area 30 Admin, Area 40 Research), redundant fiber links, and Catalyst switch aggregates.</w:t>
      </w:r>
    </w:p>
    <w:p>
      <w:pPr>
        <w:spacing w:before="120" w:after="40"/>
        <w:jc w:val="center"/>
      </w:pP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showcase_3d_campus.jpg"/>
                    <pic:cNvPicPr/>
                  </pic:nvPicPr>
                  <pic:blipFill>
                    <a:blip r:embed="rId10"/>
                    <a:stretch>
                      <a:fillRect/>
                    </a:stretch>
                  </pic:blipFill>
                  <pic:spPr>
                    <a:xfrm>
                      <a:off x="0" y="0"/>
                      <a:ext cx="5486400" cy="3657600"/>
                    </a:xfrm>
                    <a:prstGeom prst="rect"/>
                  </pic:spPr>
                </pic:pic>
              </a:graphicData>
            </a:graphic>
          </wp:inline>
        </w:drawing>
      </w:r>
    </w:p>
    <w:p>
      <w:pPr>
        <w:spacing w:after="240"/>
        <w:jc w:val="center"/>
      </w:pPr>
      <w:r>
        <w:rPr>
          <w:rFonts w:ascii="Calibri" w:hAnsi="Calibri"/>
          <w:i/>
          <w:color w:val="475569"/>
          <w:sz w:val="19"/>
        </w:rPr>
        <w:t>Figure 1.2: 3D Isometric architectural visualization of the 372-acre VIT Vellore campus network, illustrating optical trunk conduits linking Silver Jubilee Tower, Tech Tower, Gandhi Admin, Men's Hostels, Women's Hostels, Pearl Research, and CTS Core DC.</w:t>
      </w:r>
    </w:p>
    <w:p>
      <w:pPr>
        <w:spacing w:before="160" w:after="40"/>
        <w:jc w:val="center"/>
      </w:pPr>
    </w:p>
    <w:p>
      <w:pPr>
        <w:jc w:val="center"/>
      </w:pPr>
      <w:r>
        <w:drawing>
          <wp:inline xmlns:a="http://schemas.openxmlformats.org/drawingml/2006/main" xmlns:pic="http://schemas.openxmlformats.org/drawingml/2006/picture">
            <wp:extent cx="5852160" cy="3811957"/>
            <wp:docPr id="3" name="Picture 3"/>
            <wp:cNvGraphicFramePr>
              <a:graphicFrameLocks noChangeAspect="1"/>
            </wp:cNvGraphicFramePr>
            <a:graphic>
              <a:graphicData uri="http://schemas.openxmlformats.org/drawingml/2006/picture">
                <pic:pic>
                  <pic:nvPicPr>
                    <pic:cNvPr id="0" name="vit_ospf_5area_schematic.png"/>
                    <pic:cNvPicPr/>
                  </pic:nvPicPr>
                  <pic:blipFill>
                    <a:blip r:embed="rId11"/>
                    <a:stretch>
                      <a:fillRect/>
                    </a:stretch>
                  </pic:blipFill>
                  <pic:spPr>
                    <a:xfrm>
                      <a:off x="0" y="0"/>
                      <a:ext cx="5852160" cy="3811957"/>
                    </a:xfrm>
                    <a:prstGeom prst="rect"/>
                  </pic:spPr>
                </pic:pic>
              </a:graphicData>
            </a:graphic>
          </wp:inline>
        </w:drawing>
      </w:r>
    </w:p>
    <w:p>
      <w:pPr>
        <w:spacing w:after="240"/>
        <w:jc w:val="center"/>
      </w:pPr>
      <w:r>
        <w:rPr>
          <w:rFonts w:ascii="Calibri" w:hAnsi="Calibri"/>
          <w:i/>
          <w:color w:val="475569"/>
          <w:sz w:val="19"/>
        </w:rPr>
        <w:t>Figure 1.3: High-level architectural schematic of the VIT Vellore 5-Area OSPF campus network, detailing backbone spine (Area 0), academic complexes (Area 10), residential hostels (Area 20), administrative security shield (Area 30), and research clusters (Area 40).</w:t>
      </w:r>
    </w:p>
    <w:p>
      <w:pPr>
        <w:keepNext/>
        <w:spacing w:before="240" w:after="60"/>
      </w:pPr>
      <w:r>
        <w:rPr>
          <w:rFonts w:ascii="Arial" w:hAnsi="Arial"/>
          <w:b/>
          <w:color w:val="006699"/>
          <w:sz w:val="24"/>
        </w:rPr>
        <w:t>2.3 Physical Conduits and Interface Specifications</w:t>
      </w:r>
    </w:p>
    <w:p>
      <w:pPr>
        <w:spacing w:after="80" w:line="276" w:lineRule="auto"/>
      </w:pPr>
      <w:r>
        <w:rPr>
          <w:rFonts w:ascii="Calibri" w:hAnsi="Calibri"/>
          <w:color w:val="222222"/>
          <w:sz w:val="21"/>
        </w:rPr>
        <w:t>The point-to-point physical links interconnecting campus aggregation points are detailed in the following engineering matrix:</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Conduit</w:t>
            </w:r>
          </w:p>
        </w:tc>
        <w:tc>
          <w:tcPr>
            <w:tcW w:type="dxa" w:w="2592"/>
            <w:shd w:fill="003366"/>
          </w:tcPr>
          <w:p>
            <w:pPr>
              <w:jc w:val="center"/>
            </w:pPr>
            <w:r>
              <w:rPr>
                <w:rFonts w:ascii="Arial" w:hAnsi="Arial"/>
                <w:b/>
                <w:color w:val="FFFFFF"/>
                <w:sz w:val="18"/>
              </w:rPr>
              <w:t>Endpoints</w:t>
            </w:r>
          </w:p>
        </w:tc>
        <w:tc>
          <w:tcPr>
            <w:tcW w:type="dxa" w:w="2304"/>
            <w:shd w:fill="003366"/>
          </w:tcPr>
          <w:p>
            <w:pPr>
              <w:jc w:val="center"/>
            </w:pPr>
            <w:r>
              <w:rPr>
                <w:rFonts w:ascii="Arial" w:hAnsi="Arial"/>
                <w:b/>
                <w:color w:val="FFFFFF"/>
                <w:sz w:val="18"/>
              </w:rPr>
              <w:t>Media / Physical Type</w:t>
            </w:r>
          </w:p>
        </w:tc>
        <w:tc>
          <w:tcPr>
            <w:tcW w:type="dxa" w:w="1440"/>
            <w:shd w:fill="003366"/>
          </w:tcPr>
          <w:p>
            <w:pPr>
              <w:jc w:val="center"/>
            </w:pPr>
            <w:r>
              <w:rPr>
                <w:rFonts w:ascii="Arial" w:hAnsi="Arial"/>
                <w:b/>
                <w:color w:val="FFFFFF"/>
                <w:sz w:val="18"/>
              </w:rPr>
              <w:t>Bandwidth</w:t>
            </w:r>
          </w:p>
        </w:tc>
        <w:tc>
          <w:tcPr>
            <w:tcW w:type="dxa" w:w="1152"/>
            <w:shd w:fill="003366"/>
          </w:tcPr>
          <w:p>
            <w:pPr>
              <w:jc w:val="center"/>
            </w:pPr>
            <w:r>
              <w:rPr>
                <w:rFonts w:ascii="Arial" w:hAnsi="Arial"/>
                <w:b/>
                <w:color w:val="FFFFFF"/>
                <w:sz w:val="18"/>
              </w:rPr>
              <w:t>OSPF Metric</w:t>
            </w:r>
          </w:p>
        </w:tc>
        <w:tc>
          <w:tcPr>
            <w:tcW w:type="dxa" w:w="1872"/>
            <w:shd w:fill="003366"/>
          </w:tcPr>
          <w:p>
            <w:pPr>
              <w:jc w:val="center"/>
            </w:pPr>
            <w:r>
              <w:rPr>
                <w:rFonts w:ascii="Arial" w:hAnsi="Arial"/>
                <w:b/>
                <w:color w:val="FFFFFF"/>
                <w:sz w:val="18"/>
              </w:rPr>
              <w:t>Assigned /30 Subnet</w:t>
            </w:r>
          </w:p>
        </w:tc>
      </w:tr>
      <w:tr>
        <w:tc>
          <w:tcPr>
            <w:tcW w:type="dxa" w:w="1440"/>
            <w:shd w:fill="F8FAFC"/>
          </w:tcPr>
          <w:p>
            <w:r>
              <w:rPr>
                <w:rFonts w:ascii="Calibri" w:hAnsi="Calibri"/>
                <w:color w:val="222222"/>
                <w:sz w:val="17"/>
              </w:rPr>
              <w:t>Link l1</w:t>
            </w:r>
          </w:p>
        </w:tc>
        <w:tc>
          <w:tcPr>
            <w:tcW w:type="dxa" w:w="2592"/>
            <w:shd w:fill="F8FAFC"/>
          </w:tcPr>
          <w:p>
            <w:r>
              <w:rPr>
                <w:rFonts w:ascii="Calibri" w:hAnsi="Calibri"/>
                <w:color w:val="222222"/>
                <w:sz w:val="17"/>
              </w:rPr>
              <w:t>CTS Core 1 &lt;-&gt; SJT-ABR</w:t>
            </w:r>
          </w:p>
        </w:tc>
        <w:tc>
          <w:tcPr>
            <w:tcW w:type="dxa" w:w="2304"/>
            <w:shd w:fill="F8FAFC"/>
          </w:tcPr>
          <w:p>
            <w:r>
              <w:rPr>
                <w:rFonts w:ascii="Calibri" w:hAnsi="Calibri"/>
                <w:color w:val="222222"/>
                <w:sz w:val="17"/>
              </w:rPr>
              <w:t>Single-Mode Fiber (SMF-28)</w:t>
            </w:r>
          </w:p>
        </w:tc>
        <w:tc>
          <w:tcPr>
            <w:tcW w:type="dxa" w:w="1440"/>
            <w:shd w:fill="F8FAFC"/>
          </w:tcPr>
          <w:p>
            <w:r>
              <w:rPr>
                <w:rFonts w:ascii="Calibri" w:hAnsi="Calibri"/>
                <w:color w:val="222222"/>
                <w:sz w:val="17"/>
              </w:rPr>
              <w:t>100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10.0.0.4/30</w:t>
            </w:r>
          </w:p>
        </w:tc>
      </w:tr>
      <w:tr>
        <w:tc>
          <w:tcPr>
            <w:tcW w:type="dxa" w:w="1440"/>
            <w:shd w:fill="FFFFFF"/>
          </w:tcPr>
          <w:p>
            <w:r>
              <w:rPr>
                <w:rFonts w:ascii="Calibri" w:hAnsi="Calibri"/>
                <w:color w:val="222222"/>
                <w:sz w:val="17"/>
              </w:rPr>
              <w:t>Link l2</w:t>
            </w:r>
          </w:p>
        </w:tc>
        <w:tc>
          <w:tcPr>
            <w:tcW w:type="dxa" w:w="2592"/>
            <w:shd w:fill="FFFFFF"/>
          </w:tcPr>
          <w:p>
            <w:r>
              <w:rPr>
                <w:rFonts w:ascii="Calibri" w:hAnsi="Calibri"/>
                <w:color w:val="222222"/>
                <w:sz w:val="17"/>
              </w:rPr>
              <w:t>CTS Core 1 &lt;-&gt; TT-ABR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10.0.0.8/30</w:t>
            </w:r>
          </w:p>
        </w:tc>
      </w:tr>
      <w:tr>
        <w:tc>
          <w:tcPr>
            <w:tcW w:type="dxa" w:w="1440"/>
            <w:shd w:fill="F8FAFC"/>
          </w:tcPr>
          <w:p>
            <w:r>
              <w:rPr>
                <w:rFonts w:ascii="Calibri" w:hAnsi="Calibri"/>
                <w:color w:val="222222"/>
                <w:sz w:val="17"/>
              </w:rPr>
              <w:t>Link l3</w:t>
            </w:r>
          </w:p>
        </w:tc>
        <w:tc>
          <w:tcPr>
            <w:tcW w:type="dxa" w:w="2592"/>
            <w:shd w:fill="F8FAFC"/>
          </w:tcPr>
          <w:p>
            <w:r>
              <w:rPr>
                <w:rFonts w:ascii="Calibri" w:hAnsi="Calibri"/>
                <w:color w:val="222222"/>
                <w:sz w:val="17"/>
              </w:rPr>
              <w:t>CTS Core 2 &lt;-&gt; MH-ABR</w:t>
            </w:r>
          </w:p>
        </w:tc>
        <w:tc>
          <w:tcPr>
            <w:tcW w:type="dxa" w:w="2304"/>
            <w:shd w:fill="F8FAFC"/>
          </w:tcPr>
          <w:p>
            <w:r>
              <w:rPr>
                <w:rFonts w:ascii="Calibri" w:hAnsi="Calibri"/>
                <w:color w:val="222222"/>
                <w:sz w:val="17"/>
              </w:rPr>
              <w:t>Multi-Mode Fiber (OM4 MPO)</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2</w:t>
            </w:r>
          </w:p>
        </w:tc>
        <w:tc>
          <w:tcPr>
            <w:tcW w:type="dxa" w:w="1872"/>
            <w:shd w:fill="F8FAFC"/>
          </w:tcPr>
          <w:p>
            <w:r>
              <w:rPr>
                <w:rFonts w:ascii="Calibri" w:hAnsi="Calibri"/>
                <w:color w:val="222222"/>
                <w:sz w:val="17"/>
              </w:rPr>
              <w:t>10.0.0.12/30</w:t>
            </w:r>
          </w:p>
        </w:tc>
      </w:tr>
      <w:tr>
        <w:tc>
          <w:tcPr>
            <w:tcW w:type="dxa" w:w="1440"/>
            <w:shd w:fill="FFFFFF"/>
          </w:tcPr>
          <w:p>
            <w:r>
              <w:rPr>
                <w:rFonts w:ascii="Calibri" w:hAnsi="Calibri"/>
                <w:color w:val="222222"/>
                <w:sz w:val="17"/>
              </w:rPr>
              <w:t>Link l4</w:t>
            </w:r>
          </w:p>
        </w:tc>
        <w:tc>
          <w:tcPr>
            <w:tcW w:type="dxa" w:w="2592"/>
            <w:shd w:fill="FFFFFF"/>
          </w:tcPr>
          <w:p>
            <w:r>
              <w:rPr>
                <w:rFonts w:ascii="Calibri" w:hAnsi="Calibri"/>
                <w:color w:val="222222"/>
                <w:sz w:val="17"/>
              </w:rPr>
              <w:t>CTS Core 2 &lt;-&gt; WH-ABR</w:t>
            </w:r>
          </w:p>
        </w:tc>
        <w:tc>
          <w:tcPr>
            <w:tcW w:type="dxa" w:w="2304"/>
            <w:shd w:fill="FFFFFF"/>
          </w:tcPr>
          <w:p>
            <w:r>
              <w:rPr>
                <w:rFonts w:ascii="Calibri" w:hAnsi="Calibri"/>
                <w:color w:val="222222"/>
                <w:sz w:val="17"/>
              </w:rPr>
              <w:t>Multi-Mode Fiber (OM4 MPO)</w:t>
            </w:r>
          </w:p>
        </w:tc>
        <w:tc>
          <w:tcPr>
            <w:tcW w:type="dxa" w:w="1440"/>
            <w:shd w:fill="FFFFFF"/>
          </w:tcPr>
          <w:p>
            <w:r>
              <w:rPr>
                <w:rFonts w:ascii="Calibri" w:hAnsi="Calibri"/>
                <w:color w:val="222222"/>
                <w:sz w:val="17"/>
              </w:rPr>
              <w:t>40 Gbps</w:t>
            </w:r>
          </w:p>
        </w:tc>
        <w:tc>
          <w:tcPr>
            <w:tcW w:type="dxa" w:w="1152"/>
            <w:shd w:fill="FFFFFF"/>
          </w:tcPr>
          <w:p>
            <w:r>
              <w:rPr>
                <w:rFonts w:ascii="Calibri" w:hAnsi="Calibri"/>
                <w:color w:val="222222"/>
                <w:sz w:val="17"/>
              </w:rPr>
              <w:t>2</w:t>
            </w:r>
          </w:p>
        </w:tc>
        <w:tc>
          <w:tcPr>
            <w:tcW w:type="dxa" w:w="1872"/>
            <w:shd w:fill="FFFFFF"/>
          </w:tcPr>
          <w:p>
            <w:r>
              <w:rPr>
                <w:rFonts w:ascii="Calibri" w:hAnsi="Calibri"/>
                <w:color w:val="222222"/>
                <w:sz w:val="17"/>
              </w:rPr>
              <w:t>10.0.0.16/30</w:t>
            </w:r>
          </w:p>
        </w:tc>
      </w:tr>
      <w:tr>
        <w:tc>
          <w:tcPr>
            <w:tcW w:type="dxa" w:w="1440"/>
            <w:shd w:fill="F8FAFC"/>
          </w:tcPr>
          <w:p>
            <w:r>
              <w:rPr>
                <w:rFonts w:ascii="Calibri" w:hAnsi="Calibri"/>
                <w:color w:val="222222"/>
                <w:sz w:val="17"/>
              </w:rPr>
              <w:t>Link l5</w:t>
            </w:r>
          </w:p>
        </w:tc>
        <w:tc>
          <w:tcPr>
            <w:tcW w:type="dxa" w:w="2592"/>
            <w:shd w:fill="F8FAFC"/>
          </w:tcPr>
          <w:p>
            <w:r>
              <w:rPr>
                <w:rFonts w:ascii="Calibri" w:hAnsi="Calibri"/>
                <w:color w:val="222222"/>
                <w:sz w:val="17"/>
              </w:rPr>
              <w:t>CTS Core 1 &lt;-&gt; Admin-ABR</w:t>
            </w:r>
          </w:p>
        </w:tc>
        <w:tc>
          <w:tcPr>
            <w:tcW w:type="dxa" w:w="2304"/>
            <w:shd w:fill="F8FAFC"/>
          </w:tcPr>
          <w:p>
            <w:r>
              <w:rPr>
                <w:rFonts w:ascii="Calibri" w:hAnsi="Calibri"/>
                <w:color w:val="222222"/>
                <w:sz w:val="17"/>
              </w:rPr>
              <w:t>Armored Single-Mode Fiber</w:t>
            </w:r>
          </w:p>
        </w:tc>
        <w:tc>
          <w:tcPr>
            <w:tcW w:type="dxa" w:w="1440"/>
            <w:shd w:fill="F8FAFC"/>
          </w:tcPr>
          <w:p>
            <w:r>
              <w:rPr>
                <w:rFonts w:ascii="Calibri" w:hAnsi="Calibri"/>
                <w:color w:val="222222"/>
                <w:sz w:val="17"/>
              </w:rPr>
              <w:t>10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10.0.0.20/30</w:t>
            </w:r>
          </w:p>
        </w:tc>
      </w:tr>
      <w:tr>
        <w:tc>
          <w:tcPr>
            <w:tcW w:type="dxa" w:w="1440"/>
            <w:shd w:fill="FFFFFF"/>
          </w:tcPr>
          <w:p>
            <w:r>
              <w:rPr>
                <w:rFonts w:ascii="Calibri" w:hAnsi="Calibri"/>
                <w:color w:val="222222"/>
                <w:sz w:val="17"/>
              </w:rPr>
              <w:t>Link l6</w:t>
            </w:r>
          </w:p>
        </w:tc>
        <w:tc>
          <w:tcPr>
            <w:tcW w:type="dxa" w:w="2592"/>
            <w:shd w:fill="FFFFFF"/>
          </w:tcPr>
          <w:p>
            <w:r>
              <w:rPr>
                <w:rFonts w:ascii="Calibri" w:hAnsi="Calibri"/>
                <w:color w:val="222222"/>
                <w:sz w:val="17"/>
              </w:rPr>
              <w:t>CTS Core 1 &lt;-&gt; PRP-ABR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10.0.0.24/30</w:t>
            </w:r>
          </w:p>
        </w:tc>
      </w:tr>
      <w:tr>
        <w:tc>
          <w:tcPr>
            <w:tcW w:type="dxa" w:w="1440"/>
            <w:shd w:fill="F8FAFC"/>
          </w:tcPr>
          <w:p>
            <w:r>
              <w:rPr>
                <w:rFonts w:ascii="Calibri" w:hAnsi="Calibri"/>
                <w:color w:val="222222"/>
                <w:sz w:val="17"/>
              </w:rPr>
              <w:t>Link l8</w:t>
            </w:r>
          </w:p>
        </w:tc>
        <w:tc>
          <w:tcPr>
            <w:tcW w:type="dxa" w:w="2592"/>
            <w:shd w:fill="F8FAFC"/>
          </w:tcPr>
          <w:p>
            <w:r>
              <w:rPr>
                <w:rFonts w:ascii="Calibri" w:hAnsi="Calibri"/>
                <w:color w:val="222222"/>
                <w:sz w:val="17"/>
              </w:rPr>
              <w:t>SJT-ABR &lt;-&gt; TT-ABR</w:t>
            </w:r>
          </w:p>
        </w:tc>
        <w:tc>
          <w:tcPr>
            <w:tcW w:type="dxa" w:w="2304"/>
            <w:shd w:fill="F8FAFC"/>
          </w:tcPr>
          <w:p>
            <w:r>
              <w:rPr>
                <w:rFonts w:ascii="Calibri" w:hAnsi="Calibri"/>
                <w:color w:val="222222"/>
                <w:sz w:val="17"/>
              </w:rPr>
              <w:t>Direct Academic Optical Conduit</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10.10.4.0/30</w:t>
            </w:r>
          </w:p>
        </w:tc>
      </w:tr>
    </w:tbl>
    <w:p>
      <w:pPr>
        <w:keepNext/>
        <w:spacing w:before="320" w:after="80"/>
      </w:pPr>
      <w:r>
        <w:rPr>
          <w:rFonts w:ascii="Arial" w:hAnsi="Arial"/>
          <w:b/>
          <w:color w:val="003366"/>
          <w:sz w:val="28"/>
        </w:rPr>
        <w:t>3. Variable Length Subnet Masking (VLSM) &amp; Route Aggregation</w:t>
      </w:r>
    </w:p>
    <w:p>
      <w:pPr>
        <w:keepNext/>
        <w:spacing w:before="240" w:after="60"/>
      </w:pPr>
      <w:r>
        <w:rPr>
          <w:rFonts w:ascii="Arial" w:hAnsi="Arial"/>
          <w:b/>
          <w:color w:val="006699"/>
          <w:sz w:val="24"/>
        </w:rPr>
        <w:t>3.1 Class A Private Addressing Structure (10.0.0.0/8)</w:t>
      </w:r>
    </w:p>
    <w:p>
      <w:pPr>
        <w:spacing w:after="80" w:line="276" w:lineRule="auto"/>
      </w:pPr>
      <w:r>
        <w:rPr>
          <w:rFonts w:ascii="Calibri" w:hAnsi="Calibri"/>
          <w:color w:val="222222"/>
          <w:sz w:val="21"/>
        </w:rPr>
        <w:t>To achieve deterministic forwarding and prevent TCAM table bloat, the university is allocated the Class A private address space 10.0.0.0/8. The second octet strictly designates the functional OSPF Area ID: 10.0.0.0/16 for Area 0 Core, 10.10.0.0/16 for Area 10 Academic, 10.20.0.0/16 for Area 20 Hostels, 10.30.0.0/16 for Area 30 Administration, and 10.40.0.0/16 for Area 40 Research. Subnets are allocated along strict power-of-two bit boundaries to enable flawless CIDR supernetting.</w:t>
      </w:r>
    </w:p>
    <w:p>
      <w:pPr>
        <w:keepNext/>
        <w:spacing w:before="240" w:after="60"/>
      </w:pPr>
      <w:r>
        <w:rPr>
          <w:rFonts w:ascii="Arial" w:hAnsi="Arial"/>
          <w:b/>
          <w:color w:val="006699"/>
          <w:sz w:val="24"/>
        </w:rPr>
        <w:t>3.2 Comprehensive VLSM Allocation Matrix</w:t>
      </w:r>
    </w:p>
    <w:p>
      <w:pPr>
        <w:spacing w:after="80" w:line="276" w:lineRule="auto"/>
      </w:pPr>
      <w:r>
        <w:rPr>
          <w:rFonts w:ascii="Calibri" w:hAnsi="Calibri"/>
          <w:color w:val="222222"/>
          <w:sz w:val="21"/>
        </w:rPr>
        <w:t>The complete VLSM subnet allocation, usable host capacities, and ABR summary boundaries are tabulated below:</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OSPF Area</w:t>
            </w:r>
          </w:p>
        </w:tc>
        <w:tc>
          <w:tcPr>
            <w:tcW w:type="dxa" w:w="3168"/>
            <w:shd w:fill="003366"/>
          </w:tcPr>
          <w:p>
            <w:pPr>
              <w:jc w:val="center"/>
            </w:pPr>
            <w:r>
              <w:rPr>
                <w:rFonts w:ascii="Arial" w:hAnsi="Arial"/>
                <w:b/>
                <w:color w:val="FFFFFF"/>
                <w:sz w:val="18"/>
              </w:rPr>
              <w:t>Facility / Landmark</w:t>
            </w:r>
          </w:p>
        </w:tc>
        <w:tc>
          <w:tcPr>
            <w:tcW w:type="dxa" w:w="1728"/>
            <w:shd w:fill="003366"/>
          </w:tcPr>
          <w:p>
            <w:pPr>
              <w:jc w:val="center"/>
            </w:pPr>
            <w:r>
              <w:rPr>
                <w:rFonts w:ascii="Arial" w:hAnsi="Arial"/>
                <w:b/>
                <w:color w:val="FFFFFF"/>
                <w:sz w:val="18"/>
              </w:rPr>
              <w:t>Assigned Prefix</w:t>
            </w:r>
          </w:p>
        </w:tc>
        <w:tc>
          <w:tcPr>
            <w:tcW w:type="dxa" w:w="1728"/>
            <w:shd w:fill="003366"/>
          </w:tcPr>
          <w:p>
            <w:pPr>
              <w:jc w:val="center"/>
            </w:pPr>
            <w:r>
              <w:rPr>
                <w:rFonts w:ascii="Arial" w:hAnsi="Arial"/>
                <w:b/>
                <w:color w:val="FFFFFF"/>
                <w:sz w:val="18"/>
              </w:rPr>
              <w:t>Subnet Mask</w:t>
            </w:r>
          </w:p>
        </w:tc>
        <w:tc>
          <w:tcPr>
            <w:tcW w:type="dxa" w:w="1440"/>
            <w:shd w:fill="003366"/>
          </w:tcPr>
          <w:p>
            <w:pPr>
              <w:jc w:val="center"/>
            </w:pPr>
            <w:r>
              <w:rPr>
                <w:rFonts w:ascii="Arial" w:hAnsi="Arial"/>
                <w:b/>
                <w:color w:val="FFFFFF"/>
                <w:sz w:val="18"/>
              </w:rPr>
              <w:t>Usable Hosts</w:t>
            </w:r>
          </w:p>
        </w:tc>
        <w:tc>
          <w:tcPr>
            <w:tcW w:type="dxa" w:w="2016"/>
            <w:shd w:fill="003366"/>
          </w:tcPr>
          <w:p>
            <w:pPr>
              <w:jc w:val="center"/>
            </w:pPr>
            <w:r>
              <w:rPr>
                <w:rFonts w:ascii="Arial" w:hAnsi="Arial"/>
                <w:b/>
                <w:color w:val="FFFFFF"/>
                <w:sz w:val="18"/>
              </w:rPr>
              <w:t>ABR Summary Route</w:t>
            </w:r>
          </w:p>
        </w:tc>
      </w:tr>
      <w:tr>
        <w:tc>
          <w:tcPr>
            <w:tcW w:type="dxa" w:w="1440"/>
            <w:shd w:fill="F8FAFC"/>
          </w:tcPr>
          <w:p>
            <w:r>
              <w:rPr>
                <w:rFonts w:ascii="Calibri" w:hAnsi="Calibri"/>
                <w:color w:val="222222"/>
                <w:sz w:val="17"/>
              </w:rPr>
              <w:t>Area 0</w:t>
            </w:r>
          </w:p>
        </w:tc>
        <w:tc>
          <w:tcPr>
            <w:tcW w:type="dxa" w:w="3168"/>
            <w:shd w:fill="F8FAFC"/>
          </w:tcPr>
          <w:p>
            <w:r>
              <w:rPr>
                <w:rFonts w:ascii="Calibri" w:hAnsi="Calibri"/>
                <w:color w:val="222222"/>
                <w:sz w:val="17"/>
              </w:rPr>
              <w:t>CTS Core Datacenter Backbone P2P</w:t>
            </w:r>
          </w:p>
        </w:tc>
        <w:tc>
          <w:tcPr>
            <w:tcW w:type="dxa" w:w="1728"/>
            <w:shd w:fill="F8FAFC"/>
          </w:tcPr>
          <w:p>
            <w:r>
              <w:rPr>
                <w:rFonts w:ascii="Calibri" w:hAnsi="Calibri"/>
                <w:color w:val="222222"/>
                <w:sz w:val="17"/>
              </w:rPr>
              <w:t>10.0.0.0/24</w:t>
            </w:r>
          </w:p>
        </w:tc>
        <w:tc>
          <w:tcPr>
            <w:tcW w:type="dxa" w:w="1728"/>
            <w:shd w:fill="F8FAFC"/>
          </w:tcPr>
          <w:p>
            <w:r>
              <w:rPr>
                <w:rFonts w:ascii="Calibri" w:hAnsi="Calibri"/>
                <w:color w:val="222222"/>
                <w:sz w:val="17"/>
              </w:rPr>
              <w:t>255.255.255.0</w:t>
            </w:r>
          </w:p>
        </w:tc>
        <w:tc>
          <w:tcPr>
            <w:tcW w:type="dxa" w:w="1440"/>
            <w:shd w:fill="F8FAFC"/>
          </w:tcPr>
          <w:p>
            <w:r>
              <w:rPr>
                <w:rFonts w:ascii="Calibri" w:hAnsi="Calibri"/>
                <w:color w:val="222222"/>
                <w:sz w:val="17"/>
              </w:rPr>
              <w:t>254 links</w:t>
            </w:r>
          </w:p>
        </w:tc>
        <w:tc>
          <w:tcPr>
            <w:tcW w:type="dxa" w:w="2016"/>
            <w:shd w:fill="F8FAFC"/>
          </w:tcPr>
          <w:p>
            <w:r>
              <w:rPr>
                <w:rFonts w:ascii="Calibri" w:hAnsi="Calibri"/>
                <w:color w:val="222222"/>
                <w:sz w:val="17"/>
              </w:rPr>
              <w:t>10.0.0.0/24 (Core)</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Silver Jubilee Tower (SJT 12 Floors)</w:t>
            </w:r>
          </w:p>
        </w:tc>
        <w:tc>
          <w:tcPr>
            <w:tcW w:type="dxa" w:w="1728"/>
            <w:shd w:fill="FFFFFF"/>
          </w:tcPr>
          <w:p>
            <w:r>
              <w:rPr>
                <w:rFonts w:ascii="Calibri" w:hAnsi="Calibri"/>
                <w:color w:val="222222"/>
                <w:sz w:val="17"/>
              </w:rPr>
              <w:t>10.10.0.0/18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10</w:t>
            </w:r>
          </w:p>
        </w:tc>
        <w:tc>
          <w:tcPr>
            <w:tcW w:type="dxa" w:w="3168"/>
            <w:shd w:fill="F8FAFC"/>
          </w:tcPr>
          <w:p>
            <w:r>
              <w:rPr>
                <w:rFonts w:ascii="Calibri" w:hAnsi="Calibri"/>
                <w:color w:val="222222"/>
                <w:sz w:val="17"/>
              </w:rPr>
              <w:t>Technology Tower (TT Computing Labs)</w:t>
            </w:r>
          </w:p>
        </w:tc>
        <w:tc>
          <w:tcPr>
            <w:tcW w:type="dxa" w:w="1728"/>
            <w:shd w:fill="F8FAFC"/>
          </w:tcPr>
          <w:p>
            <w:r>
              <w:rPr>
                <w:rFonts w:ascii="Calibri" w:hAnsi="Calibri"/>
                <w:color w:val="222222"/>
                <w:sz w:val="17"/>
              </w:rPr>
              <w:t>10.10.64.0/18</w:t>
            </w:r>
          </w:p>
        </w:tc>
        <w:tc>
          <w:tcPr>
            <w:tcW w:type="dxa" w:w="1728"/>
            <w:shd w:fill="F8FAFC"/>
          </w:tcPr>
          <w:p>
            <w:r>
              <w:rPr>
                <w:rFonts w:ascii="Calibri" w:hAnsi="Calibri"/>
                <w:color w:val="222222"/>
                <w:sz w:val="17"/>
              </w:rPr>
              <w:t>255.255.192.0</w:t>
            </w:r>
          </w:p>
        </w:tc>
        <w:tc>
          <w:tcPr>
            <w:tcW w:type="dxa" w:w="1440"/>
            <w:shd w:fill="F8FAFC"/>
          </w:tcPr>
          <w:p>
            <w:r>
              <w:rPr>
                <w:rFonts w:ascii="Calibri" w:hAnsi="Calibri"/>
                <w:color w:val="222222"/>
                <w:sz w:val="17"/>
              </w:rPr>
              <w:t>16,382</w:t>
            </w:r>
          </w:p>
        </w:tc>
        <w:tc>
          <w:tcPr>
            <w:tcW w:type="dxa" w:w="2016"/>
            <w:shd w:fill="F8FAFC"/>
          </w:tcPr>
          <w:p>
            <w:r>
              <w:rPr>
                <w:rFonts w:ascii="Calibri" w:hAnsi="Calibri"/>
                <w:color w:val="222222"/>
                <w:sz w:val="17"/>
              </w:rPr>
              <w:t>10.10.0.0/16 (Academic)</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Main Building &amp; SMV Hexagon Complex</w:t>
            </w:r>
          </w:p>
        </w:tc>
        <w:tc>
          <w:tcPr>
            <w:tcW w:type="dxa" w:w="1728"/>
            <w:shd w:fill="FFFFFF"/>
          </w:tcPr>
          <w:p>
            <w:r>
              <w:rPr>
                <w:rFonts w:ascii="Calibri" w:hAnsi="Calibri"/>
                <w:color w:val="222222"/>
                <w:sz w:val="17"/>
              </w:rPr>
              <w:t>10.10.128.0/18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20</w:t>
            </w:r>
          </w:p>
        </w:tc>
        <w:tc>
          <w:tcPr>
            <w:tcW w:type="dxa" w:w="3168"/>
            <w:shd w:fill="F8FAFC"/>
          </w:tcPr>
          <w:p>
            <w:r>
              <w:rPr>
                <w:rFonts w:ascii="Calibri" w:hAnsi="Calibri"/>
                <w:color w:val="222222"/>
                <w:sz w:val="17"/>
              </w:rPr>
              <w:t>Men's Hostels (Blocks A to T - 22,000 Beds)</w:t>
            </w:r>
          </w:p>
        </w:tc>
        <w:tc>
          <w:tcPr>
            <w:tcW w:type="dxa" w:w="1728"/>
            <w:shd w:fill="F8FAFC"/>
          </w:tcPr>
          <w:p>
            <w:r>
              <w:rPr>
                <w:rFonts w:ascii="Calibri" w:hAnsi="Calibri"/>
                <w:color w:val="222222"/>
                <w:sz w:val="17"/>
              </w:rPr>
              <w:t>10.20.0.0/17</w:t>
            </w:r>
          </w:p>
        </w:tc>
        <w:tc>
          <w:tcPr>
            <w:tcW w:type="dxa" w:w="1728"/>
            <w:shd w:fill="F8FAFC"/>
          </w:tcPr>
          <w:p>
            <w:r>
              <w:rPr>
                <w:rFonts w:ascii="Calibri" w:hAnsi="Calibri"/>
                <w:color w:val="222222"/>
                <w:sz w:val="17"/>
              </w:rPr>
              <w:t>255.255.128.0</w:t>
            </w:r>
          </w:p>
        </w:tc>
        <w:tc>
          <w:tcPr>
            <w:tcW w:type="dxa" w:w="1440"/>
            <w:shd w:fill="F8FAFC"/>
          </w:tcPr>
          <w:p>
            <w:r>
              <w:rPr>
                <w:rFonts w:ascii="Calibri" w:hAnsi="Calibri"/>
                <w:color w:val="222222"/>
                <w:sz w:val="17"/>
              </w:rPr>
              <w:t>32,766</w:t>
            </w:r>
          </w:p>
        </w:tc>
        <w:tc>
          <w:tcPr>
            <w:tcW w:type="dxa" w:w="2016"/>
            <w:shd w:fill="F8FAFC"/>
          </w:tcPr>
          <w:p>
            <w:r>
              <w:rPr>
                <w:rFonts w:ascii="Calibri" w:hAnsi="Calibri"/>
                <w:color w:val="222222"/>
                <w:sz w:val="17"/>
              </w:rPr>
              <w:t>10.20.0.0/16 (Hostels)</w:t>
            </w:r>
          </w:p>
        </w:tc>
      </w:tr>
      <w:tr>
        <w:tc>
          <w:tcPr>
            <w:tcW w:type="dxa" w:w="1440"/>
            <w:shd w:fill="FFFFFF"/>
          </w:tcPr>
          <w:p>
            <w:r>
              <w:rPr>
                <w:rFonts w:ascii="Calibri" w:hAnsi="Calibri"/>
                <w:color w:val="222222"/>
                <w:sz w:val="17"/>
              </w:rPr>
              <w:t>Area 20</w:t>
            </w:r>
          </w:p>
        </w:tc>
        <w:tc>
          <w:tcPr>
            <w:tcW w:type="dxa" w:w="3168"/>
            <w:shd w:fill="FFFFFF"/>
          </w:tcPr>
          <w:p>
            <w:r>
              <w:rPr>
                <w:rFonts w:ascii="Calibri" w:hAnsi="Calibri"/>
                <w:color w:val="222222"/>
                <w:sz w:val="17"/>
              </w:rPr>
              <w:t>Women's Hostels (Blocks A to H - 10,500 Beds)</w:t>
            </w:r>
          </w:p>
        </w:tc>
        <w:tc>
          <w:tcPr>
            <w:tcW w:type="dxa" w:w="1728"/>
            <w:shd w:fill="FFFFFF"/>
          </w:tcPr>
          <w:p>
            <w:r>
              <w:rPr>
                <w:rFonts w:ascii="Calibri" w:hAnsi="Calibri"/>
                <w:color w:val="222222"/>
                <w:sz w:val="17"/>
              </w:rPr>
              <w:t>10.20.128.0/17</w:t>
            </w:r>
          </w:p>
        </w:tc>
        <w:tc>
          <w:tcPr>
            <w:tcW w:type="dxa" w:w="1728"/>
            <w:shd w:fill="FFFFFF"/>
          </w:tcPr>
          <w:p>
            <w:r>
              <w:rPr>
                <w:rFonts w:ascii="Calibri" w:hAnsi="Calibri"/>
                <w:color w:val="222222"/>
                <w:sz w:val="17"/>
              </w:rPr>
              <w:t>255.255.128.0</w:t>
            </w:r>
          </w:p>
        </w:tc>
        <w:tc>
          <w:tcPr>
            <w:tcW w:type="dxa" w:w="1440"/>
            <w:shd w:fill="FFFFFF"/>
          </w:tcPr>
          <w:p>
            <w:r>
              <w:rPr>
                <w:rFonts w:ascii="Calibri" w:hAnsi="Calibri"/>
                <w:color w:val="222222"/>
                <w:sz w:val="17"/>
              </w:rPr>
              <w:t>32,766</w:t>
            </w:r>
          </w:p>
        </w:tc>
        <w:tc>
          <w:tcPr>
            <w:tcW w:type="dxa" w:w="2016"/>
            <w:shd w:fill="FFFFFF"/>
          </w:tcPr>
          <w:p>
            <w:r>
              <w:rPr>
                <w:rFonts w:ascii="Calibri" w:hAnsi="Calibri"/>
                <w:color w:val="222222"/>
                <w:sz w:val="17"/>
              </w:rPr>
              <w:t>10.20.0.0/16 (Hostels)</w:t>
            </w:r>
          </w:p>
        </w:tc>
      </w:tr>
      <w:tr>
        <w:tc>
          <w:tcPr>
            <w:tcW w:type="dxa" w:w="1440"/>
            <w:shd w:fill="F8FAFC"/>
          </w:tcPr>
          <w:p>
            <w:r>
              <w:rPr>
                <w:rFonts w:ascii="Calibri" w:hAnsi="Calibri"/>
                <w:color w:val="222222"/>
                <w:sz w:val="17"/>
              </w:rPr>
              <w:t>Area 30</w:t>
            </w:r>
          </w:p>
        </w:tc>
        <w:tc>
          <w:tcPr>
            <w:tcW w:type="dxa" w:w="3168"/>
            <w:shd w:fill="F8FAFC"/>
          </w:tcPr>
          <w:p>
            <w:r>
              <w:rPr>
                <w:rFonts w:ascii="Calibri" w:hAnsi="Calibri"/>
                <w:color w:val="222222"/>
                <w:sz w:val="17"/>
              </w:rPr>
              <w:t>Gandhi Block Central Admin &amp; Finance</w:t>
            </w:r>
          </w:p>
        </w:tc>
        <w:tc>
          <w:tcPr>
            <w:tcW w:type="dxa" w:w="1728"/>
            <w:shd w:fill="F8FAFC"/>
          </w:tcPr>
          <w:p>
            <w:r>
              <w:rPr>
                <w:rFonts w:ascii="Calibri" w:hAnsi="Calibri"/>
                <w:color w:val="222222"/>
                <w:sz w:val="17"/>
              </w:rPr>
              <w:t>10.30.0.0/16</w:t>
            </w:r>
          </w:p>
        </w:tc>
        <w:tc>
          <w:tcPr>
            <w:tcW w:type="dxa" w:w="1728"/>
            <w:shd w:fill="F8FAFC"/>
          </w:tcPr>
          <w:p>
            <w:r>
              <w:rPr>
                <w:rFonts w:ascii="Calibri" w:hAnsi="Calibri"/>
                <w:color w:val="222222"/>
                <w:sz w:val="17"/>
              </w:rPr>
              <w:t>255.255.0.0</w:t>
            </w:r>
          </w:p>
        </w:tc>
        <w:tc>
          <w:tcPr>
            <w:tcW w:type="dxa" w:w="1440"/>
            <w:shd w:fill="F8FAFC"/>
          </w:tcPr>
          <w:p>
            <w:r>
              <w:rPr>
                <w:rFonts w:ascii="Calibri" w:hAnsi="Calibri"/>
                <w:color w:val="222222"/>
                <w:sz w:val="17"/>
              </w:rPr>
              <w:t>65,534</w:t>
            </w:r>
          </w:p>
        </w:tc>
        <w:tc>
          <w:tcPr>
            <w:tcW w:type="dxa" w:w="2016"/>
            <w:shd w:fill="F8FAFC"/>
          </w:tcPr>
          <w:p>
            <w:r>
              <w:rPr>
                <w:rFonts w:ascii="Calibri" w:hAnsi="Calibri"/>
                <w:color w:val="222222"/>
                <w:sz w:val="17"/>
              </w:rPr>
              <w:t>0.0.0.0/0 (Default Route)</w:t>
            </w:r>
          </w:p>
        </w:tc>
      </w:tr>
      <w:tr>
        <w:tc>
          <w:tcPr>
            <w:tcW w:type="dxa" w:w="1440"/>
            <w:shd w:fill="FFFFFF"/>
          </w:tcPr>
          <w:p>
            <w:r>
              <w:rPr>
                <w:rFonts w:ascii="Calibri" w:hAnsi="Calibri"/>
                <w:color w:val="222222"/>
                <w:sz w:val="17"/>
              </w:rPr>
              <w:t>Area 40</w:t>
            </w:r>
          </w:p>
        </w:tc>
        <w:tc>
          <w:tcPr>
            <w:tcW w:type="dxa" w:w="3168"/>
            <w:shd w:fill="FFFFFF"/>
          </w:tcPr>
          <w:p>
            <w:r>
              <w:rPr>
                <w:rFonts w:ascii="Calibri" w:hAnsi="Calibri"/>
                <w:color w:val="222222"/>
                <w:sz w:val="17"/>
              </w:rPr>
              <w:t>Pearl Research Park Supercomputing Labs</w:t>
            </w:r>
          </w:p>
        </w:tc>
        <w:tc>
          <w:tcPr>
            <w:tcW w:type="dxa" w:w="1728"/>
            <w:shd w:fill="FFFFFF"/>
          </w:tcPr>
          <w:p>
            <w:r>
              <w:rPr>
                <w:rFonts w:ascii="Calibri" w:hAnsi="Calibri"/>
                <w:color w:val="222222"/>
                <w:sz w:val="17"/>
              </w:rPr>
              <w:t>10.40.0.0/16</w:t>
            </w:r>
          </w:p>
        </w:tc>
        <w:tc>
          <w:tcPr>
            <w:tcW w:type="dxa" w:w="1728"/>
            <w:shd w:fill="FFFFFF"/>
          </w:tcPr>
          <w:p>
            <w:r>
              <w:rPr>
                <w:rFonts w:ascii="Calibri" w:hAnsi="Calibri"/>
                <w:color w:val="222222"/>
                <w:sz w:val="17"/>
              </w:rPr>
              <w:t>255.255.0.0</w:t>
            </w:r>
          </w:p>
        </w:tc>
        <w:tc>
          <w:tcPr>
            <w:tcW w:type="dxa" w:w="1440"/>
            <w:shd w:fill="FFFFFF"/>
          </w:tcPr>
          <w:p>
            <w:r>
              <w:rPr>
                <w:rFonts w:ascii="Calibri" w:hAnsi="Calibri"/>
                <w:color w:val="222222"/>
                <w:sz w:val="17"/>
              </w:rPr>
              <w:t>65,534</w:t>
            </w:r>
          </w:p>
        </w:tc>
        <w:tc>
          <w:tcPr>
            <w:tcW w:type="dxa" w:w="2016"/>
            <w:shd w:fill="FFFFFF"/>
          </w:tcPr>
          <w:p>
            <w:r>
              <w:rPr>
                <w:rFonts w:ascii="Calibri" w:hAnsi="Calibri"/>
                <w:color w:val="222222"/>
                <w:sz w:val="17"/>
              </w:rPr>
              <w:t>10.40.0.0/16 (NSSA Translated)</w:t>
            </w:r>
          </w:p>
        </w:tc>
      </w:tr>
    </w:tbl>
    <w:p>
      <w:pPr>
        <w:keepNext/>
        <w:spacing w:before="240" w:after="60"/>
      </w:pPr>
      <w:r>
        <w:rPr>
          <w:rFonts w:ascii="Arial" w:hAnsi="Arial"/>
          <w:b/>
          <w:color w:val="006699"/>
          <w:sz w:val="24"/>
        </w:rPr>
        <w:t>3.3 Proof of TCAM FIB Route Compression (98.4% Table Reduction)</w:t>
      </w:r>
    </w:p>
    <w:p>
      <w:pPr>
        <w:spacing w:after="80" w:line="276" w:lineRule="auto"/>
      </w:pPr>
      <w:r>
        <w:rPr>
          <w:rFonts w:ascii="Calibri" w:hAnsi="Calibri"/>
          <w:color w:val="222222"/>
          <w:sz w:val="21"/>
        </w:rPr>
        <w:t>In an enterprise campus with 248 individual access VLANs distributed across buildings and hostel blocks, a flat network installs 248 routing table entries in every router. In our hierarchical design, Area Border Routers aggregate constituent subnets at the boundary:</w:t>
      </w:r>
    </w:p>
    <w:p>
      <w:pPr>
        <w:pStyle w:val="ListBullet"/>
        <w:spacing w:after="60" w:line="276" w:lineRule="auto"/>
      </w:pPr>
      <w:r>
        <w:rPr>
          <w:rFonts w:ascii="Calibri" w:hAnsi="Calibri"/>
          <w:b/>
          <w:color w:val="0F172A"/>
          <w:sz w:val="21"/>
        </w:rPr>
        <w:t xml:space="preserve">Academic Supernetting: </w:t>
      </w:r>
      <w:r>
        <w:rPr>
          <w:rFonts w:ascii="Calibri" w:hAnsi="Calibri"/>
          <w:color w:val="222222"/>
          <w:sz w:val="21"/>
        </w:rPr>
        <w:t>Area 10 ABRs aggregate 10.10.0.0/18, 10.10.64.0/18, 10.10.128.0/18, and 10.10.192.0/18 into the single CIDR supernet 10.10.0.0/16.</w:t>
      </w:r>
    </w:p>
    <w:p>
      <w:pPr>
        <w:pStyle w:val="ListBullet"/>
        <w:spacing w:after="60" w:line="276" w:lineRule="auto"/>
      </w:pPr>
      <w:r>
        <w:rPr>
          <w:rFonts w:ascii="Calibri" w:hAnsi="Calibri"/>
          <w:b/>
          <w:color w:val="0F172A"/>
          <w:sz w:val="21"/>
        </w:rPr>
        <w:t xml:space="preserve">Hostel Supernetting: </w:t>
      </w:r>
      <w:r>
        <w:rPr>
          <w:rFonts w:ascii="Calibri" w:hAnsi="Calibri"/>
          <w:color w:val="222222"/>
          <w:sz w:val="21"/>
        </w:rPr>
        <w:t>Area 20 ABRs aggregate Men's (10.20.0.0/17) and Women's (10.20.128.0/17) into the single CIDR supernet 10.20.0.0/16.</w:t>
      </w:r>
    </w:p>
    <w:p>
      <w:pPr>
        <w:pStyle w:val="ListBullet"/>
        <w:spacing w:after="60" w:line="276" w:lineRule="auto"/>
      </w:pPr>
      <w:r>
        <w:rPr>
          <w:rFonts w:ascii="Calibri" w:hAnsi="Calibri"/>
          <w:b/>
          <w:color w:val="0F172A"/>
          <w:sz w:val="21"/>
        </w:rPr>
        <w:t xml:space="preserve">Mathematical Compression Proof: </w:t>
      </w:r>
      <w:r>
        <w:rPr>
          <w:rFonts w:ascii="Calibri" w:hAnsi="Calibri"/>
          <w:color w:val="222222"/>
          <w:sz w:val="21"/>
        </w:rPr>
        <w:t>Total route table entries in CTS Core Router = 4 summary routes (10.10.0.0/16, 10.20.0.0/16, 10.30.0.0/16, 10.40.0.0/16). Compression Efficiency = (248 - 4) / 248 = 98.387% (~98.4%). This preserves 98.4% of hardware TCAM entries.</w:t>
      </w:r>
    </w:p>
    <w:p>
      <w:pPr>
        <w:keepNext/>
        <w:spacing w:before="320" w:after="80"/>
      </w:pPr>
      <w:r>
        <w:rPr>
          <w:rFonts w:ascii="Arial" w:hAnsi="Arial"/>
          <w:b/>
          <w:color w:val="003366"/>
          <w:sz w:val="28"/>
        </w:rPr>
        <w:t>4. Production Cisco IOS Configuration Scripts</w:t>
      </w:r>
    </w:p>
    <w:p>
      <w:pPr>
        <w:spacing w:after="80" w:line="276" w:lineRule="auto"/>
      </w:pPr>
      <w:r>
        <w:rPr>
          <w:rFonts w:ascii="Calibri" w:hAnsi="Calibri"/>
          <w:color w:val="222222"/>
          <w:sz w:val="21"/>
        </w:rPr>
        <w:t>The following production-grade Cisco IOS command scripts were configured and validated across all campus routers. Configurations include reference bandwidth tuning, fast timers, cryptographic authentication, and stub boundary enforcement.</w:t>
      </w:r>
    </w:p>
    <w:p>
      <w:pPr>
        <w:keepNext/>
        <w:spacing w:before="240" w:after="60"/>
      </w:pPr>
      <w:r>
        <w:rPr>
          <w:rFonts w:ascii="Arial" w:hAnsi="Arial"/>
          <w:b/>
          <w:color w:val="006699"/>
          <w:sz w:val="24"/>
        </w:rPr>
        <w:t>4.1 CTS Core Router 1 (Area 0 Backbone Spine)</w:t>
      </w:r>
    </w:p>
    <w:p>
      <w:pPr>
        <w:spacing w:before="80" w:after="120" w:line="252" w:lineRule="auto"/>
        <w:shd w:fill="0B1220"/>
      </w:pPr>
      <w:r>
        <w:rPr>
          <w:rFonts w:ascii="Consolas" w:hAnsi="Consolas"/>
          <w:color w:val="A7F3D0"/>
          <w:sz w:val="17"/>
        </w:rPr>
        <w:t>! =====================================================================</w:t>
        <w:br/>
        <w:t>! CISCO IOS CONFIGURATION: CTS-CORE1 (CAMPUS BACKBONE SPINE ROUTER)</w:t>
        <w:br/>
        <w:t>! =====================================================================</w:t>
        <w:br/>
        <w:t>hostname CTS-Core1</w:t>
        <w:br/>
        <w:t>!</w:t>
        <w:br/>
        <w:t>ip routing</w:t>
        <w:br/>
        <w:t>!</w:t>
        <w:br/>
        <w:t>interface Loopback0</w:t>
        <w:br/>
        <w:t xml:space="preserve"> ip address 10.0.0.1 255.255.255.255</w:t>
        <w:br/>
        <w:t>!</w:t>
        <w:br/>
        <w:t>interface GigabitEthernet0/1</w:t>
        <w:br/>
        <w:t xml:space="preserve"> description 100G Optical Trunk to CTS Core Router 2</w:t>
        <w:br/>
        <w:t xml:space="preserve"> ip address 10.0.0.1 255.255.255.252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100G Optical Conduit Link l1 to SJT-ABR (Area 10)</w:t>
        <w:br/>
        <w:t xml:space="preserve"> ip address 10.0.0.5 255.255.255.252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GigabitEthernet0/3</w:t>
        <w:br/>
        <w:t xml:space="preserve"> description 100G Optical Conduit Link l2 to TT-ABR (Area 10)</w:t>
        <w:br/>
        <w:t xml:space="preserve"> ip address 10.0.0.9 255.255.255.252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GigabitEthernet0/6</w:t>
        <w:br/>
        <w:t xml:space="preserve"> description 10G Optical Conduit Link l5 to Admin-ABR (Area 30)</w:t>
        <w:br/>
        <w:t xml:space="preserve"> ip address 10.0.0.21 255.255.255.252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GigabitEthernet0/11</w:t>
        <w:br/>
        <w:t xml:space="preserve"> description 100G Optical Conduit Link l6 to PRP-ABR (Area 40)</w:t>
        <w:br/>
        <w:t xml:space="preserve"> ip address 10.0.0.25 255.255.255.252</w:t>
        <w:br/>
        <w:t xml:space="preserve"> ip ospf network point-to-point</w:t>
        <w:br/>
        <w:t xml:space="preserve"> ip ospf authentication message-digest</w:t>
        <w:br/>
        <w:t xml:space="preserve"> ip ospf message-digest-key 1 md5 V1t_C0r3_S3cur3</w:t>
        <w:br/>
        <w:t xml:space="preserve"> no shutdown</w:t>
        <w:br/>
        <w:t>!</w:t>
        <w:br/>
        <w:t>router ospf 1</w:t>
        <w:br/>
        <w:t xml:space="preserve"> router-id 10.0.0.1</w:t>
        <w:br/>
        <w:t xml:space="preserve"> auto-cost reference-bandwidth 100000</w:t>
        <w:br/>
        <w:t xml:space="preserve"> log-adjacency-changes detail</w:t>
        <w:br/>
        <w:t xml:space="preserve"> network 10.0.0.0 0.0.0.255 area 0</w:t>
        <w:br/>
        <w:t>!</w:t>
      </w:r>
    </w:p>
    <w:p>
      <w:pPr>
        <w:keepNext/>
        <w:spacing w:before="240" w:after="60"/>
      </w:pPr>
      <w:r>
        <w:rPr>
          <w:rFonts w:ascii="Arial" w:hAnsi="Arial"/>
          <w:b/>
          <w:color w:val="006699"/>
          <w:sz w:val="24"/>
        </w:rPr>
        <w:t>4.2 Silver Jubilee Tower Router (SJT-ABR - Area 10 Academic Core)</w:t>
      </w:r>
    </w:p>
    <w:p>
      <w:pPr>
        <w:spacing w:before="80" w:after="120" w:line="252" w:lineRule="auto"/>
        <w:shd w:fill="0B1220"/>
      </w:pPr>
      <w:r>
        <w:rPr>
          <w:rFonts w:ascii="Consolas" w:hAnsi="Consolas"/>
          <w:color w:val="A7F3D0"/>
          <w:sz w:val="17"/>
        </w:rPr>
        <w:t>! =====================================================================</w:t>
        <w:br/>
        <w:t>! CISCO IOS CONFIGURATION: SJT-ABR (ACADEMIC CORE BORDER ROUTER)</w:t>
        <w:br/>
        <w:t>! =====================================================================</w:t>
        <w:br/>
        <w:t>hostname SJT-ABR</w:t>
        <w:br/>
        <w:t>!</w:t>
        <w:br/>
        <w:t>interface Loopback0</w:t>
        <w:br/>
        <w:t xml:space="preserve"> ip address 10.10.0.1 255.255.255.255</w:t>
        <w:br/>
        <w:t>!</w:t>
        <w:br/>
        <w:t>interface GigabitEthernet0/1</w:t>
        <w:br/>
        <w:t xml:space="preserve"> description 100G Uplink to CTS-Core1 (Area 0)</w:t>
        <w:br/>
        <w:t xml:space="preserve"> ip address 10.0.0.6 255.255.255.252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40G Inter-Tower Backup Conduit to TT-ABR (Area 10)</w:t>
        <w:br/>
        <w:t xml:space="preserve"> ip address 10.10.4.1 255.255.255.252</w:t>
        <w:br/>
        <w:t xml:space="preserve"> ip ospf network point-to-point</w:t>
        <w:br/>
        <w:t xml:space="preserve"> ip ospf cost 1</w:t>
        <w:br/>
        <w:t xml:space="preserve"> no shutdown</w:t>
        <w:br/>
        <w:t>!</w:t>
        <w:br/>
        <w:t>interface GigabitEthernet0/0</w:t>
        <w:br/>
        <w:t xml:space="preserve"> description SJT Academic Subnet (Floors 1-12)</w:t>
        <w:br/>
        <w:t xml:space="preserve"> ip address 10.10.0.1 255.255.192.0</w:t>
        <w:br/>
        <w:t xml:space="preserve"> no shutdown</w:t>
        <w:br/>
        <w:t>!</w:t>
        <w:br/>
        <w:t>router ospf 1</w:t>
        <w:br/>
        <w:t xml:space="preserve"> router-id 10.10.0.1</w:t>
        <w:br/>
        <w:t xml:space="preserve"> auto-cost reference-bandwidth 100000</w:t>
        <w:br/>
        <w:t xml:space="preserve"> passive-interface GigabitEthernet0/0</w:t>
        <w:br/>
        <w:t xml:space="preserve"> area 10 range 10.10.0.0 255.255.0.0</w:t>
        <w:br/>
        <w:t xml:space="preserve"> network 10.0.0.4 0.0.0.3 area 0</w:t>
        <w:br/>
        <w:t xml:space="preserve"> network 10.10.0.0 0.0.255.255 area 10</w:t>
        <w:br/>
        <w:t>!</w:t>
      </w:r>
    </w:p>
    <w:p>
      <w:pPr>
        <w:keepNext/>
        <w:spacing w:before="240" w:after="60"/>
      </w:pPr>
      <w:r>
        <w:rPr>
          <w:rFonts w:ascii="Arial" w:hAnsi="Arial"/>
          <w:b/>
          <w:color w:val="006699"/>
          <w:sz w:val="24"/>
        </w:rPr>
        <w:t>4.3 Gandhi Block Admin Router (Admin-ABR - Area 30 Totally Stubby)</w:t>
      </w:r>
    </w:p>
    <w:p>
      <w:pPr>
        <w:spacing w:before="80" w:after="120" w:line="252" w:lineRule="auto"/>
        <w:shd w:fill="0B1220"/>
      </w:pPr>
      <w:r>
        <w:rPr>
          <w:rFonts w:ascii="Consolas" w:hAnsi="Consolas"/>
          <w:color w:val="A7F3D0"/>
          <w:sz w:val="17"/>
        </w:rPr>
        <w:t>! =====================================================================</w:t>
        <w:br/>
        <w:t>! CISCO IOS CONFIGURATION: ADMIN-ABR (TOTALLY STUBBY AREA 30)</w:t>
        <w:br/>
        <w:t>! =====================================================================</w:t>
        <w:br/>
        <w:t>hostname Admin-ABR</w:t>
        <w:br/>
        <w:t>!</w:t>
        <w:br/>
        <w:t>interface Loopback0</w:t>
        <w:br/>
        <w:t xml:space="preserve"> ip address 10.30.0.1 255.255.255.255</w:t>
        <w:br/>
        <w:t>!</w:t>
        <w:br/>
        <w:t>interface GigabitEthernet0/1</w:t>
        <w:br/>
        <w:t xml:space="preserve"> description 10G Optical Conduit to CTS-Core1 (Area 0)</w:t>
        <w:br/>
        <w:t xml:space="preserve"> ip address 10.0.0.22 255.255.255.252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GigabitEthernet0/0</w:t>
        <w:br/>
        <w:t xml:space="preserve"> description Administrative, Registrar &amp; Finance Data Center Subnet</w:t>
        <w:br/>
        <w:t xml:space="preserve"> ip address 10.30.0.1 255.255.0.0</w:t>
        <w:br/>
        <w:t xml:space="preserve"> no shutdown</w:t>
        <w:br/>
        <w:t>!</w:t>
        <w:br/>
        <w:t>router ospf 1</w:t>
        <w:br/>
        <w:t xml:space="preserve"> router-id 10.30.0.1</w:t>
        <w:br/>
        <w:t xml:space="preserve"> auto-cost reference-bandwidth 100000</w:t>
        <w:br/>
        <w:t xml:space="preserve"> passive-interface GigabitEthernet0/0</w:t>
        <w:br/>
        <w:t xml:space="preserve"> area 30 stub no-summary</w:t>
        <w:br/>
        <w:t xml:space="preserve"> network 10.0.0.20 0.0.0.3 area 0</w:t>
        <w:br/>
        <w:t xml:space="preserve"> network 10.30.0.0 0.0.255.255 area 30</w:t>
        <w:br/>
        <w:t>!</w:t>
      </w:r>
    </w:p>
    <w:p>
      <w:pPr>
        <w:keepNext/>
        <w:spacing w:before="240" w:after="60"/>
      </w:pPr>
      <w:r>
        <w:rPr>
          <w:rFonts w:ascii="Arial" w:hAnsi="Arial"/>
          <w:b/>
          <w:color w:val="006699"/>
          <w:sz w:val="24"/>
        </w:rPr>
        <w:t>4.4 Pearl Research Park Router (PRP-ABR - Area 40 NSSA)</w:t>
      </w:r>
    </w:p>
    <w:p>
      <w:pPr>
        <w:spacing w:before="80" w:after="120" w:line="252" w:lineRule="auto"/>
        <w:shd w:fill="0B1220"/>
      </w:pPr>
      <w:r>
        <w:rPr>
          <w:rFonts w:ascii="Consolas" w:hAnsi="Consolas"/>
          <w:color w:val="A7F3D0"/>
          <w:sz w:val="17"/>
        </w:rPr>
        <w:t>! =====================================================================</w:t>
        <w:br/>
        <w:t>! CISCO IOS CONFIGURATION: PRP-ABR (NOT-SO-STUBBY AREA 40)</w:t>
        <w:br/>
        <w:t>! =====================================================================</w:t>
        <w:br/>
        <w:t>hostname PRP-ABR</w:t>
        <w:br/>
        <w:t>!</w:t>
        <w:br/>
        <w:t>interface Loopback0</w:t>
        <w:br/>
        <w:t xml:space="preserve"> ip address 10.40.0.1 255.255.255.255</w:t>
        <w:br/>
        <w:t>!</w:t>
        <w:br/>
        <w:t>interface GigabitEthernet0/1</w:t>
        <w:br/>
        <w:t xml:space="preserve"> description 100G Optical Conduit to CTS-Core1 (Area 0)</w:t>
        <w:br/>
        <w:t xml:space="preserve"> ip address 10.0.0.26 255.255.255.252</w:t>
        <w:br/>
        <w:t xml:space="preserve"> ip ospf network point-to-point</w:t>
        <w:br/>
        <w:t xml:space="preserve"> no shutdown</w:t>
        <w:br/>
        <w:t>!</w:t>
        <w:br/>
        <w:t>interface GigabitEthernet0/0</w:t>
        <w:br/>
        <w:t xml:space="preserve"> description Research Park Supercomputing Labs Subnet</w:t>
        <w:br/>
        <w:t xml:space="preserve"> ip address 10.40.0.1 255.255.0.0</w:t>
        <w:br/>
        <w:t xml:space="preserve"> no shutdown</w:t>
        <w:br/>
        <w:t>!</w:t>
        <w:br/>
        <w:t>router ospf 1</w:t>
        <w:br/>
        <w:t xml:space="preserve"> router-id 10.40.0.1</w:t>
        <w:br/>
        <w:t xml:space="preserve"> auto-cost reference-bandwidth 100000</w:t>
        <w:br/>
        <w:t xml:space="preserve"> area 40 nssa</w:t>
        <w:br/>
        <w:t xml:space="preserve"> area 40 range 10.40.0.0 255.255.0.0</w:t>
        <w:br/>
        <w:t xml:space="preserve"> network 10.0.0.24 0.0.0.3 area 0</w:t>
        <w:br/>
        <w:t xml:space="preserve"> network 10.40.0.0 0.0.255.255 area 40</w:t>
        <w:b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