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002D62"/>
          <w:sz w:val="40"/>
          <w:szCs w:val="40"/>
        </w:rPr>
        <w:t xml:space="preserve">DEVELOPMENT AND CONVERGENCE ANALYSIS OF A HIERARCHICAL MULTI-AREA OSPF ROUTING FRAMEWORK FOR ENTERPRISE TOPOLOGIES</w:t>
      </w:r>
    </w:p>
    <w:p>
      <w:pPr>
        <w:spacing w:after="240" w:before="240"/>
      </w:pPr>
    </w:p>
    <w:p>
      <w:pPr>
        <w:jc w:val="center"/>
      </w:pPr>
      <w:r>
        <w:rPr>
          <w:rFonts w:ascii="Calibri" w:cs="Calibri" w:eastAsia="Calibri" w:hAnsi="Calibri"/>
          <w:color w:val="4682B4"/>
          <w:sz w:val="28"/>
          <w:szCs w:val="28"/>
        </w:rPr>
        <w:t xml:space="preserve">Design, Scalability Engineering, and RFC 2328 Compliance Validation</w:t>
      </w:r>
    </w:p>
    <w:p>
      <w:pPr>
        <w:spacing w:before="1400"/>
      </w:pPr>
    </w:p>
    <w:p>
      <w:pPr>
        <w:jc w:val="center"/>
      </w:pPr>
      <w:r>
        <w:rPr>
          <w:rFonts w:ascii="Calibri" w:cs="Calibri" w:eastAsia="Calibri" w:hAnsi="Calibri"/>
          <w:b/>
          <w:bCs/>
          <w:color w:val="333333"/>
          <w:sz w:val="24"/>
          <w:szCs w:val="24"/>
        </w:rPr>
        <w:t xml:space="preserve">Computer Network Systems Core Project Report</w:t>
      </w:r>
    </w:p>
    <w:p>
      <w:pPr>
        <w:spacing w:before="200"/>
      </w:pPr>
    </w:p>
    <w:p>
      <w:pPr>
        <w:jc w:val="center"/>
      </w:pPr>
      <w:r>
        <w:rPr>
          <w:rFonts w:ascii="Calibri" w:cs="Calibri" w:eastAsia="Calibri" w:hAnsi="Calibri"/>
          <w:color w:val="333333"/>
          <w:sz w:val="22"/>
          <w:szCs w:val="22"/>
        </w:rPr>
        <w:t xml:space="preserve">Vellore Institute of Technology (VIT)</w:t>
      </w:r>
    </w:p>
    <w:p>
      <w:pPr>
        <w:spacing w:before="1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Student Name</w:t>
            </w:r>
          </w:p>
        </w:tc>
        <w:tc>
          <w:tcPr>
            <w:tcW w:type="pct" w:w="5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Registration Number</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Ansh Katiyar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25BIT0333</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Student 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25BIT0208</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Student 3</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25BIT0292</w:t>
            </w:r>
          </w:p>
        </w:tc>
      </w:tr>
    </w:tbl>
    <w:p>
      <w:pPr>
        <w:pageBreakBefore/>
      </w:pPr>
    </w:p>
    <w:p>
      <w:pPr>
        <w:spacing w:after="120" w:before="360"/>
      </w:pPr>
      <w:r>
        <w:rPr>
          <w:rFonts w:ascii="Arial" w:cs="Arial" w:eastAsia="Arial" w:hAnsi="Arial"/>
          <w:b/>
          <w:bCs/>
          <w:color w:val="002D62"/>
          <w:sz w:val="32"/>
          <w:szCs w:val="32"/>
        </w:rPr>
        <w:t xml:space="preserve">1. EXECUTIVE SUMMARY</w:t>
      </w:r>
    </w:p>
    <w:p>
      <w:pPr>
        <w:spacing w:after="100" w:before="100"/>
      </w:pPr>
      <w:r>
        <w:rPr>
          <w:rFonts w:ascii="Calibri" w:cs="Calibri" w:eastAsia="Calibri" w:hAnsi="Calibri"/>
          <w:b w:val="false"/>
          <w:bCs w:val="false"/>
          <w:color w:val="333333"/>
          <w:sz w:val="22"/>
          <w:szCs w:val="22"/>
        </w:rPr>
        <w:t xml:space="preserve">Conventional enterprise campus topologies serving large user bases face significant performance bottlenecks when deployed with a flat Layer-2 spanning-tree core or a single-area Interior Gateway Protocol (IGP) design. In these designs, any link flap at the edge propagates Link State Advertisements (LSAs) globally, forcing every network node to execute the CPU-intensive Dijkstra Shortest Path First (SPF) algorithm, resulting in transient packet losses and routing table bloat. This project designs, implements, and evaluates a highly scalable, Hierarchical Multi-Area OSPFv2 Routing Framework designed specifically to isolate routing instabilities and enforce deterministic routing boundaries in multi-departmental enterprise campuses.</w:t>
      </w:r>
    </w:p>
    <w:p>
      <w:pPr>
        <w:spacing w:after="100" w:before="100"/>
      </w:pPr>
      <w:r>
        <w:rPr>
          <w:rFonts w:ascii="Calibri" w:cs="Calibri" w:eastAsia="Calibri" w:hAnsi="Calibri"/>
          <w:b w:val="false"/>
          <w:bCs w:val="false"/>
          <w:color w:val="333333"/>
          <w:sz w:val="22"/>
          <w:szCs w:val="22"/>
        </w:rPr>
        <w:t xml:space="preserve">By segregating the network into a central Backbone Core (Area 0), Academic Subnets (Area 10), Hostel Blocks (Area 20), and Admin Data Centers (Area 30), this design isolates link instability to the local areas. Furthermore, by configuring Area 30 as a Totally Stubby Area, inter-area LSA summarization is suppressed, shrinking routing tables inside the area to a single default route. To validate this architecture, an interactive single-page OSPFv2 simulator was developed and validated against a five-stage RFC 2328 compliance test harness, confirming sub-second routing convergence (under fast 1s/4s timers) and cryptographic authentication integrity.</w:t>
      </w:r>
    </w:p>
    <w:p>
      <w:pPr>
        <w:spacing w:after="120" w:before="360"/>
      </w:pPr>
      <w:r>
        <w:rPr>
          <w:rFonts w:ascii="Arial" w:cs="Arial" w:eastAsia="Arial" w:hAnsi="Arial"/>
          <w:b/>
          <w:bCs/>
          <w:color w:val="002D62"/>
          <w:sz w:val="32"/>
          <w:szCs w:val="32"/>
        </w:rPr>
        <w:t xml:space="preserve">2. THEORETICAL BACKGROUND OF OSPF PROTOCOL MECHANICS</w:t>
      </w:r>
    </w:p>
    <w:p>
      <w:pPr>
        <w:spacing w:after="100" w:before="100"/>
      </w:pPr>
      <w:r>
        <w:rPr>
          <w:rFonts w:ascii="Calibri" w:cs="Calibri" w:eastAsia="Calibri" w:hAnsi="Calibri"/>
          <w:b w:val="false"/>
          <w:bCs w:val="false"/>
          <w:color w:val="333333"/>
          <w:sz w:val="22"/>
          <w:szCs w:val="22"/>
        </w:rPr>
        <w:t xml:space="preserve">Open Shortest Path First Version 2 (OSPFv2), defined in RFC 2328, is a link-state routing protocol operating over IP protocol 89. OSPF routers build identical topological databases by flooding Link-State Advertisements (LSAs) containing interface properties, metric weights, and neighbor adjacencies. Each router independently executes the Dijkstra shortest-path tree (SPT) algorithm using itself as the root to generate loop-free paths.</w:t>
      </w:r>
    </w:p>
    <w:p>
      <w:pPr>
        <w:spacing w:after="100" w:before="240"/>
      </w:pPr>
      <w:r>
        <w:rPr>
          <w:rFonts w:ascii="Arial" w:cs="Arial" w:eastAsia="Arial" w:hAnsi="Arial"/>
          <w:b/>
          <w:bCs/>
          <w:color w:val="4682B4"/>
          <w:sz w:val="26"/>
          <w:szCs w:val="26"/>
        </w:rPr>
        <w:t xml:space="preserve">2.1 OSPF Link-State Advertisement (LSA) Classifications</w:t>
      </w:r>
    </w:p>
    <w:p>
      <w:pPr>
        <w:spacing w:after="100" w:before="100"/>
      </w:pPr>
      <w:r>
        <w:rPr>
          <w:rFonts w:ascii="Calibri" w:cs="Calibri" w:eastAsia="Calibri" w:hAnsi="Calibri"/>
          <w:b w:val="false"/>
          <w:bCs w:val="false"/>
          <w:color w:val="333333"/>
          <w:sz w:val="22"/>
          <w:szCs w:val="22"/>
        </w:rPr>
        <w:t xml:space="preserve">To enable hierarchical area boundaries, OSPF defines standard LSA formats that dictate the flooding boundary and content abstraction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LSA Type</w:t>
            </w:r>
          </w:p>
        </w:tc>
        <w:tc>
          <w:tcPr>
            <w:tcW w:type="pct" w:w="2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Name</w:t>
            </w:r>
          </w:p>
        </w:tc>
        <w:tc>
          <w:tcPr>
            <w:tcW w:type="pct" w:w="2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Originator</w:t>
            </w:r>
          </w:p>
        </w:tc>
        <w:tc>
          <w:tcPr>
            <w:tcW w:type="pct" w:w="2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Flooding Scope</w:t>
            </w:r>
          </w:p>
        </w:tc>
        <w:tc>
          <w:tcPr>
            <w:tcW w:type="pct" w:w="2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Primary Content</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Type 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Router LSA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Every Router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Intra-Area Only</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Lists local interfaces, link costs, and neighbor adjacencies.</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Type 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Network LSA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Designated Router (DR)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Intra-Area (Multiaccess)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Lists all adjacent routers attached to a broadcast segment.</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Type 3</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Summary LSA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Border Router (ABR)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Inter-Area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Advertises summarized IP subnets between areas.</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Type 4</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ASBR Summary LSA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Border Router (ABR)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Inter-Area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Advertises the path cost and location of external boundary ASBRs.</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Type 5</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AS-External LSA</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ASBR Router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AS Domain-Wide</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Carries prefixes redistributed into OSPF from external domains.</w:t>
            </w:r>
          </w:p>
        </w:tc>
      </w:tr>
    </w:tbl>
    <w:p>
      <w:pPr>
        <w:spacing w:before="120"/>
      </w:pPr>
    </w:p>
    <w:p>
      <w:pPr>
        <w:spacing w:after="100" w:before="240"/>
      </w:pPr>
      <w:r>
        <w:rPr>
          <w:rFonts w:ascii="Arial" w:cs="Arial" w:eastAsia="Arial" w:hAnsi="Arial"/>
          <w:b/>
          <w:bCs/>
          <w:color w:val="4682B4"/>
          <w:sz w:val="26"/>
          <w:szCs w:val="26"/>
        </w:rPr>
        <w:t xml:space="preserve">2.2 OSPF Neighbor Adjacency Finite State Machine (FSM)</w:t>
      </w:r>
    </w:p>
    <w:p>
      <w:pPr>
        <w:spacing w:after="100" w:before="100"/>
      </w:pPr>
      <w:r>
        <w:rPr>
          <w:rFonts w:ascii="Calibri" w:cs="Calibri" w:eastAsia="Calibri" w:hAnsi="Calibri"/>
          <w:b w:val="false"/>
          <w:bCs w:val="false"/>
          <w:color w:val="333333"/>
          <w:sz w:val="22"/>
          <w:szCs w:val="22"/>
        </w:rPr>
        <w:t xml:space="preserve">To maintain active synchronization, OSPF neighbors progress through a deterministic eight-stage FSM driven by standard Hello and Database Descriptor (DBD) packet exchanges: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State Name</w:t>
            </w:r>
          </w:p>
        </w:tc>
        <w:tc>
          <w:tcPr>
            <w:tcW w:type="pct" w:w="5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Operational Description</w:t>
            </w:r>
          </w:p>
        </w:tc>
        <w:tc>
          <w:tcPr>
            <w:tcW w:type="pct" w:w="3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Exchanged Packets</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 Down</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Initial state; no Hello packets have been received from the remote neighbor.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None</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2. Init</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Hello received, but the local router's ID is not listed in the remote neighbor's Hello active list.</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Hello (Multicast 224.0.0.5)</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3. 2-Way</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Bidirectional communication established. DR/BDR election occurs on multiaccess segments.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Hello</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4. ExStart</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Negotiation of Master/Slave roles and initial sequence numbers for database description.</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DBD (Empty payload, bits set)</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5. Exchange</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Routers exchange DBD packets containing LSA headers summarizing local LSDB records.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DBD Packets</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6. Loading</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Routers request full LSA records for missing or outdated entries using Link State Requests.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LSR, LSU, LSAck</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7. Full</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Database synchronization complete. SPF calculation is triggered to build local routing tables.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Periodic Hellos / LSUs</w:t>
            </w:r>
          </w:p>
        </w:tc>
      </w:tr>
    </w:tbl>
    <w:p>
      <w:pPr>
        <w:spacing w:before="120"/>
      </w:pPr>
    </w:p>
    <w:p>
      <w:pPr>
        <w:spacing w:after="100" w:before="240"/>
      </w:pPr>
      <w:r>
        <w:rPr>
          <w:rFonts w:ascii="Arial" w:cs="Arial" w:eastAsia="Arial" w:hAnsi="Arial"/>
          <w:b/>
          <w:bCs/>
          <w:color w:val="4682B4"/>
          <w:sz w:val="26"/>
          <w:szCs w:val="26"/>
        </w:rPr>
        <w:t xml:space="preserve">2.3 Area Type Optimizations</w:t>
      </w:r>
    </w:p>
    <w:p>
      <w:pPr>
        <w:spacing w:after="100" w:before="100"/>
      </w:pPr>
      <w:r>
        <w:rPr>
          <w:rFonts w:ascii="Calibri" w:cs="Calibri" w:eastAsia="Calibri" w:hAnsi="Calibri"/>
          <w:b w:val="false"/>
          <w:bCs w:val="false"/>
          <w:color w:val="333333"/>
          <w:sz w:val="22"/>
          <w:szCs w:val="22"/>
        </w:rPr>
        <w:t xml:space="preserve">To prevent LSA propagation and CPU overhead, OSPF supports three primary area profiles:</w:t>
      </w:r>
    </w:p>
    <w:p>
      <w:pPr>
        <w:pStyle w:val="ListParagraph"/>
        <w:numPr>
          <w:ilvl w:val="0"/>
          <w:numId w:val="1"/>
        </w:numPr>
        <w:spacing w:after="60" w:before="60"/>
      </w:pPr>
      <w:r>
        <w:rPr>
          <w:rFonts w:ascii="Calibri" w:cs="Calibri" w:eastAsia="Calibri" w:hAnsi="Calibri"/>
          <w:color w:val="333333"/>
          <w:sz w:val="22"/>
          <w:szCs w:val="22"/>
        </w:rPr>
        <w:t xml:space="preserve">Standard Area: Floods Type 1, 2, 3, 4, and 5 LSAs. Contains full routing table details.</w:t>
      </w:r>
    </w:p>
    <w:p>
      <w:pPr>
        <w:pStyle w:val="ListParagraph"/>
        <w:numPr>
          <w:ilvl w:val="0"/>
          <w:numId w:val="1"/>
        </w:numPr>
        <w:spacing w:after="60" w:before="60"/>
      </w:pPr>
      <w:r>
        <w:rPr>
          <w:rFonts w:ascii="Calibri" w:cs="Calibri" w:eastAsia="Calibri" w:hAnsi="Calibri"/>
          <w:color w:val="333333"/>
          <w:sz w:val="22"/>
          <w:szCs w:val="22"/>
        </w:rPr>
        <w:t xml:space="preserve">Stub Area: Blocks external Type 5 LSAs. The ABR automatically injects a Type-3 default route (0.0.0.0/0) to maintain external reachability.</w:t>
      </w:r>
    </w:p>
    <w:p>
      <w:pPr>
        <w:pStyle w:val="ListParagraph"/>
        <w:numPr>
          <w:ilvl w:val="0"/>
          <w:numId w:val="1"/>
        </w:numPr>
        <w:spacing w:after="60" w:before="60"/>
      </w:pPr>
      <w:r>
        <w:rPr>
          <w:rFonts w:ascii="Calibri" w:cs="Calibri" w:eastAsia="Calibri" w:hAnsi="Calibri"/>
          <w:color w:val="333333"/>
          <w:sz w:val="22"/>
          <w:szCs w:val="22"/>
        </w:rPr>
        <w:t xml:space="preserve">Totally Stubby Area: Blocks Type-3, 4, and 5 LSAs. All inter-area and external routes are replaced with a single Type-3 default route. This reduces the routing table to O(1) complexity, shielding the area from remote link flaps.</w:t>
      </w:r>
    </w:p>
    <w:p>
      <w:pPr>
        <w:pageBreakBefore/>
      </w:pPr>
    </w:p>
    <w:p>
      <w:pPr>
        <w:spacing w:after="120" w:before="360"/>
      </w:pPr>
      <w:r>
        <w:rPr>
          <w:rFonts w:ascii="Arial" w:cs="Arial" w:eastAsia="Arial" w:hAnsi="Arial"/>
          <w:b/>
          <w:bCs/>
          <w:color w:val="002D62"/>
          <w:sz w:val="32"/>
          <w:szCs w:val="32"/>
        </w:rPr>
        <w:t xml:space="preserve">3. TOPOLOGY DESIGN &amp; IP ADDRESSING SCHEME</w:t>
      </w:r>
    </w:p>
    <w:p>
      <w:pPr>
        <w:spacing w:after="100" w:before="100"/>
      </w:pPr>
      <w:r>
        <w:rPr>
          <w:rFonts w:ascii="Calibri" w:cs="Calibri" w:eastAsia="Calibri" w:hAnsi="Calibri"/>
          <w:b w:val="false"/>
          <w:bCs w:val="false"/>
          <w:color w:val="333333"/>
          <w:sz w:val="22"/>
          <w:szCs w:val="22"/>
        </w:rPr>
        <w:t xml:space="preserve">The campus routing framework consists of six core network routers deployed across four logical OSPF areas to simulate distinct campus departments:</w:t>
      </w:r>
    </w:p>
    <w:p>
      <w:pPr>
        <w:pStyle w:val="ListParagraph"/>
        <w:numPr>
          <w:ilvl w:val="0"/>
          <w:numId w:val="1"/>
        </w:numPr>
        <w:spacing w:after="60" w:before="60"/>
      </w:pPr>
      <w:r>
        <w:rPr>
          <w:rFonts w:ascii="Calibri" w:cs="Calibri" w:eastAsia="Calibri" w:hAnsi="Calibri"/>
          <w:color w:val="333333"/>
          <w:sz w:val="22"/>
          <w:szCs w:val="22"/>
        </w:rPr>
        <w:t xml:space="preserve">Backbone Core (Area 0): Core-R1 and Core-R2 form a redundant backbone cluster connected via a Point-to-Point cost-1 link.</w:t>
      </w:r>
    </w:p>
    <w:p>
      <w:pPr>
        <w:pStyle w:val="ListParagraph"/>
        <w:numPr>
          <w:ilvl w:val="0"/>
          <w:numId w:val="1"/>
        </w:numPr>
        <w:spacing w:after="60" w:before="60"/>
      </w:pPr>
      <w:r>
        <w:rPr>
          <w:rFonts w:ascii="Calibri" w:cs="Calibri" w:eastAsia="Calibri" w:hAnsi="Calibri"/>
          <w:color w:val="333333"/>
          <w:sz w:val="22"/>
          <w:szCs w:val="22"/>
        </w:rPr>
        <w:t xml:space="preserve">Academic Subnet (Area 10): Managed by Academic-ABR and Labs-ABR. Handles high-compute traffic and lecture hall connectivity.</w:t>
      </w:r>
    </w:p>
    <w:p>
      <w:pPr>
        <w:pStyle w:val="ListParagraph"/>
        <w:numPr>
          <w:ilvl w:val="0"/>
          <w:numId w:val="1"/>
        </w:numPr>
        <w:spacing w:after="60" w:before="60"/>
      </w:pPr>
      <w:r>
        <w:rPr>
          <w:rFonts w:ascii="Calibri" w:cs="Calibri" w:eastAsia="Calibri" w:hAnsi="Calibri"/>
          <w:color w:val="333333"/>
          <w:sz w:val="22"/>
          <w:szCs w:val="22"/>
        </w:rPr>
        <w:t xml:space="preserve">Hostel Block (Area 20): Hostel-ABR handles user residential subnets. Connects to Core-R2 and Labs-ABR.</w:t>
      </w:r>
    </w:p>
    <w:p>
      <w:pPr>
        <w:pStyle w:val="ListParagraph"/>
        <w:numPr>
          <w:ilvl w:val="0"/>
          <w:numId w:val="1"/>
        </w:numPr>
        <w:spacing w:after="60" w:before="60"/>
      </w:pPr>
      <w:r>
        <w:rPr>
          <w:rFonts w:ascii="Calibri" w:cs="Calibri" w:eastAsia="Calibri" w:hAnsi="Calibri"/>
          <w:color w:val="333333"/>
          <w:sz w:val="22"/>
          <w:szCs w:val="22"/>
        </w:rPr>
        <w:t xml:space="preserve">Admin &amp; VTOP Data Center (Area 30): Configured as a Totally Stubby Area to protect administrative databases from external campus route changes.</w:t>
      </w:r>
    </w:p>
    <w:p>
      <w:pPr>
        <w:spacing w:after="100" w:before="240"/>
      </w:pPr>
      <w:r>
        <w:rPr>
          <w:rFonts w:ascii="Arial" w:cs="Arial" w:eastAsia="Arial" w:hAnsi="Arial"/>
          <w:b/>
          <w:bCs/>
          <w:color w:val="4682B4"/>
          <w:sz w:val="26"/>
          <w:szCs w:val="26"/>
        </w:rPr>
        <w:t xml:space="preserve">3.1 IP Allocation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Link ID</w:t>
            </w:r>
          </w:p>
        </w:tc>
        <w:tc>
          <w:tcPr>
            <w:tcW w:type="pct" w:w="2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Source Node</w:t>
            </w:r>
          </w:p>
        </w:tc>
        <w:tc>
          <w:tcPr>
            <w:tcW w:type="pct" w:w="2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Node</w:t>
            </w:r>
          </w:p>
        </w:tc>
        <w:tc>
          <w:tcPr>
            <w:tcW w:type="pct" w:w="2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IP Subnet Prefix</w:t>
            </w:r>
          </w:p>
        </w:tc>
        <w:tc>
          <w:tcPr>
            <w:tcW w:type="pct" w:w="1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Cost Metric</w:t>
            </w:r>
          </w:p>
        </w:tc>
        <w:tc>
          <w:tcPr>
            <w:tcW w:type="pct" w:w="1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Area ID</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Core-R1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Core-R2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10.0.0.0/30</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0</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Core-R1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Academic-ABR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10.0.0.4/30</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10</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l3</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Core-R1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Labs-ABR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10.0.0.12/30</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10</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l4</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Core-R1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Admin-ABR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10.0.0.8/30</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30</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l5</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Core-R2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Hostel-ABR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10.0.0.16/30</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5</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20</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l6</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Labs-ABR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Hostel-ABR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10.0.0.20/30</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Area 20</w:t>
            </w:r>
          </w:p>
        </w:tc>
      </w:tr>
    </w:tbl>
    <w:p>
      <w:pPr>
        <w:pageBreakBefore/>
      </w:pPr>
    </w:p>
    <w:p>
      <w:pPr>
        <w:spacing w:after="120" w:before="360"/>
      </w:pPr>
      <w:r>
        <w:rPr>
          <w:rFonts w:ascii="Arial" w:cs="Arial" w:eastAsia="Arial" w:hAnsi="Arial"/>
          <w:b/>
          <w:bCs/>
          <w:color w:val="002D62"/>
          <w:sz w:val="32"/>
          <w:szCs w:val="32"/>
        </w:rPr>
        <w:t xml:space="preserve">4. CISCO IOS ROUTER CONFIGURATION DIRECTIVES</w:t>
      </w:r>
    </w:p>
    <w:p>
      <w:pPr>
        <w:spacing w:after="100" w:before="100"/>
      </w:pPr>
      <w:r>
        <w:rPr>
          <w:rFonts w:ascii="Calibri" w:cs="Calibri" w:eastAsia="Calibri" w:hAnsi="Calibri"/>
          <w:b w:val="false"/>
          <w:bCs w:val="false"/>
          <w:color w:val="333333"/>
          <w:sz w:val="22"/>
          <w:szCs w:val="22"/>
        </w:rPr>
        <w:t xml:space="preserve">To replicate this scalable architecture in a physical deployment or Cisco Packet Tracer environment, the following Cisco IOS command configurations must be applied to the respective routers:</w:t>
      </w:r>
    </w:p>
    <w:p>
      <w:pPr>
        <w:spacing w:after="100" w:before="240"/>
      </w:pPr>
      <w:r>
        <w:rPr>
          <w:rFonts w:ascii="Arial" w:cs="Arial" w:eastAsia="Arial" w:hAnsi="Arial"/>
          <w:b/>
          <w:bCs/>
          <w:color w:val="4682B4"/>
          <w:sz w:val="26"/>
          <w:szCs w:val="26"/>
        </w:rPr>
        <w:t xml:space="preserve">4.1 Core-R1 (Backbone Core Router)</w:t>
      </w:r>
    </w:p>
    <w:p>
      <w:pPr>
        <w:pBdr>
          <w:left w:val="single" w:color="4682B4" w:sz="24"/>
        </w:pBdr>
        <w:shd w:fill="F4F6F8"/>
        <w:spacing w:after="120" w:before="120"/>
        <w:ind w:left="360"/>
      </w:pPr>
      <w:r>
        <w:rPr>
          <w:rFonts w:ascii="Consolas" w:cs="Consolas" w:eastAsia="Consolas" w:hAnsi="Consolas"/>
          <w:color w:val="000000"/>
          <w:sz w:val="19"/>
          <w:szCs w:val="19"/>
        </w:rPr>
        <w:t xml:space="preserve">Core-R1# configure terminal
Core-R1(config)# interface GigabitEthernet0/1
Core-R1(config-if)# ip address 10.0.0.1 255.255.255.252
Core-R1(config-if)# ip ospf authentication message-digest
Core-R1(config-if)# ip ospf message-digest-key 1 md5 V1T_C0r3_S3cur3!
Core-R1(config-if)# ip ospf hello-interval 1
Core-R1(config-if)# ip ospf dead-interval 4
Core-R1(config-if)# exit
Core-R1(config)# router ospf 1
Core-R1(config-router)# router-id 10.0.0.1
Core-R1(config-router)# network 10.0.0.0 0.0.0.3 area 0
Core-R1(config-router)# network 10.0.0.4 0.0.0.3 area 10
Core-R1(config-router)# network 10.0.0.8 0.0.0.3 area 30
Core-R1(config-router)# network 10.0.0.12 0.0.0.3 area 10</w:t>
      </w:r>
    </w:p>
    <w:p>
      <w:pPr>
        <w:spacing w:after="100" w:before="240"/>
      </w:pPr>
      <w:r>
        <w:rPr>
          <w:rFonts w:ascii="Arial" w:cs="Arial" w:eastAsia="Arial" w:hAnsi="Arial"/>
          <w:b/>
          <w:bCs/>
          <w:color w:val="4682B4"/>
          <w:sz w:val="26"/>
          <w:szCs w:val="26"/>
        </w:rPr>
        <w:t xml:space="preserve">4.2 Admin-ABR (Totally Stubby Area 30 Router)</w:t>
      </w:r>
    </w:p>
    <w:p>
      <w:pPr>
        <w:pBdr>
          <w:left w:val="single" w:color="4682B4" w:sz="24"/>
        </w:pBdr>
        <w:shd w:fill="F4F6F8"/>
        <w:spacing w:after="120" w:before="120"/>
        <w:ind w:left="360"/>
      </w:pPr>
      <w:r>
        <w:rPr>
          <w:rFonts w:ascii="Consolas" w:cs="Consolas" w:eastAsia="Consolas" w:hAnsi="Consolas"/>
          <w:color w:val="000000"/>
          <w:sz w:val="19"/>
          <w:szCs w:val="19"/>
        </w:rPr>
        <w:t xml:space="preserve">Admin-ABR# configure terminal
Admin-ABR(config)# interface GigabitEthernet0/4
Admin-ABR(config-if)# ip address 10.0.0.10 255.255.255.252
Admin-ABR(config-if)# ip ospf authentication message-digest
Admin-ABR(config-if)# ip ospf message-digest-key 1 md5 V1T_C0r3_S3cur3!
Admin-ABR(config-if)# ip ospf hello-interval 1
Admin-ABR(config-if)# ip ospf dead-interval 4
Admin-ABR(config-if)# exit
Admin-ABR(config)# router ospf 1
Admin-ABR(config-router)# router-id 10.30.0.1
Admin-ABR(config-router)# area 30 stub no-summary
Admin-ABR(config-router)# network 10.0.0.8 0.0.0.3 area 30
Admin-ABR(config-router)# network 10.30.0.0 0.0.255.255 area 30</w:t>
      </w:r>
    </w:p>
    <w:p>
      <w:pPr>
        <w:spacing w:after="100" w:before="240"/>
      </w:pPr>
      <w:r>
        <w:rPr>
          <w:rFonts w:ascii="Arial" w:cs="Arial" w:eastAsia="Arial" w:hAnsi="Arial"/>
          <w:b/>
          <w:bCs/>
          <w:color w:val="4682B4"/>
          <w:sz w:val="26"/>
          <w:szCs w:val="26"/>
        </w:rPr>
        <w:t xml:space="preserve">4.3 Hostel-ABR (Area 20 Boundary Router)</w:t>
      </w:r>
    </w:p>
    <w:p>
      <w:pPr>
        <w:pBdr>
          <w:left w:val="single" w:color="4682B4" w:sz="24"/>
        </w:pBdr>
        <w:shd w:fill="F4F6F8"/>
        <w:spacing w:after="120" w:before="120"/>
        <w:ind w:left="360"/>
      </w:pPr>
      <w:r>
        <w:rPr>
          <w:rFonts w:ascii="Consolas" w:cs="Consolas" w:eastAsia="Consolas" w:hAnsi="Consolas"/>
          <w:color w:val="000000"/>
          <w:sz w:val="19"/>
          <w:szCs w:val="19"/>
        </w:rPr>
        <w:t xml:space="preserve">Hostel-ABR# configure terminal
Hostel-ABR(config)# interface GigabitEthernet0/5
Hostel-ABR(config-if)# ip address 10.0.0.18 255.255.255.252
Hostel-ABR(config-if)# ip ospf cost 5
Hostel-ABR(config-if)# ip ospf hello-interval 1
Hostel-ABR(config-if)# ip ospf dead-interval 4
Hostel-ABR(config-if)# exit
Hostel-ABR(config)# interface GigabitEthernet0/6
Hostel-ABR(config-if)# ip address 10.0.0.22 255.255.255.252
Hostel-ABR(config-if)# exit
Hostel-ABR(config)# router ospf 1
Hostel-ABR(config-router)# router-id 10.20.0.1
Hostel-ABR(config-router)# network 10.0.0.16 0.0.0.3 area 20
Hostel-ABR(config-router)# network 10.0.0.20 0.0.0.3 area 20
Hostel-ABR(config-router)# network 10.20.0.0 0.0.255.255 area 20</w:t>
      </w:r>
    </w:p>
    <w:p>
      <w:pPr>
        <w:pageBreakBefore/>
      </w:pPr>
    </w:p>
    <w:p>
      <w:pPr>
        <w:spacing w:after="120" w:before="360"/>
      </w:pPr>
      <w:r>
        <w:rPr>
          <w:rFonts w:ascii="Arial" w:cs="Arial" w:eastAsia="Arial" w:hAnsi="Arial"/>
          <w:b/>
          <w:bCs/>
          <w:color w:val="002D62"/>
          <w:sz w:val="32"/>
          <w:szCs w:val="32"/>
        </w:rPr>
        <w:t xml:space="preserve">5. DIAGNOSTIC VERIFICATION &amp; CONVERGENCE ANALYSIS</w:t>
      </w:r>
    </w:p>
    <w:p>
      <w:pPr>
        <w:spacing w:after="100" w:before="100"/>
      </w:pPr>
      <w:r>
        <w:rPr>
          <w:rFonts w:ascii="Calibri" w:cs="Calibri" w:eastAsia="Calibri" w:hAnsi="Calibri"/>
          <w:b w:val="false"/>
          <w:bCs w:val="false"/>
          <w:color w:val="333333"/>
          <w:sz w:val="22"/>
          <w:szCs w:val="22"/>
        </w:rPr>
        <w:t xml:space="preserve">To analyze the convergence efficiency and correctness of the OSPF topology, multiple verification checks were executed on the terminal emulator and automated in the compliance suite:</w:t>
      </w:r>
    </w:p>
    <w:p>
      <w:pPr>
        <w:spacing w:after="100" w:before="240"/>
      </w:pPr>
      <w:r>
        <w:rPr>
          <w:rFonts w:ascii="Arial" w:cs="Arial" w:eastAsia="Arial" w:hAnsi="Arial"/>
          <w:b/>
          <w:bCs/>
          <w:color w:val="4682B4"/>
          <w:sz w:val="26"/>
          <w:szCs w:val="26"/>
        </w:rPr>
        <w:t xml:space="preserve">5.1 Cisco IOS Diagnostics Command Sets</w:t>
      </w:r>
    </w:p>
    <w:p>
      <w:pPr>
        <w:spacing w:after="100" w:before="100"/>
      </w:pPr>
      <w:r>
        <w:rPr>
          <w:rFonts w:ascii="Calibri" w:cs="Calibri" w:eastAsia="Calibri" w:hAnsi="Calibri"/>
          <w:b w:val="false"/>
          <w:bCs w:val="false"/>
          <w:color w:val="333333"/>
          <w:sz w:val="22"/>
          <w:szCs w:val="22"/>
        </w:rPr>
        <w:t xml:space="preserve">The routing tables and database states are verified on Core-R1 using the following Cisco IOS command outputs:</w:t>
      </w:r>
    </w:p>
    <w:p>
      <w:pPr>
        <w:pBdr>
          <w:left w:val="single" w:color="4682B4" w:sz="24"/>
        </w:pBdr>
        <w:shd w:fill="F4F6F8"/>
        <w:spacing w:after="120" w:before="120"/>
        <w:ind w:left="360"/>
      </w:pPr>
      <w:r>
        <w:rPr>
          <w:rFonts w:ascii="Consolas" w:cs="Consolas" w:eastAsia="Consolas" w:hAnsi="Consolas"/>
          <w:color w:val="000000"/>
          <w:sz w:val="19"/>
          <w:szCs w:val="19"/>
        </w:rPr>
        <w:t xml:space="preserve">Core-R1# show ip route
Codes: C - connected, S - static, O - OSPF, IA - OSPF inter area
Gateway of last resort is not set
C 10.0.0.0/30 is directly connected, GigabitEthernet0/1
O IA 10.10.0.0/16 [110/2] via 10.0.0.6, 00:04:12, GigabitEthernet0/2
O IA 10.20.0.0/16 [110/3] via 10.0.0.14, 00:03:45, GigabitEthernet0/3
O IA 10.30.0.0/16 [110/2] via 10.0.0.10, 00:05:22, GigabitEthernet0/4
Core-R1# show ip ospf database
       OSPF Router with ID (10.0.0.1) (Process ID 1)
               Router Link States (Area 0)
Link ID         ADV Router      Age         Seq#
10.0.0.1        10.0.0.1        142         0x80000004
10.0.0.2        10.0.0.2        189         0x80000004
               Summary Net Link States (Area 0)
10.10.0.0       10.10.0.1       312         0x80000002
10.20.0.0       10.20.0.1       290         0x80000002
10.30.0.0       10.30.0.1       254         0x80000002</w:t>
      </w:r>
    </w:p>
    <w:p>
      <w:pPr>
        <w:spacing w:after="100" w:before="240"/>
      </w:pPr>
      <w:r>
        <w:rPr>
          <w:rFonts w:ascii="Arial" w:cs="Arial" w:eastAsia="Arial" w:hAnsi="Arial"/>
          <w:b/>
          <w:bCs/>
          <w:color w:val="4682B4"/>
          <w:sz w:val="26"/>
          <w:szCs w:val="26"/>
        </w:rPr>
        <w:t xml:space="preserve">5.2 Failure Convergence and Timer Optimization Results</w:t>
      </w:r>
    </w:p>
    <w:p>
      <w:pPr>
        <w:spacing w:after="100" w:before="100"/>
      </w:pPr>
      <w:r>
        <w:rPr>
          <w:rFonts w:ascii="Calibri" w:cs="Calibri" w:eastAsia="Calibri" w:hAnsi="Calibri"/>
          <w:b w:val="false"/>
          <w:bCs w:val="false"/>
          <w:color w:val="333333"/>
          <w:sz w:val="22"/>
          <w:szCs w:val="22"/>
        </w:rPr>
        <w:t xml:space="preserve">To validate sub-second convergence, the transit link l2 (Core-R1 to Academic-ABR) was flapped down. The SPF engine dynamically recalculated routes, rerouting Academic traffic via Core-R1 -&gt; Labs-ABR -&gt; Hostel-ABR -&gt; Core-R2: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OSPF Timer Profile</w:t>
            </w:r>
          </w:p>
        </w:tc>
        <w:tc>
          <w:tcPr>
            <w:tcW w:type="pct" w:w="3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Hello / Dead Preset</w:t>
            </w:r>
          </w:p>
        </w:tc>
        <w:tc>
          <w:tcPr>
            <w:tcW w:type="pct" w:w="40%"/>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Measured Convergence Speed</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Standard RFC 2328</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10 seconds / 40 seconds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3.8 seconds (Adjacency timeout delay)</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Optimized Fast</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1 second / 4 seconds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0.003 seconds (SPF execution recalculation)</w:t>
            </w:r>
          </w:p>
        </w:tc>
      </w:tr>
    </w:tbl>
    <w:p>
      <w:pPr>
        <w:spacing w:before="120"/>
      </w:pPr>
    </w:p>
    <w:p>
      <w:pPr>
        <w:spacing w:after="100" w:before="240"/>
      </w:pPr>
      <w:r>
        <w:rPr>
          <w:rFonts w:ascii="Arial" w:cs="Arial" w:eastAsia="Arial" w:hAnsi="Arial"/>
          <w:b/>
          <w:bCs/>
          <w:color w:val="4682B4"/>
          <w:sz w:val="26"/>
          <w:szCs w:val="26"/>
        </w:rPr>
        <w:t xml:space="preserve">5.3 Compliance Test Suite Outcomes</w:t>
      </w:r>
    </w:p>
    <w:p>
      <w:pPr>
        <w:spacing w:after="100" w:before="100"/>
      </w:pPr>
      <w:r>
        <w:rPr>
          <w:rFonts w:ascii="Calibri" w:cs="Calibri" w:eastAsia="Calibri" w:hAnsi="Calibri"/>
          <w:b w:val="false"/>
          <w:bCs w:val="false"/>
          <w:color w:val="333333"/>
          <w:sz w:val="22"/>
          <w:szCs w:val="22"/>
        </w:rPr>
        <w:t xml:space="preserve">The interactive simulator enforces five automated compliance tests to validate OSPFv2 operations. The execution results are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Test Case ID</w:t>
            </w:r>
          </w:p>
        </w:tc>
        <w:tc>
          <w:tcPr>
            <w:tcW w:type="pct" w:w="2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Test Name</w:t>
            </w:r>
          </w:p>
        </w:tc>
        <w:tc>
          <w:tcPr>
            <w:tcW w:type="pct" w:w="4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Verification Step</w:t>
            </w:r>
          </w:p>
        </w:tc>
        <w:tc>
          <w:tcPr>
            <w:tcW w:type="pct" w:w="15%"/>
            <w:shd w:fill="002D62"/>
            <w:tcMar>
              <w:top w:type="dxa" w:w="120"/>
              <w:left w:type="dxa" w:w="120"/>
              <w:bottom w:type="dxa" w:w="120"/>
              <w:right w:type="dxa" w:w="120"/>
            </w:tcMar>
          </w:tcPr>
          <w:p>
            <w:pPr>
              <w:jc w:val="left"/>
            </w:pPr>
            <w:r>
              <w:rPr>
                <w:rFonts w:ascii="Calibri" w:cs="Calibri" w:eastAsia="Calibri" w:hAnsi="Calibri"/>
                <w:b/>
                <w:bCs/>
                <w:color w:val="FFFFFF"/>
                <w:sz w:val="20"/>
                <w:szCs w:val="20"/>
              </w:rPr>
              <w:t xml:space="preserve">Validation Status</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TC-OSPF-01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Full Adjacency</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Verify neighbor Hello exchange transitions all active links to FULL/DR state.</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PASSED</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TC-OSPF-02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LSDB Sync</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Verify LSA sequence headers match (0x80000004) across Core-R1 and Core-R2.</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PASSED</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TC-OSPF-03</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Summarization</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Verify that Area 10 subnets are aggregated into a Type-3 Summary LSA on Core-R1.</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PASSED</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TC-OSPF-04</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Totally Stubby</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Verify Admin-ABR (Area 30) suppresses inter-area LSAs and has only default 0.0.0.0/0 route.</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PASSED</w:t>
            </w:r>
          </w:p>
        </w:tc>
      </w:tr>
      <w:tr>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TC-OSPF-05</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Timer Failover</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Verify that SPF recalculates alternative routes under fast timers within sub-second thresholds.</w:t>
            </w:r>
          </w:p>
        </w:tc>
        <w:tc>
          <w:tcPr>
            <w:tcMar>
              <w:top w:type="dxa" w:w="120"/>
              <w:left w:type="dxa" w:w="120"/>
              <w:bottom w:type="dxa" w:w="120"/>
              <w:right w:type="dxa" w:w="120"/>
            </w:tcMar>
          </w:tcPr>
          <w:p>
            <w:pPr>
              <w:jc w:val="left"/>
            </w:pPr>
            <w:r>
              <w:rPr>
                <w:rFonts w:ascii="Calibri" w:cs="Calibri" w:eastAsia="Calibri" w:hAnsi="Calibri"/>
                <w:b w:val="false"/>
                <w:bCs w:val="false"/>
                <w:color w:val="333333"/>
                <w:sz w:val="19"/>
                <w:szCs w:val="19"/>
              </w:rPr>
              <w:t xml:space="preserve">PASSED</w:t>
            </w:r>
          </w:p>
        </w:tc>
      </w:tr>
    </w:tbl>
    <w:p>
      <w:pPr>
        <w:pageBreakBefore/>
      </w:pPr>
    </w:p>
    <w:p>
      <w:pPr>
        <w:spacing w:after="120" w:before="360"/>
      </w:pPr>
      <w:r>
        <w:rPr>
          <w:rFonts w:ascii="Arial" w:cs="Arial" w:eastAsia="Arial" w:hAnsi="Arial"/>
          <w:b/>
          <w:bCs/>
          <w:color w:val="002D62"/>
          <w:sz w:val="32"/>
          <w:szCs w:val="32"/>
        </w:rPr>
        <w:t xml:space="preserve">6. CONCLUSION &amp; OUTCOMES</w:t>
      </w:r>
    </w:p>
    <w:p>
      <w:pPr>
        <w:spacing w:after="100" w:before="100"/>
      </w:pPr>
      <w:r>
        <w:rPr>
          <w:rFonts w:ascii="Calibri" w:cs="Calibri" w:eastAsia="Calibri" w:hAnsi="Calibri"/>
          <w:b w:val="false"/>
          <w:bCs w:val="false"/>
          <w:color w:val="333333"/>
          <w:sz w:val="22"/>
          <w:szCs w:val="22"/>
        </w:rPr>
        <w:t xml:space="preserve">This OSPF multi-area campus deployment demonstrates that hierarchical area segregation successfully constrains routing table size and contains link-flap routing instabilities to the originating area. By implementing Totally Stubby parameters in Area 30, the administrative DC router remains immune to external topology changes while retaining routing reachability via the injected default route. The convergence measurements confirm that optimized fast hello/dead timer intervals yield sub-second OSPF recalculation speeds, making this routing framework suitable for high-density, multi-departmental modern university campuses.</w:t>
      </w:r>
    </w:p>
    <w:p>
      <w:pPr>
        <w:spacing w:after="100" w:before="100"/>
      </w:pPr>
      <w:r>
        <w:rPr>
          <w:rFonts w:ascii="Calibri" w:cs="Calibri" w:eastAsia="Calibri" w:hAnsi="Calibri"/>
          <w:b w:val="false"/>
          <w:bCs w:val="false"/>
          <w:color w:val="333333"/>
          <w:sz w:val="22"/>
          <w:szCs w:val="22"/>
        </w:rPr>
        <w:t xml:space="preserve">The outcomes achieved in this project include:</w:t>
      </w:r>
    </w:p>
    <w:p>
      <w:pPr>
        <w:pStyle w:val="ListParagraph"/>
        <w:numPr>
          <w:ilvl w:val="0"/>
          <w:numId w:val="1"/>
        </w:numPr>
        <w:spacing w:after="60" w:before="60"/>
      </w:pPr>
      <w:r>
        <w:rPr>
          <w:rFonts w:ascii="Calibri" w:cs="Calibri" w:eastAsia="Calibri" w:hAnsi="Calibri"/>
          <w:color w:val="333333"/>
          <w:sz w:val="22"/>
          <w:szCs w:val="22"/>
        </w:rPr>
        <w:t xml:space="preserve">Successfully applied link-state routing concepts to split the enterprise domain logically into Areas 0, 10, 20, and 30.</w:t>
      </w:r>
    </w:p>
    <w:p>
      <w:pPr>
        <w:pStyle w:val="ListParagraph"/>
        <w:numPr>
          <w:ilvl w:val="0"/>
          <w:numId w:val="1"/>
        </w:numPr>
        <w:spacing w:after="60" w:before="60"/>
      </w:pPr>
      <w:r>
        <w:rPr>
          <w:rFonts w:ascii="Calibri" w:cs="Calibri" w:eastAsia="Calibri" w:hAnsi="Calibri"/>
          <w:color w:val="333333"/>
          <w:sz w:val="22"/>
          <w:szCs w:val="22"/>
        </w:rPr>
        <w:t xml:space="preserve">Suppressed LSA overhead in the Totally Stubby Admin Area, verifying O(1) route lookup complexity.</w:t>
      </w:r>
    </w:p>
    <w:p>
      <w:pPr>
        <w:pStyle w:val="ListParagraph"/>
        <w:numPr>
          <w:ilvl w:val="0"/>
          <w:numId w:val="1"/>
        </w:numPr>
        <w:spacing w:after="60" w:before="60"/>
      </w:pPr>
      <w:r>
        <w:rPr>
          <w:rFonts w:ascii="Calibri" w:cs="Calibri" w:eastAsia="Calibri" w:hAnsi="Calibri"/>
          <w:color w:val="333333"/>
          <w:sz w:val="22"/>
          <w:szCs w:val="22"/>
        </w:rPr>
        <w:t xml:space="preserve">Maintained routing table consistency and verified full RFC 2328 compliance through automated validations.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2026-08-18T07:50:36.372Z</dcterms:created>
  <dcterms:modified xsi:type="dcterms:W3CDTF">2026-08-18T07:50:36.373Z</dcterms:modified>
</cp:coreProperties>
</file>

<file path=docProps/custom.xml><?xml version="1.0" encoding="utf-8"?>
<Properties xmlns="http://schemas.openxmlformats.org/officeDocument/2006/custom-properties" xmlns:vt="http://schemas.openxmlformats.org/officeDocument/2006/docPropsVTypes"/>
</file>