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network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ubsection"/>
        <w:keepNext/>
        <w:spacing w:before="190" w:after="70"/>
      </w:pPr>
      <w:r/>
      <w:r>
        <w:rPr>
          <w:rFonts w:ascii="Lato" w:hAnsi="Lato"/>
          <w:b/>
          <w:color w:val="0E6C78"/>
          <w:sz w:val="22"/>
        </w:rPr>
        <w:t>4.4 Central Administration Totally Stubby Router (Admin-ABR -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Admin-ABR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Gandhi Block Administration, Finance &amp; Exam Server Subnet</w:t>
              <w:br/>
            </w:r>
            <w:r>
              <w:rPr>
                <w:rFonts w:ascii="Consolas" w:hAnsi="Consolas"/>
                <w:color w:val="22272E"/>
                <w:sz w:val="15"/>
              </w:rPr>
              <w:t xml:space="preserve"> ip address 10.30.0.1 255.255.0.0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10G Secure Armored Optical Trunk l5 to CTS-Core1 (Area 0)</w:t>
              <w:br/>
            </w:r>
            <w:r>
              <w:rPr>
                <w:rFonts w:ascii="Consolas" w:hAnsi="Consolas"/>
                <w:color w:val="22272E"/>
                <w:sz w:val="15"/>
              </w:rPr>
              <w:t xml:space="preserve"> ip address 10.0.0.22 255.255.255.252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10.30.0.1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30 stub no-summary</w:t>
              <w:br/>
            </w:r>
            <w:r>
              <w:rPr>
                <w:rFonts w:ascii="Consolas" w:hAnsi="Consolas"/>
                <w:color w:val="22272E"/>
                <w:sz w:val="15"/>
              </w:rPr>
              <w:t xml:space="preserve"> network 10.0.0.20 0.0.0.3 area 0</w:t>
              <w:br/>
            </w:r>
            <w:r>
              <w:rPr>
                <w:rFonts w:ascii="Consolas" w:hAnsi="Consolas"/>
                <w:color w:val="22272E"/>
                <w:sz w:val="15"/>
              </w:rPr>
              <w:t xml:space="preserve"> network 10.30.0.0 0.0.255.255 area 30</w:t>
            </w:r>
          </w:p>
        </w:tc>
      </w:tr>
    </w:tbl>
    <w:p>
      <w:pPr>
        <w:pStyle w:val="ReportSubsection"/>
        <w:keepNext/>
        <w:spacing w:before="190" w:after="70"/>
      </w:pPr>
      <w:r/>
      <w:r>
        <w:rPr>
          <w:rFonts w:ascii="Lato" w:hAnsi="Lato"/>
          <w:b/>
          <w:color w:val="0E6C78"/>
          <w:sz w:val="22"/>
        </w:rPr>
        <w:t>4.5 Research &amp; Innovation NSSA Router (PRP-ABR - Area 40)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PRP-ABR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Pearl Research Park Supercomputing &amp; AI Lab Subnet</w:t>
              <w:br/>
            </w:r>
            <w:r>
              <w:rPr>
                <w:rFonts w:ascii="Consolas" w:hAnsi="Consolas"/>
                <w:color w:val="22272E"/>
                <w:sz w:val="15"/>
              </w:rPr>
              <w:t xml:space="preserve"> ip address 10.40.0.1 255.255.0.0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100G Research Optical Trunk l6 to CTS-Core1 (Area 0 Backbone)</w:t>
              <w:br/>
            </w:r>
            <w:r>
              <w:rPr>
                <w:rFonts w:ascii="Consolas" w:hAnsi="Consolas"/>
                <w:color w:val="22272E"/>
                <w:sz w:val="15"/>
              </w:rPr>
              <w:t xml:space="preserve"> ip address 10.0.0.26 255.255.255.252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10.40.0.1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40 nssa</w:t>
              <w:br/>
            </w:r>
            <w:r>
              <w:rPr>
                <w:rFonts w:ascii="Consolas" w:hAnsi="Consolas"/>
                <w:color w:val="22272E"/>
                <w:sz w:val="15"/>
              </w:rPr>
              <w:t xml:space="preserve"> area 40 range 10.40.0.0 255.255.0.0</w:t>
              <w:br/>
            </w:r>
            <w:r>
              <w:rPr>
                <w:rFonts w:ascii="Consolas" w:hAnsi="Consolas"/>
                <w:color w:val="22272E"/>
                <w:sz w:val="15"/>
              </w:rPr>
              <w:t xml:space="preserve"> network 10.0.0.24 0.0.0.3 area 0</w:t>
              <w:br/>
            </w:r>
            <w:r>
              <w:rPr>
                <w:rFonts w:ascii="Consolas" w:hAnsi="Consolas"/>
                <w:color w:val="22272E"/>
                <w:sz w:val="15"/>
              </w:rPr>
              <w:t xml:space="preserve"> network 10.40.0.0 0.0.255.255 area 40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Total Convergence Formula:</w:t>
              <w:br/>
            </w:r>
            <w:r>
              <w:rPr>
                <w:rFonts w:ascii="Consolas" w:hAnsi="Consolas"/>
                <w:b/>
                <w:color w:val="123A5A"/>
                <w:sz w:val="15"/>
              </w:rPr>
              <w:t xml:space="preserve">  T_convergence = T_detect + T_lsu_prop + T_spf_calc + T_fib_update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T_detect    : Loss of light &amp; BFD hardware echo detection  = 1.00 ms</w:t>
              <w:br/>
            </w:r>
            <w:r>
              <w:rPr>
                <w:rFonts w:ascii="Consolas" w:hAnsi="Consolas"/>
                <w:color w:val="22272E"/>
                <w:sz w:val="15"/>
              </w:rPr>
              <w:t xml:space="preserve">  T_lsu_prop  : Type-1 Router LSA flood propagation         = 0.12 ms</w:t>
              <w:br/>
            </w:r>
            <w:r>
              <w:rPr>
                <w:rFonts w:ascii="Consolas" w:hAnsi="Consolas"/>
                <w:color w:val="22272E"/>
                <w:sz w:val="15"/>
              </w:rPr>
              <w:t xml:space="preserve">  T_spf_calc  : Dijkstra SPT execution on Area 10 graph     = 0.42 ms</w:t>
              <w:br/>
            </w:r>
            <w:r>
              <w:rPr>
                <w:rFonts w:ascii="Consolas" w:hAnsi="Consolas"/>
                <w:color w:val="22272E"/>
                <w:sz w:val="15"/>
              </w:rPr>
              <w:t xml:space="preserve">  T_fib_update: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interactive network simulation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showcase_3d_campus.jpg"/>
                    <pic:cNvPicPr/>
                  </pic:nvPicPr>
                  <pic:blipFill>
                    <a:blip r:embed="rId28"/>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Topology Visualization of the 372-Acre VIT Vellore Campus.</w:t>
      </w:r>
    </w:p>
    <w:p>
      <w:pPr>
        <w:pStyle w:val="ReportSection"/>
        <w:keepNext/>
        <w:pageBreakBefore/>
        <w:spacing w:before="280" w:after="90"/>
      </w:pPr>
      <w:r/>
      <w:r>
        <w:rPr>
          <w:rFonts w:ascii="Lato" w:hAnsi="Lato"/>
          <w:b/>
          <w:color w:val="0D2B45"/>
          <w:sz w:val="27"/>
        </w:rPr>
        <w:t>11. Enterprise Scalability &amp; Real-World Campus Roadmap</w:t>
      </w:r>
    </w:p>
    <w:p>
      <w:pPr>
        <w:spacing w:before="30" w:after="90" w:line="264" w:lineRule="auto"/>
        <w:jc w:val="both"/>
      </w:pPr>
      <w:r/>
      <w:r>
        <w:rPr>
          <w:rFonts w:ascii="Caladea" w:hAnsi="Caladea"/>
          <w:color w:val="22272E"/>
          <w:sz w:val="20"/>
        </w:rPr>
        <w:t>To future-proof the campus backbone for next-generation workloads over the next decade, three architectural evolutions are detailed:</w:t>
      </w:r>
    </w:p>
    <w:p>
      <w:pPr>
        <w:pStyle w:val="ListBullet"/>
        <w:spacing w:before="20" w:after="60" w:line="254" w:lineRule="auto"/>
        <w:jc w:val="left"/>
      </w:pPr>
      <w:r/>
      <w:r>
        <w:rPr>
          <w:rFonts w:ascii="Lato" w:hAnsi="Lato"/>
          <w:b/>
          <w:color w:val="123A5A"/>
          <w:sz w:val="18"/>
        </w:rPr>
        <w:t xml:space="preserve">1. IPv6 OSPFv3 Dual-Stack Migration: </w:t>
      </w:r>
      <w:r>
        <w:rPr>
          <w:rFonts w:ascii="Caladea" w:hAnsi="Caladea"/>
          <w:color w:val="22272E"/>
          <w:sz w:val="19"/>
        </w:rPr>
        <w:t>Migrating to OSPFv3 (RFC 5340) enables native dual-stack IPv4/IPv6 routing without changing the physical topology. OSPFv3 runs on a per-link basis rather than per-subnet, allowing seamless 128-bit IPv6 addressing across all academic smart labs.</w:t>
      </w:r>
    </w:p>
    <w:p>
      <w:pPr>
        <w:pStyle w:val="ListBullet"/>
        <w:spacing w:before="20" w:after="60" w:line="254" w:lineRule="auto"/>
        <w:jc w:val="left"/>
      </w:pPr>
      <w:r/>
      <w:r>
        <w:rPr>
          <w:rFonts w:ascii="Lato" w:hAnsi="Lato"/>
          <w:b/>
          <w:color w:val="123A5A"/>
          <w:sz w:val="18"/>
        </w:rPr>
        <w:t xml:space="preserve">2. 400 Gbps Core Optical Spine Upgrade: </w:t>
      </w:r>
      <w:r>
        <w:rPr>
          <w:rFonts w:ascii="Caladea" w:hAnsi="Caladea"/>
          <w:color w:val="22272E"/>
          <w:sz w:val="19"/>
        </w:rPr>
        <w:t>Replacing current 100G QSFP28 optical modules with 400G QSFP-DD optics on the CTS-Core spine multiplies backbone throughput fourfold to accommodate AI training clusters in Pearl Research Park without altering OSPF area boundaries.</w:t>
      </w:r>
    </w:p>
    <w:p>
      <w:pPr>
        <w:pStyle w:val="ListBullet"/>
        <w:spacing w:before="20" w:after="60" w:line="254" w:lineRule="auto"/>
        <w:jc w:val="left"/>
      </w:pPr>
      <w:r/>
      <w:r>
        <w:rPr>
          <w:rFonts w:ascii="Lato" w:hAnsi="Lato"/>
          <w:b/>
          <w:color w:val="123A5A"/>
          <w:sz w:val="18"/>
        </w:rPr>
        <w:t xml:space="preserve">3. SDN &amp; Network Programmability Integration: </w:t>
      </w:r>
      <w:r>
        <w:rPr>
          <w:rFonts w:ascii="Caladea" w:hAnsi="Caladea"/>
          <w:color w:val="22272E"/>
          <w:sz w:val="19"/>
        </w:rPr>
        <w:t>Deploying an OpenFlow/P4 SDN overlay controller atop the deterministic OSPF underlay enables programmatic traffic steering, intent-based routing, and zero-trust microsegmentation between hostel Wi-Fi and financial databases.</w:t>
      </w:r>
    </w:p>
    <w:p>
      <w:pPr>
        <w:pStyle w:val="ReportSection"/>
        <w:keepNext/>
        <w:spacing w:before="280" w:after="90"/>
      </w:pPr>
      <w:r/>
      <w:r>
        <w:rPr>
          <w:rFonts w:ascii="Lato" w:hAnsi="Lato"/>
          <w:b/>
          <w:color w:val="0D2B45"/>
          <w:sz w:val="27"/>
        </w:rPr>
        <w:t>12.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network simulator,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Web Platform</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p>
      <w:pPr>
        <w:pStyle w:val="ReportSection"/>
        <w:keepNext/>
        <w:spacing w:before="280" w:after="90"/>
      </w:pPr>
      <w:r/>
      <w:r>
        <w:rPr>
          <w:rFonts w:ascii="Lato" w:hAnsi="Lato"/>
          <w:b/>
          <w:color w:val="0D2B45"/>
          <w:sz w:val="27"/>
        </w:rPr>
        <w:t>Summary</w:t>
      </w:r>
    </w:p>
    <w:p>
      <w:pPr>
        <w:spacing w:before="30" w:after="90" w:line="264" w:lineRule="auto"/>
        <w:jc w:val="both"/>
      </w:pPr>
      <w:r/>
      <w:r>
        <w:rPr>
          <w:rFonts w:ascii="Caladea" w:hAnsi="Caladea"/>
          <w:color w:val="22272E"/>
          <w:sz w:val="20"/>
        </w:rPr>
        <w:t>This master engineering document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PLATFORM</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