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0" w:after="320"/>
        <w:jc w:val="center"/>
      </w:pPr>
      <w:r/>
      <w:r>
        <w:rPr>
          <w:rFonts w:ascii="Lato" w:hAnsi="Lato"/>
          <w:b/>
          <w:color w:val="0E6C78"/>
          <w:sz w:val="20"/>
        </w:rPr>
        <w:t>Lab Assessment Comprehensive Master Report: Reviews 1, 2 &amp; 3 Fully Integrated</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&amp; PRODUCTION DIGITAL TWIN</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p>
      <w:pPr>
        <w:pStyle w:val="ReportSection"/>
        <w:keepNext/>
        <w:spacing w:before="280" w:after="90"/>
      </w:pPr>
      <w:r/>
      <w:r>
        <w:rPr>
          <w:rFonts w:ascii="Lato" w:hAnsi="Lato"/>
          <w:b/>
          <w:color w:val="0D2B45"/>
          <w:sz w:val="27"/>
        </w:rPr>
        <w:t>Executive Engineering Summary</w:t>
      </w:r>
    </w:p>
    <w:p>
      <w:pPr>
        <w:spacing w:before="30" w:after="90" w:line="264" w:lineRule="auto"/>
        <w:jc w:val="both"/>
      </w:pPr>
      <w:r/>
      <w:r>
        <w:rPr>
          <w:rFonts w:ascii="Caladea" w:hAnsi="Caladea"/>
          <w:color w:val="22272E"/>
          <w:sz w:val="20"/>
        </w:rPr>
        <w:t>This master engineering document provides the comprehensive, end-to-end design, implementation, and empirical verification of an enterprise-grade multi-area Open Shortest Path First (OSPFv2, RFC 2328) routing architecture for the 372-acre Vellore Institute of Technology (VIT Vellore) campus network, serving over 40,000 active students and faculty. By consolidating all phases of Review 1 (Problem Formulation, VLSM Design &amp; Cisco Configurations), Review 2 (Implementation, Mininet Emulation, Wireshark Protocol Dissection &amp; Sub-Second Convergence Testing), and Review 3 (Dijkstra Optimization, TCAM FIB Compression, BFD Integration &amp; Live Digital Twin Platform), this report establishes a complete operational benchmark for large-scale enterprise campus networking.</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digital twin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Plain-Text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5F6B76"/>
                <w:sz w:val="15"/>
              </w:rPr>
              <w:t>--------------------------------------------------------------------------------</w:t>
              <w:br/>
            </w:r>
            <w:r>
              <w:rPr>
                <w:rFonts w:ascii="Consolas" w:hAnsi="Consolas"/>
                <w:color w:val="22272E"/>
                <w:sz w:val="15"/>
              </w:rPr>
              <w:t>MATHEMATICAL TCAM FIB COMPRESSION PROOF (PLAIN TEXT)</w:t>
              <w:br/>
            </w:r>
            <w:r>
              <w:rPr>
                <w:rFonts w:ascii="Consolas" w:hAnsi="Consolas"/>
                <w:color w:val="5F6B76"/>
                <w:sz w:val="15"/>
              </w:rPr>
              <w:t>--------------------------------------------------------------------------------</w:t>
              <w:br/>
            </w: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w:t>
              <w:br/>
            </w:r>
            <w:r>
              <w:rPr>
                <w:rFonts w:ascii="Consolas" w:hAnsi="Consolas"/>
                <w:color w:val="22272E"/>
                <w:sz w:val="15"/>
              </w:rPr>
              <w:t>all core routing lookups complete within sub-nanosecond L1 hardware cache hit times.</w:t>
              <w:br/>
            </w:r>
            <w:r>
              <w:rPr>
                <w:rFonts w:ascii="Consolas" w:hAnsi="Consolas"/>
                <w:color w:val="5F6B76"/>
                <w:sz w:val="15"/>
              </w:rPr>
              <w:t>--------------------------------------------------------------------------------</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OSPF Neighbor Adjacency Finite State Machine</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ection"/>
        <w:keepNext/>
        <w:pageBreakBefore/>
        <w:spacing w:before="280" w:after="90"/>
      </w:pPr>
      <w:r/>
      <w:r>
        <w:rPr>
          <w:rFonts w:ascii="Lato" w:hAnsi="Lato"/>
          <w:b/>
          <w:color w:val="0D2B45"/>
          <w:sz w:val="27"/>
        </w:rPr>
        <w:t>7. Hardware Link Failure Simulation &amp; Sub-Second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5F6B76"/>
                <w:sz w:val="15"/>
              </w:rPr>
              <w:t>--------------------------------------------------------------------------------</w:t>
              <w:br/>
            </w:r>
            <w:r>
              <w:rPr>
                <w:rFonts w:ascii="Consolas" w:hAnsi="Consolas"/>
                <w:color w:val="22272E"/>
                <w:sz w:val="15"/>
              </w:rPr>
              <w:t>MATHEMATICAL CONVERGENCE TIMELINE BREAKDOWN (PLAIN TEXT)</w:t>
              <w:br/>
            </w:r>
            <w:r>
              <w:rPr>
                <w:rFonts w:ascii="Consolas" w:hAnsi="Consolas"/>
                <w:color w:val="5F6B76"/>
                <w:sz w:val="15"/>
              </w:rPr>
              <w:t>--------------------------------------------------------------------------------</w:t>
              <w:br/>
            </w:r>
            <w:r>
              <w:rPr>
                <w:rFonts w:ascii="Consolas" w:hAnsi="Consolas"/>
                <w:color w:val="22272E"/>
                <w:sz w:val="15"/>
              </w:rPr>
              <w:t>Total Convergence Formula:</w:t>
              <w:br/>
            </w:r>
            <w:r>
              <w:rPr>
                <w:rFonts w:ascii="Consolas" w:hAnsi="Consolas"/>
                <w:b/>
                <w:color w:val="123A5A"/>
                <w:sz w:val="15"/>
              </w:rPr>
              <w:t xml:space="preserve">  T_convergence = T_detect + T_lsu_prop + T_spf_calc + T_fib_update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T_detect    : Loss of light &amp; BFD hardware echo detection  = 1.00 ms</w:t>
              <w:br/>
            </w:r>
            <w:r>
              <w:rPr>
                <w:rFonts w:ascii="Consolas" w:hAnsi="Consolas"/>
                <w:color w:val="22272E"/>
                <w:sz w:val="15"/>
              </w:rPr>
              <w:t xml:space="preserve">  T_lsu_prop  : Type-1 Router LSA flood propagation         = 0.12 ms</w:t>
              <w:br/>
            </w:r>
            <w:r>
              <w:rPr>
                <w:rFonts w:ascii="Consolas" w:hAnsi="Consolas"/>
                <w:color w:val="22272E"/>
                <w:sz w:val="15"/>
              </w:rPr>
              <w:t xml:space="preserve">  T_spf_calc  : Dijkstra SPT execution on Area 10 graph     = 0.42 ms</w:t>
              <w:br/>
            </w:r>
            <w:r>
              <w:rPr>
                <w:rFonts w:ascii="Consolas" w:hAnsi="Consolas"/>
                <w:color w:val="22272E"/>
                <w:sz w:val="15"/>
              </w:rPr>
              <w:t xml:space="preserve">  T_fib_update: Hardware CEF / TCAM FIB entry reprogramming = 0.35 ms</w:t>
              <w:br/>
            </w:r>
            <w:r>
              <w:rPr>
                <w:rFonts w:ascii="Consolas" w:hAnsi="Consolas"/>
                <w:color w:val="5F6B76"/>
                <w:sz w:val="15"/>
              </w:rPr>
              <w:t xml:space="preserve">  ------------------------------------------------------------------</w:t>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br/>
            </w:r>
            <w:r>
              <w:rPr>
                <w:rFonts w:ascii="Consolas" w:hAnsi="Consolas"/>
                <w:color w:val="5F6B76"/>
                <w:sz w:val="15"/>
              </w:rPr>
              <w:t>--------------------------------------------------------------------------------</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ection"/>
        <w:keepNext/>
        <w:spacing w:before="280" w:after="90"/>
      </w:pPr>
      <w:r/>
      <w:r>
        <w:rPr>
          <w:rFonts w:ascii="Lato" w:hAnsi="Lato"/>
          <w:b/>
          <w:color w:val="0D2B45"/>
          <w:sz w:val="27"/>
        </w:rPr>
        <w:t>8. Comprehensive 16-Metric Comparative Evaluation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16-metric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5F6B76"/>
                <w:sz w:val="15"/>
              </w:rPr>
              <w:t>--------------------------------------------------------------------------------</w:t>
              <w:br/>
            </w:r>
            <w:r>
              <w:rPr>
                <w:rFonts w:ascii="Consolas" w:hAnsi="Consolas"/>
                <w:color w:val="22272E"/>
                <w:sz w:val="15"/>
              </w:rPr>
              <w:t>DIJKSTRA SPF COMPUTATIONAL COMPLEXITY COMPARISON (PLAIN TEXT)</w:t>
              <w:br/>
            </w:r>
            <w:r>
              <w:rPr>
                <w:rFonts w:ascii="Consolas" w:hAnsi="Consolas"/>
                <w:color w:val="5F6B76"/>
                <w:sz w:val="15"/>
              </w:rPr>
              <w:t>--------------------------------------------------------------------------------</w:t>
              <w:br/>
            </w: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t xml:space="preserve">  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br/>
            </w:r>
            <w:r>
              <w:rPr>
                <w:rFonts w:ascii="Consolas" w:hAnsi="Consolas"/>
                <w:color w:val="5F6B76"/>
                <w:sz w:val="15"/>
              </w:rPr>
              <w:t>--------------------------------------------------------------------------------</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5F6B76"/>
                <w:sz w:val="15"/>
              </w:rPr>
              <w:t>--------------------------------------------------------------------------------</w:t>
              <w:br/>
            </w:r>
            <w:r>
              <w:rPr>
                <w:rFonts w:ascii="Consolas" w:hAnsi="Consolas"/>
                <w:color w:val="22272E"/>
                <w:sz w:val="15"/>
              </w:rPr>
              <w:t>OSPF INTERFACE METRIC COST CALIBRATION (PLAIN TEXT)</w:t>
              <w:br/>
            </w:r>
            <w:r>
              <w:rPr>
                <w:rFonts w:ascii="Consolas" w:hAnsi="Consolas"/>
                <w:color w:val="5F6B76"/>
                <w:sz w:val="15"/>
              </w:rPr>
              <w:t>--------------------------------------------------------------------------------</w:t>
              <w:br/>
            </w: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br/>
            </w:r>
            <w:r>
              <w:rPr>
                <w:rFonts w:ascii="Consolas" w:hAnsi="Consolas"/>
                <w:color w:val="5F6B76"/>
                <w:sz w:val="15"/>
              </w:rPr>
              <w:t>--------------------------------------------------------------------------------</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5F6B76"/>
                <w:sz w:val="15"/>
              </w:rPr>
              <w:t>--------------------------------------------------------------------------------</w:t>
              <w:br/>
            </w:r>
            <w:r>
              <w:rPr>
                <w:rFonts w:ascii="Consolas" w:hAnsi="Consolas"/>
                <w:color w:val="22272E"/>
                <w:sz w:val="15"/>
              </w:rPr>
              <w:t>BFD SUB-SECOND HARDWARE DETECTION (PLAIN TEXT)</w:t>
              <w:br/>
            </w:r>
            <w:r>
              <w:rPr>
                <w:rFonts w:ascii="Consolas" w:hAnsi="Consolas"/>
                <w:color w:val="5F6B76"/>
                <w:sz w:val="15"/>
              </w:rPr>
              <w:t>--------------------------------------------------------------------------------</w:t>
              <w:br/>
            </w: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br/>
            </w:r>
            <w:r>
              <w:rPr>
                <w:rFonts w:ascii="Consolas" w:hAnsi="Consolas"/>
                <w:color w:val="5F6B76"/>
                <w:sz w:val="15"/>
              </w:rPr>
              <w:t>--------------------------------------------------------------------------------</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digital twin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6" name="Picture 16"/>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Digital Twin of the 372-Acre VIT Vellore Campus.</w:t>
      </w:r>
    </w:p>
    <w:p>
      <w:pPr>
        <w:pStyle w:val="ReportSection"/>
        <w:keepNext/>
        <w:pageBreakBefore/>
        <w:spacing w:before="280" w:after="90"/>
      </w:pPr>
      <w:r/>
      <w:r>
        <w:rPr>
          <w:rFonts w:ascii="Lato" w:hAnsi="Lato"/>
          <w:b/>
          <w:color w:val="0D2B45"/>
          <w:sz w:val="27"/>
        </w:rPr>
        <w:t>11. Enterprise Scalability &amp; Real-World Campus Roadmap</w:t>
      </w:r>
    </w:p>
    <w:p>
      <w:pPr>
        <w:spacing w:before="30" w:after="90" w:line="264" w:lineRule="auto"/>
        <w:jc w:val="both"/>
      </w:pPr>
      <w:r/>
      <w:r>
        <w:rPr>
          <w:rFonts w:ascii="Caladea" w:hAnsi="Caladea"/>
          <w:color w:val="22272E"/>
          <w:sz w:val="20"/>
        </w:rPr>
        <w:t>To future-proof the campus backbone for next-generation workloads over the next decade, three architectural evolutions are detailed:</w:t>
      </w:r>
    </w:p>
    <w:p>
      <w:pPr>
        <w:pStyle w:val="ListBullet"/>
        <w:spacing w:before="20" w:after="60" w:line="254" w:lineRule="auto"/>
        <w:jc w:val="left"/>
      </w:pPr>
      <w:r/>
      <w:r>
        <w:rPr>
          <w:rFonts w:ascii="Lato" w:hAnsi="Lato"/>
          <w:b/>
          <w:color w:val="123A5A"/>
          <w:sz w:val="18"/>
        </w:rPr>
        <w:t xml:space="preserve">1. IPv6 OSPFv3 Dual-Stack Migration: </w:t>
      </w:r>
      <w:r>
        <w:rPr>
          <w:rFonts w:ascii="Caladea" w:hAnsi="Caladea"/>
          <w:color w:val="22272E"/>
          <w:sz w:val="19"/>
        </w:rPr>
        <w:t>Migrating to OSPFv3 (RFC 5340) enables native dual-stack IPv4/IPv6 routing without changing the physical topology. OSPFv3 runs on a per-link basis rather than per-subnet, allowing seamless 128-bit IPv6 addressing across all academic smart labs.</w:t>
      </w:r>
    </w:p>
    <w:p>
      <w:pPr>
        <w:pStyle w:val="ListBullet"/>
        <w:spacing w:before="20" w:after="60" w:line="254" w:lineRule="auto"/>
        <w:jc w:val="left"/>
      </w:pPr>
      <w:r/>
      <w:r>
        <w:rPr>
          <w:rFonts w:ascii="Lato" w:hAnsi="Lato"/>
          <w:b/>
          <w:color w:val="123A5A"/>
          <w:sz w:val="18"/>
        </w:rPr>
        <w:t xml:space="preserve">2. 400 Gbps Core Optical Spine Upgrade: </w:t>
      </w:r>
      <w:r>
        <w:rPr>
          <w:rFonts w:ascii="Caladea" w:hAnsi="Caladea"/>
          <w:color w:val="22272E"/>
          <w:sz w:val="19"/>
        </w:rPr>
        <w:t>Replacing current 100G QSFP28 optical modules with 400G QSFP-DD optics on the CTS-Core spine multiplies backbone throughput fourfold to accommodate AI training clusters in Pearl Research Park without altering OSPF area boundaries.</w:t>
      </w:r>
    </w:p>
    <w:p>
      <w:pPr>
        <w:pStyle w:val="ListBullet"/>
        <w:spacing w:before="20" w:after="60" w:line="254" w:lineRule="auto"/>
        <w:jc w:val="left"/>
      </w:pPr>
      <w:r/>
      <w:r>
        <w:rPr>
          <w:rFonts w:ascii="Lato" w:hAnsi="Lato"/>
          <w:b/>
          <w:color w:val="123A5A"/>
          <w:sz w:val="18"/>
        </w:rPr>
        <w:t xml:space="preserve">3. SDN &amp; Network Programmability Integration: </w:t>
      </w:r>
      <w:r>
        <w:rPr>
          <w:rFonts w:ascii="Caladea" w:hAnsi="Caladea"/>
          <w:color w:val="22272E"/>
          <w:sz w:val="19"/>
        </w:rPr>
        <w:t>Deploying an OpenFlow/P4 SDN overlay controller atop the deterministic OSPF underlay enables programmatic traffic steering, intent-based routing, and zero-trust microsegmentation between hostel Wi-Fi and financial databases.</w:t>
      </w:r>
    </w:p>
    <w:p>
      <w:pPr>
        <w:pStyle w:val="ReportSection"/>
        <w:keepNext/>
        <w:spacing w:before="280" w:after="90"/>
      </w:pPr>
      <w:r/>
      <w:r>
        <w:rPr>
          <w:rFonts w:ascii="Lato" w:hAnsi="Lato"/>
          <w:b/>
          <w:color w:val="0D2B45"/>
          <w:sz w:val="27"/>
        </w:rPr>
        <w:t>12.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digital twin,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Digital Twin</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