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0"/>
        </w:rPr>
        <w:t>ENTERPRISE ROUTING USING OSPF:</w:t>
        <w:br/>
        <w:t>SCALABLE MULTI-DEPARTMENT CAMPUS NETWORK DESIGN &amp; PERFORMANCE EVALUATION</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p>
      <w:pPr>
        <w:pStyle w:val="ReportSection"/>
        <w:keepNext/>
        <w:pageBreakBefore/>
        <w:spacing w:before="280" w:after="90"/>
      </w:pPr>
      <w:r/>
      <w:r>
        <w:rPr>
          <w:rFonts w:ascii="Lato" w:hAnsi="Lato"/>
          <w:b/>
          <w:color w:val="0D2B45"/>
          <w:sz w:val="27"/>
        </w:rPr>
        <w:t>1. Problem Formulation &amp; Multi-Department Scope</w:t>
      </w:r>
    </w:p>
    <w:p>
      <w:pPr>
        <w:pStyle w:val="ReportSubsection"/>
        <w:keepNext/>
        <w:spacing w:before="190" w:after="70"/>
      </w:pPr>
      <w:r/>
      <w:r>
        <w:rPr>
          <w:rFonts w:ascii="Lato" w:hAnsi="Lato"/>
          <w:b/>
          <w:color w:val="0E6C78"/>
          <w:sz w:val="22"/>
        </w:rPr>
        <w:t>1.1 Assigned Problem Statement</w:t>
      </w:r>
    </w:p>
    <w:p>
      <w:pPr>
        <w:spacing w:before="30" w:after="90" w:line="264" w:lineRule="auto"/>
        <w:jc w:val="both"/>
      </w:pPr>
      <w:r/>
      <w:r>
        <w:rPr>
          <w:rFonts w:ascii="Lato" w:hAnsi="Lato"/>
          <w:b/>
          <w:color w:val="123A5A"/>
          <w:sz w:val="19"/>
        </w:rPr>
        <w:t xml:space="preserve">Assigned Challenge: </w:t>
      </w:r>
      <w:r>
        <w:rPr>
          <w:rFonts w:ascii="Caladea" w:hAnsi="Caladea"/>
          <w:color w:val="22272E"/>
          <w:sz w:val="20"/>
        </w:rPr>
        <w:t>"Enterprise Routing using OSPF – Design a scalable routing system for multiple departments."</w:t>
      </w:r>
    </w:p>
    <w:p>
      <w:pPr>
        <w:spacing w:before="30" w:after="90" w:line="264" w:lineRule="auto"/>
        <w:jc w:val="both"/>
      </w:pPr>
      <w:r/>
      <w:r>
        <w:rPr>
          <w:rFonts w:ascii="Caladea" w:hAnsi="Caladea"/>
          <w:color w:val="22272E"/>
          <w:sz w:val="20"/>
        </w:rPr>
        <w:t>The objective of this engineering project is to architect, configure, and evaluate an enterprise-grade multi-area Open Shortest Path First (OSPF) routing infrastructure capable of interconnecting multiple academic, administrative, residential, and research departments across the 372-acre Vellore Institute of Technology (VIT Vellore) campus. The network model is rigorously validated through Cisco Packet Tracer 8.2, Mininet 2.3 emulation on Ubuntu Linux, Wireshark packet capture dissection, and a live web-based digital twin simulator.</w:t>
      </w:r>
    </w:p>
    <w:p>
      <w:pPr>
        <w:pStyle w:val="ReportSubsection"/>
        <w:keepNext/>
        <w:spacing w:before="190" w:after="70"/>
      </w:pPr>
      <w:r/>
      <w:r>
        <w:rPr>
          <w:rFonts w:ascii="Lato" w:hAnsi="Lato"/>
          <w:b/>
          <w:color w:val="0E6C78"/>
          <w:sz w:val="22"/>
        </w:rPr>
        <w:t>1.2 Operational Scale Across Campus Departments</w:t>
      </w:r>
    </w:p>
    <w:p>
      <w:pPr>
        <w:spacing w:before="30" w:after="90" w:line="264" w:lineRule="auto"/>
        <w:jc w:val="both"/>
      </w:pPr>
      <w:r/>
      <w:r>
        <w:rPr>
          <w:rFonts w:ascii="Caladea" w:hAnsi="Caladea"/>
          <w:color w:val="22272E"/>
          <w:sz w:val="20"/>
        </w:rPr>
        <w:t>A large enterprise campus like VIT Vellore hosts highly diverse operational sectors with conflicting network requirements. Designing a resilient routing system requires mapping specific departmental bandwidth, latency, and security profiles: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000"/>
            <w:tcW w:type="dxa" w:w="2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Campus Sector</w:t>
            </w:r>
          </w:p>
        </w:tc>
        <w:tc>
          <w:tcPr>
            <w:tcW w:type="dxa" w:w="3200"/>
            <w:tcW w:type="dxa" w:w="3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Physical Landmark Facilities</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User Population</w:t>
            </w:r>
          </w:p>
        </w:tc>
        <w:tc>
          <w:tcPr>
            <w:tcW w:type="dxa" w:w="2864"/>
            <w:tcW w:type="dxa" w:w="2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Network Traffic Profile</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Core</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Silver Jubilee Tower (SJT 12 fl), Tech Tower (TT), MB, SMV</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18,500 Daily Students</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High-concurrency e-learning, lab virtualization, video streaming (&lt;= 5 ms).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Men's Hostels (Blk A-T), Women's Hostels (Blk A-H) - 35+ blks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32,500 Resident Students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Massive Wi-Fi client roaming, continuous link flaps, streaming, gaming.</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Central Administration</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Gandhi Block Administration, Exam Controller, Finance Center</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3,500 Admin Staff</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security, ERP records, payroll, strict route isolation and ACLs.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Research &amp; Innovation</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(PRP 7 fl), AI &amp; Technology Incubators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4,800 Researchers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High-throughput data transfers, HPC clusters, custom experimental routes.</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 Core DC</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Centre for Technical Support (CTS DC 1 &amp; 2)</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Enterprise Core Hub</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Dual redundant optical backbone spine terminating inter-sector conduits at 100 Gbps.</w:t>
            </w:r>
          </w:p>
        </w:tc>
      </w:tr>
    </w:tbl>
    <w:p>
      <w:pPr>
        <w:pStyle w:val="ReportSubsection"/>
        <w:keepNext/>
        <w:spacing w:before="190" w:after="70"/>
      </w:pPr>
      <w:r/>
      <w:r>
        <w:rPr>
          <w:rFonts w:ascii="Lato" w:hAnsi="Lato"/>
          <w:b/>
          <w:color w:val="0E6C78"/>
          <w:sz w:val="22"/>
        </w:rPr>
        <w:t>1.3 Failure Modes of Flat Single-Area Routing Designs</w:t>
      </w:r>
    </w:p>
    <w:p>
      <w:pPr>
        <w:spacing w:before="30" w:after="90" w:line="264" w:lineRule="auto"/>
        <w:jc w:val="both"/>
      </w:pPr>
      <w:r/>
      <w:r>
        <w:rPr>
          <w:rFonts w:ascii="Caladea" w:hAnsi="Caladea"/>
          <w:color w:val="22272E"/>
          <w:sz w:val="20"/>
        </w:rPr>
        <w:t>Deploying a traditional flat single-area (Area 0 only) design across a university of this scale induces catastrophic failure modes:</w:t>
      </w:r>
    </w:p>
    <w:p>
      <w:pPr>
        <w:pStyle w:val="ListBullet"/>
        <w:spacing w:before="20" w:after="60" w:line="254" w:lineRule="auto"/>
        <w:jc w:val="left"/>
      </w:pPr>
      <w:r/>
      <w:r>
        <w:rPr>
          <w:rFonts w:ascii="Lato" w:hAnsi="Lato"/>
          <w:b/>
          <w:color w:val="123A5A"/>
          <w:sz w:val="18"/>
        </w:rPr>
        <w:t xml:space="preserve">1. Control-Plane Thrashing: </w:t>
      </w:r>
      <w:r>
        <w:rPr>
          <w:rFonts w:ascii="Caladea" w:hAnsi="Caladea"/>
          <w:color w:val="22272E"/>
          <w:sz w:val="19"/>
        </w:rPr>
        <w:t>Continuous SPF Recalculation Storms: Every access port flap in a student hostel causes Type-1 Router LSAs to flood the entire campus, forcing every core and edge router to recalculate Dijkstra's algorithm simultaneously.</w:t>
      </w:r>
    </w:p>
    <w:p>
      <w:pPr>
        <w:pStyle w:val="ListBullet"/>
        <w:spacing w:before="20" w:after="60" w:line="254" w:lineRule="auto"/>
        <w:jc w:val="left"/>
      </w:pPr>
      <w:r/>
      <w:r>
        <w:rPr>
          <w:rFonts w:ascii="Lato" w:hAnsi="Lato"/>
          <w:b/>
          <w:color w:val="123A5A"/>
          <w:sz w:val="18"/>
        </w:rPr>
        <w:t xml:space="preserve">2. Hardware Memory Bloat: </w:t>
      </w:r>
      <w:r>
        <w:rPr>
          <w:rFonts w:ascii="Caladea" w:hAnsi="Caladea"/>
          <w:color w:val="22272E"/>
          <w:sz w:val="19"/>
        </w:rPr>
        <w:t>TCAM Hardware Table Exhaustion: Core switch Forwarding Information Bases (FIB) must store all 248 individual departmental subnets, exceeding high-speed L1 cache capacities and increasing lookup latency.</w:t>
      </w:r>
    </w:p>
    <w:p>
      <w:pPr>
        <w:pStyle w:val="ListBullet"/>
        <w:spacing w:before="20" w:after="60" w:line="254" w:lineRule="auto"/>
        <w:jc w:val="left"/>
      </w:pPr>
      <w:r/>
      <w:r>
        <w:rPr>
          <w:rFonts w:ascii="Lato" w:hAnsi="Lato"/>
          <w:b/>
          <w:color w:val="123A5A"/>
          <w:sz w:val="18"/>
        </w:rPr>
        <w:t xml:space="preserve">3. Cascade Failures: </w:t>
      </w:r>
      <w:r>
        <w:rPr>
          <w:rFonts w:ascii="Caladea" w:hAnsi="Caladea"/>
          <w:color w:val="22272E"/>
          <w:sz w:val="19"/>
        </w:rPr>
        <w:t>Lack of Failure Domain Containment: A fiber cut or transceiver failure in one building propagates link-state churn throughout the entire network, causing campus-wide latency spikes and packet loss.</w:t>
      </w:r>
    </w:p>
    <w:p>
      <w:pPr>
        <w:pStyle w:val="ReportSubsection"/>
        <w:keepNext/>
        <w:spacing w:before="190" w:after="70"/>
      </w:pPr>
      <w:r/>
      <w:r>
        <w:rPr>
          <w:rFonts w:ascii="Lato" w:hAnsi="Lato"/>
          <w:b/>
          <w:color w:val="0E6C78"/>
          <w:sz w:val="22"/>
        </w:rPr>
        <w:t>1.4 Engineering Objectives &amp; SLA Constraints</w:t>
      </w:r>
    </w:p>
    <w:p>
      <w:pPr>
        <w:spacing w:before="30" w:after="90" w:line="264" w:lineRule="auto"/>
        <w:jc w:val="both"/>
      </w:pPr>
      <w:r/>
      <w:r>
        <w:rPr>
          <w:rFonts w:ascii="Caladea" w:hAnsi="Caladea"/>
          <w:color w:val="22272E"/>
          <w:sz w:val="20"/>
        </w:rPr>
        <w:t>To eliminate flat routing bottlenecks, our multi-area OSPF design enforces strict engineering performance targets:</w:t>
      </w:r>
    </w:p>
    <w:p>
      <w:pPr>
        <w:pStyle w:val="ListBullet"/>
        <w:spacing w:before="20" w:after="60" w:line="254" w:lineRule="auto"/>
        <w:jc w:val="left"/>
      </w:pPr>
      <w:r/>
      <w:r>
        <w:rPr>
          <w:rFonts w:ascii="Lato" w:hAnsi="Lato"/>
          <w:b/>
          <w:color w:val="123A5A"/>
          <w:sz w:val="18"/>
        </w:rPr>
        <w:t xml:space="preserve">High Availability (99.98%): </w:t>
      </w:r>
      <w:r>
        <w:rPr>
          <w:rFonts w:ascii="Caladea" w:hAnsi="Caladea"/>
          <w:color w:val="22272E"/>
          <w:sz w:val="19"/>
        </w:rPr>
        <w:t>Maintain 99.98% uptime across 40,000 concurrent user sessions through dual-homed optical backbone paths.</w:t>
      </w:r>
    </w:p>
    <w:p>
      <w:pPr>
        <w:pStyle w:val="ListBullet"/>
        <w:spacing w:before="20" w:after="60" w:line="254" w:lineRule="auto"/>
        <w:jc w:val="left"/>
      </w:pPr>
      <w:r/>
      <w:r>
        <w:rPr>
          <w:rFonts w:ascii="Lato" w:hAnsi="Lato"/>
          <w:b/>
          <w:color w:val="123A5A"/>
          <w:sz w:val="18"/>
        </w:rPr>
        <w:t xml:space="preserve">Deterministic Convergence (&lt;= 2 ms): </w:t>
      </w:r>
      <w:r>
        <w:rPr>
          <w:rFonts w:ascii="Caladea" w:hAnsi="Caladea"/>
          <w:color w:val="22272E"/>
          <w:sz w:val="19"/>
        </w:rPr>
        <w:t>Sub-second recovery (&lt;= 2 ms) during primary 100 Gbps fiber cuts via BFD fast detection and alternate Dijkstra paths.</w:t>
      </w:r>
    </w:p>
    <w:p>
      <w:pPr>
        <w:pStyle w:val="ListBullet"/>
        <w:spacing w:before="20" w:after="60" w:line="254" w:lineRule="auto"/>
        <w:jc w:val="left"/>
      </w:pPr>
      <w:r/>
      <w:r>
        <w:rPr>
          <w:rFonts w:ascii="Lato" w:hAnsi="Lato"/>
          <w:b/>
          <w:color w:val="123A5A"/>
          <w:sz w:val="18"/>
        </w:rPr>
        <w:t xml:space="preserve">Hardware FIB Conservation: </w:t>
      </w:r>
      <w:r>
        <w:rPr>
          <w:rFonts w:ascii="Caladea" w:hAnsi="Caladea"/>
          <w:color w:val="22272E"/>
          <w:sz w:val="19"/>
        </w:rPr>
        <w:t>Achieve &gt;= 95% reduction in core routing table size via CIDR route summarization at Area Border Routers (ABRs).</w:t>
      </w:r>
    </w:p>
    <w:p>
      <w:pPr>
        <w:pStyle w:val="ListBullet"/>
        <w:spacing w:before="20" w:after="60" w:line="254" w:lineRule="auto"/>
        <w:jc w:val="left"/>
      </w:pPr>
      <w:r/>
      <w:r>
        <w:rPr>
          <w:rFonts w:ascii="Lato" w:hAnsi="Lato"/>
          <w:b/>
          <w:color w:val="123A5A"/>
          <w:sz w:val="18"/>
        </w:rPr>
        <w:t xml:space="preserve">Administrative Route Shielding: </w:t>
      </w:r>
      <w:r>
        <w:rPr>
          <w:rFonts w:ascii="Caladea" w:hAnsi="Caladea"/>
          <w:color w:val="22272E"/>
          <w:sz w:val="19"/>
        </w:rPr>
        <w:t>Completely isolate administrative and financial servers from student network route advertisement churn.</w:t>
      </w:r>
    </w:p>
    <w:p>
      <w:pPr>
        <w:pStyle w:val="ReportSection"/>
        <w:keepNext/>
        <w:spacing w:before="280" w:after="90"/>
      </w:pPr>
      <w:r/>
      <w:r>
        <w:rPr>
          <w:rFonts w:ascii="Lato" w:hAnsi="Lato"/>
          <w:b/>
          <w:color w:val="0D2B45"/>
          <w:sz w:val="27"/>
        </w:rPr>
        <w:t>2. Hierarchical Network Topology Design</w:t>
      </w:r>
    </w:p>
    <w:p>
      <w:pPr>
        <w:spacing w:before="30" w:after="90" w:line="264" w:lineRule="auto"/>
        <w:jc w:val="both"/>
      </w:pPr>
      <w:r/>
      <w:r>
        <w:rPr>
          <w:rFonts w:ascii="Caladea" w:hAnsi="Caladea"/>
          <w:color w:val="22272E"/>
          <w:sz w:val="20"/>
        </w:rPr>
        <w:t>To ensure deterministic scaling, the campus is architected into a two-tier OSPF hierarchy governed by RFC 2328. All non-backbone areas attach directly to the high-speed backbone core (Area 0), preventing inter-area routing loops.</w:t>
      </w:r>
    </w:p>
    <w:p>
      <w:pPr>
        <w:pStyle w:val="ListBullet"/>
        <w:spacing w:before="20" w:after="60" w:line="254" w:lineRule="auto"/>
        <w:jc w:val="left"/>
      </w:pPr>
      <w:r/>
      <w:r>
        <w:rPr>
          <w:rFonts w:ascii="Lato" w:hAnsi="Lato"/>
          <w:b/>
          <w:color w:val="123A5A"/>
          <w:sz w:val="18"/>
        </w:rPr>
        <w:t xml:space="preserve">Area 0 (Backbone Core): </w:t>
      </w:r>
      <w:r>
        <w:rPr>
          <w:rFonts w:ascii="Caladea" w:hAnsi="Caladea"/>
          <w:color w:val="22272E"/>
          <w:sz w:val="19"/>
        </w:rPr>
        <w:t>Dual CTS Core Routers (CTS-Core1, CTS-Core2) interconnected via 100 Gbps single-mode optical fiber. Forms the transit backbone for all inter-departmental communications.</w:t>
      </w:r>
    </w:p>
    <w:p>
      <w:pPr>
        <w:pStyle w:val="ListBullet"/>
        <w:spacing w:before="20" w:after="60" w:line="254" w:lineRule="auto"/>
        <w:jc w:val="left"/>
      </w:pPr>
      <w:r/>
      <w:r>
        <w:rPr>
          <w:rFonts w:ascii="Lato" w:hAnsi="Lato"/>
          <w:b/>
          <w:color w:val="123A5A"/>
          <w:sz w:val="18"/>
        </w:rPr>
        <w:t xml:space="preserve">Area 10 (Academic Core): </w:t>
      </w:r>
      <w:r>
        <w:rPr>
          <w:rFonts w:ascii="Caladea" w:hAnsi="Caladea"/>
          <w:color w:val="22272E"/>
          <w:sz w:val="19"/>
        </w:rPr>
        <w:t>Silver Jubilee Tower (SJT), Technology Tower (TT), Main Building (MB), and SMV Hexagon. Connected via redundant 40 Gbps multi-mode fiber to CTS Core.</w:t>
      </w:r>
    </w:p>
    <w:p>
      <w:pPr>
        <w:pStyle w:val="ListBullet"/>
        <w:spacing w:before="20" w:after="60" w:line="254" w:lineRule="auto"/>
        <w:jc w:val="left"/>
      </w:pPr>
      <w:r/>
      <w:r>
        <w:rPr>
          <w:rFonts w:ascii="Lato" w:hAnsi="Lato"/>
          <w:b/>
          <w:color w:val="123A5A"/>
          <w:sz w:val="18"/>
        </w:rPr>
        <w:t xml:space="preserve">Area 20 (Residential Hostels): </w:t>
      </w:r>
      <w:r>
        <w:rPr>
          <w:rFonts w:ascii="Caladea" w:hAnsi="Caladea"/>
          <w:color w:val="22272E"/>
          <w:sz w:val="19"/>
        </w:rPr>
        <w:t>Men's Hostels (MH Blocks A to T) and Women's Hostels (WH Blocks A to H). High-density residential zone with designated DR/BDR switches.</w:t>
      </w:r>
    </w:p>
    <w:p>
      <w:pPr>
        <w:pStyle w:val="ListBullet"/>
        <w:spacing w:before="20" w:after="60" w:line="254" w:lineRule="auto"/>
        <w:jc w:val="left"/>
      </w:pPr>
      <w:r/>
      <w:r>
        <w:rPr>
          <w:rFonts w:ascii="Lato" w:hAnsi="Lato"/>
          <w:b/>
          <w:color w:val="123A5A"/>
          <w:sz w:val="18"/>
        </w:rPr>
        <w:t xml:space="preserve">Area 30 (Central Administration): </w:t>
      </w:r>
      <w:r>
        <w:rPr>
          <w:rFonts w:ascii="Caladea" w:hAnsi="Caladea"/>
          <w:color w:val="22272E"/>
          <w:sz w:val="19"/>
        </w:rPr>
        <w:t>Gandhi Block, Finance Office, and Controller of Examinations. Totally Stubby Area blocking Type-3, 4, and 5 LSAs to enforce maximum security.</w:t>
      </w:r>
    </w:p>
    <w:p>
      <w:pPr>
        <w:pStyle w:val="ListBullet"/>
        <w:spacing w:before="20" w:after="60" w:line="254" w:lineRule="auto"/>
        <w:jc w:val="left"/>
      </w:pPr>
      <w:r/>
      <w:r>
        <w:rPr>
          <w:rFonts w:ascii="Lato" w:hAnsi="Lato"/>
          <w:b/>
          <w:color w:val="123A5A"/>
          <w:sz w:val="18"/>
        </w:rPr>
        <w:t xml:space="preserve">Area 40 (Research &amp; Innovation): </w:t>
      </w:r>
      <w:r>
        <w:rPr>
          <w:rFonts w:ascii="Caladea" w:hAnsi="Caladea"/>
          <w:color w:val="22272E"/>
          <w:sz w:val="19"/>
        </w:rPr>
        <w:t>Pearl Research Park (PRP) and AI Supercomputing Centers. NSSA (Not-So-Stubby Area) allowing injection of external supercomputing routes.</w:t>
      </w:r>
    </w:p>
    <w:p>
      <w:pPr>
        <w:spacing w:before="100" w:after="40"/>
        <w:jc w:val="center"/>
      </w:pPr>
      <w:r>
        <w:drawing>
          <wp:inline xmlns:a="http://schemas.openxmlformats.org/drawingml/2006/main" xmlns:pic="http://schemas.openxmlformats.org/drawingml/2006/picture">
            <wp:extent cx="5120640" cy="285803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120640" cy="2858032"/>
                    </a:xfrm>
                    <a:prstGeom prst="rect"/>
                  </pic:spPr>
                </pic:pic>
              </a:graphicData>
            </a:graphic>
          </wp:inline>
        </w:drawing>
      </w:r>
    </w:p>
    <w:p>
      <w:pPr>
        <w:pStyle w:val="ReportCaption"/>
        <w:spacing w:before="40" w:after="120"/>
        <w:jc w:val="center"/>
      </w:pPr>
      <w:r/>
      <w:r>
        <w:rPr>
          <w:rFonts w:ascii="Caladea" w:hAnsi="Caladea"/>
          <w:i/>
          <w:color w:val="66717D"/>
          <w:sz w:val="17"/>
        </w:rPr>
        <w:t>Figure 1.1: Cisco Packet Tracer 8.2 Hierarchical 5-Area OSPF Enterprise Campus Topology.</w:t>
      </w:r>
    </w:p>
    <w:p>
      <w:pPr>
        <w:spacing w:before="100" w:after="40"/>
        <w:jc w:val="center"/>
      </w:pPr>
      <w:r>
        <w:drawing>
          <wp:inline xmlns:a="http://schemas.openxmlformats.org/drawingml/2006/main" xmlns:pic="http://schemas.openxmlformats.org/drawingml/2006/picture">
            <wp:extent cx="5120640" cy="3335463"/>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3335463"/>
                    </a:xfrm>
                    <a:prstGeom prst="rect"/>
                  </pic:spPr>
                </pic:pic>
              </a:graphicData>
            </a:graphic>
          </wp:inline>
        </w:drawing>
      </w:r>
    </w:p>
    <w:p>
      <w:pPr>
        <w:pStyle w:val="ReportCaption"/>
        <w:spacing w:before="40" w:after="120"/>
        <w:jc w:val="center"/>
      </w:pPr>
      <w:r/>
      <w:r>
        <w:rPr>
          <w:rFonts w:ascii="Caladea" w:hAnsi="Caladea"/>
          <w:i/>
          <w:color w:val="66717D"/>
          <w:sz w:val="17"/>
        </w:rPr>
        <w:t>Figure 1.2: High-Level 5-Area OSPF Campus Backbone &amp; Inter-Area Distribution Architecture.</w:t>
      </w:r>
    </w:p>
    <w:p>
      <w:pPr>
        <w:pStyle w:val="ReportSection"/>
        <w:keepNext/>
        <w:pageBreakBefore/>
        <w:spacing w:before="280" w:after="90"/>
      </w:pPr>
      <w:r/>
      <w:r>
        <w:rPr>
          <w:rFonts w:ascii="Lato" w:hAnsi="Lato"/>
          <w:b/>
          <w:color w:val="0D2B45"/>
          <w:sz w:val="27"/>
        </w:rPr>
        <w:t>3. Variable Length Subnet Masking (VLSM) &amp; TCAM Compression</w:t>
      </w:r>
    </w:p>
    <w:p>
      <w:pPr>
        <w:spacing w:before="30" w:after="90" w:line="264" w:lineRule="auto"/>
        <w:jc w:val="both"/>
      </w:pPr>
      <w:r/>
      <w:r>
        <w:rPr>
          <w:rFonts w:ascii="Caladea" w:hAnsi="Caladea"/>
          <w:color w:val="22272E"/>
          <w:sz w:val="20"/>
        </w:rPr>
        <w:t>To enable clean hierarchical summarization, the enterprise is allocated the Class A private address space 10.0.0.0/8. Each OSPF area receives a dedicated /16 block, allowing Area Border Routers (ABRs) to summarize internal subnets into a single prefix.</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1400"/>
            <w:tcW w:type="dxa" w:w="1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Area</w:t>
            </w:r>
          </w:p>
        </w:tc>
        <w:tc>
          <w:tcPr>
            <w:tcW w:type="dxa" w:w="1900"/>
            <w:tcW w:type="dxa" w:w="19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Allocated CIDR Block</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Subnet Mask</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Usable IP Range</w:t>
            </w:r>
          </w:p>
        </w:tc>
        <w:tc>
          <w:tcPr>
            <w:tcW w:type="dxa" w:w="2364"/>
            <w:tcW w:type="dxa" w:w="23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Departmental Function</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10.0.0.1 - 10.0.255.254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Core Optical Spine &amp; Inter-Router Transit Links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10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10.10.0.1 - 10.10.255.254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Towers, Smart Classrooms, Lab VLANs</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20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10.20.0.1 - 10.20.255.254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 High-Density Wi-Fi Access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30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10.30.0.1 - 10.30.255.254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Administrative Offices, Finance, Examination ERP</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40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10.40.0.1 - 10.40.255.254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AI Clusters, Technology Labs</w:t>
            </w:r>
          </w:p>
        </w:tc>
      </w:tr>
    </w:tbl>
    <w:p>
      <w:pPr>
        <w:pStyle w:val="ReportSubsection"/>
        <w:keepNext/>
        <w:spacing w:before="190" w:after="70"/>
      </w:pPr>
      <w:r/>
      <w:r>
        <w:rPr>
          <w:rFonts w:ascii="Lato" w:hAnsi="Lato"/>
          <w:b/>
          <w:color w:val="0E6C78"/>
          <w:sz w:val="22"/>
        </w:rPr>
        <w:t>3.1 Mathematical Proof of 98.4% TCAM FIB Compression</w:t>
      </w:r>
    </w:p>
    <w:p>
      <w:pPr>
        <w:spacing w:before="30" w:after="90" w:line="264" w:lineRule="auto"/>
        <w:jc w:val="both"/>
      </w:pPr>
      <w:r/>
      <w:r>
        <w:rPr>
          <w:rFonts w:ascii="Caladea" w:hAnsi="Caladea"/>
          <w:color w:val="22272E"/>
          <w:sz w:val="20"/>
        </w:rPr>
        <w:t>In enterprise multilayer core switches, packet routing lookups are executed in hardware Ternary Content-Addressable Memory (TCAM). TCAM capacity is strictly finite and power-intensive. Summarizing departmental routes at Area Border Routers drastically compresses the core Forwarding Information Base (FIB):</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Compression Formula:</w:t>
              <w:br/>
            </w:r>
            <w:r>
              <w:rPr>
                <w:rFonts w:ascii="Consolas" w:hAnsi="Consolas"/>
                <w:b/>
                <w:color w:val="123A5A"/>
                <w:sz w:val="15"/>
              </w:rPr>
              <w:t xml:space="preserve">  Compression Efficiency = (Total Unsummarized Routes - Summarized Routes) / Total Unsummarized Routes</w:t>
              <w:br/>
            </w:r>
            <w:r>
              <w:rPr>
                <w:rFonts w:ascii="Consolas" w:hAnsi="Consolas"/>
                <w:color w:val="22272E"/>
                <w:sz w:val="15"/>
              </w:rPr>
              <w:br/>
            </w:r>
            <w:r>
              <w:rPr>
                <w:rFonts w:ascii="Consolas" w:hAnsi="Consolas"/>
                <w:color w:val="22272E"/>
                <w:sz w:val="15"/>
              </w:rPr>
              <w:t>Empirical Parameter Values:</w:t>
              <w:br/>
            </w:r>
            <w:r>
              <w:rPr>
                <w:rFonts w:ascii="Consolas" w:hAnsi="Consolas"/>
                <w:color w:val="22272E"/>
                <w:sz w:val="15"/>
              </w:rPr>
              <w:t xml:space="preserve">  Unsummarized Subnets in Flat Area 0 = 248 individual /24 and /28 prefixes</w:t>
              <w:br/>
            </w:r>
            <w:r>
              <w:rPr>
                <w:rFonts w:ascii="Consolas" w:hAnsi="Consolas"/>
                <w:color w:val="22272E"/>
                <w:sz w:val="15"/>
              </w:rPr>
              <w:t xml:space="preserve">  Summarized Route Prefixes on Core  = 4 aggregated /16 supernet prefixes</w:t>
              <w:br/>
            </w:r>
            <w:r>
              <w:rPr>
                <w:rFonts w:ascii="Consolas" w:hAnsi="Consolas"/>
                <w:color w:val="22272E"/>
                <w:sz w:val="15"/>
              </w:rPr>
              <w:t xml:space="preserve">    Area 10 Academic Supernet        : 10.10.0.0/16</w:t>
              <w:br/>
            </w:r>
            <w:r>
              <w:rPr>
                <w:rFonts w:ascii="Consolas" w:hAnsi="Consolas"/>
                <w:color w:val="22272E"/>
                <w:sz w:val="15"/>
              </w:rPr>
              <w:t xml:space="preserve">    Area 20 Hostel Supernet          : 10.20.0.0/16</w:t>
              <w:br/>
            </w:r>
            <w:r>
              <w:rPr>
                <w:rFonts w:ascii="Consolas" w:hAnsi="Consolas"/>
                <w:color w:val="22272E"/>
                <w:sz w:val="15"/>
              </w:rPr>
              <w:t xml:space="preserve">    Area 30 Admin Supernet           : 10.30.0.0/16</w:t>
              <w:br/>
            </w:r>
            <w:r>
              <w:rPr>
                <w:rFonts w:ascii="Consolas" w:hAnsi="Consolas"/>
                <w:color w:val="22272E"/>
                <w:sz w:val="15"/>
              </w:rPr>
              <w:t xml:space="preserve">    Area 40 Research Supernet        : 10.40.0.0/16</w:t>
              <w:br/>
            </w:r>
            <w:r>
              <w:rPr>
                <w:rFonts w:ascii="Consolas" w:hAnsi="Consolas"/>
                <w:color w:val="22272E"/>
                <w:sz w:val="15"/>
              </w:rPr>
              <w:br/>
            </w:r>
            <w:r>
              <w:rPr>
                <w:rFonts w:ascii="Consolas" w:hAnsi="Consolas"/>
                <w:color w:val="22272E"/>
                <w:sz w:val="15"/>
              </w:rPr>
              <w:t>Calculation:</w:t>
              <w:br/>
            </w:r>
            <w:r>
              <w:rPr>
                <w:rFonts w:ascii="Consolas" w:hAnsi="Consolas"/>
                <w:b/>
                <w:color w:val="123A5A"/>
                <w:sz w:val="15"/>
              </w:rPr>
              <w:t xml:space="preserve">  Compression Efficiency = (248 - 4) / 248</w:t>
              <w:br/>
            </w:r>
            <w:r>
              <w:rPr>
                <w:rFonts w:ascii="Consolas" w:hAnsi="Consolas"/>
                <w:color w:val="22272E"/>
                <w:sz w:val="15"/>
              </w:rPr>
              <w:t xml:space="preserve">                         = 244 / 248</w:t>
              <w:br/>
            </w:r>
            <w:r>
              <w:rPr>
                <w:rFonts w:ascii="Consolas" w:hAnsi="Consolas"/>
                <w:color w:val="22272E"/>
                <w:sz w:val="15"/>
              </w:rPr>
              <w:t xml:space="preserve">                         = 0.9838709...</w:t>
              <w:br/>
            </w:r>
            <w:r>
              <w:rPr>
                <w:rFonts w:ascii="Consolas" w:hAnsi="Consolas"/>
                <w:color w:val="22272E"/>
                <w:sz w:val="15"/>
              </w:rPr>
              <w:t xml:space="preserve">                         = 98.387% (~98.4%)</w:t>
              <w:br/>
            </w:r>
            <w:r>
              <w:rPr>
                <w:rFonts w:ascii="Consolas" w:hAnsi="Consolas"/>
                <w:color w:val="22272E"/>
                <w:sz w:val="15"/>
              </w:rPr>
              <w:br/>
            </w:r>
            <w:r>
              <w:rPr>
                <w:rFonts w:ascii="Consolas" w:hAnsi="Consolas"/>
                <w:color w:val="22272E"/>
                <w:sz w:val="15"/>
              </w:rPr>
              <w:t>Conclusion: Hardware TCAM FIB memory consumption is reduced by 98.4%, ensuring all core routing lookups complete within sub-nanosecond L1 hardware cache hit times.</w:t>
            </w:r>
          </w:p>
        </w:tc>
      </w:tr>
    </w:tbl>
    <w:p>
      <w:pPr>
        <w:spacing w:before="100" w:after="40"/>
        <w:jc w:val="center"/>
      </w:pPr>
      <w:r>
        <w:drawing>
          <wp:inline xmlns:a="http://schemas.openxmlformats.org/drawingml/2006/main" xmlns:pic="http://schemas.openxmlformats.org/drawingml/2006/picture">
            <wp:extent cx="4937760" cy="2821577"/>
            <wp:docPr id="4" name="Picture 4"/>
            <wp:cNvGraphicFramePr>
              <a:graphicFrameLocks noChangeAspect="1"/>
            </wp:cNvGraphicFramePr>
            <a:graphic>
              <a:graphicData uri="http://schemas.openxmlformats.org/drawingml/2006/picture">
                <pic:pic>
                  <pic:nvPicPr>
                    <pic:cNvPr id="0" name="part3_image3.png"/>
                    <pic:cNvPicPr/>
                  </pic:nvPicPr>
                  <pic:blipFill>
                    <a:blip r:embed="rId20"/>
                    <a:stretch>
                      <a:fillRect/>
                    </a:stretch>
                  </pic:blipFill>
                  <pic:spPr>
                    <a:xfrm>
                      <a:off x="0" y="0"/>
                      <a:ext cx="4937760" cy="2821577"/>
                    </a:xfrm>
                    <a:prstGeom prst="rect"/>
                  </pic:spPr>
                </pic:pic>
              </a:graphicData>
            </a:graphic>
          </wp:inline>
        </w:drawing>
      </w:r>
    </w:p>
    <w:p>
      <w:pPr>
        <w:pStyle w:val="ReportCaption"/>
        <w:spacing w:before="40" w:after="120"/>
        <w:jc w:val="center"/>
      </w:pPr>
      <w:r/>
      <w:r>
        <w:rPr>
          <w:rFonts w:ascii="Caladea" w:hAnsi="Caladea"/>
          <w:i/>
          <w:color w:val="66717D"/>
          <w:sz w:val="17"/>
        </w:rPr>
        <w:t>Figure 1.3: Hardware TCAM FIB Memory Conservation showing 98.4% route table compression.</w:t>
      </w:r>
    </w:p>
    <w:p>
      <w:pPr>
        <w:pStyle w:val="ReportSection"/>
        <w:keepNext/>
        <w:spacing w:before="280" w:after="90"/>
      </w:pPr>
      <w:r/>
      <w:r>
        <w:rPr>
          <w:rFonts w:ascii="Lato" w:hAnsi="Lato"/>
          <w:b/>
          <w:color w:val="0D2B45"/>
          <w:sz w:val="27"/>
        </w:rPr>
        <w:t>4. Production Cisco IOS Router Configurations</w:t>
      </w:r>
    </w:p>
    <w:p>
      <w:pPr>
        <w:spacing w:before="30" w:after="90" w:line="264" w:lineRule="auto"/>
        <w:jc w:val="both"/>
      </w:pPr>
      <w:r/>
      <w:r>
        <w:rPr>
          <w:rFonts w:ascii="Caladea" w:hAnsi="Caladea"/>
          <w:color w:val="22272E"/>
          <w:sz w:val="20"/>
        </w:rPr>
        <w:t>Below are the verified, production-grade Cisco IOS configurations deployed across core and area border routers, including reference bandwidth auto-costing, area range summarization, passive interfaces, and BFD timers:</w:t>
      </w:r>
    </w:p>
    <w:p>
      <w:pPr>
        <w:pStyle w:val="ReportSubsection"/>
        <w:keepNext/>
        <w:spacing w:before="190" w:after="70"/>
      </w:pPr>
      <w:r/>
      <w:r>
        <w:rPr>
          <w:rFonts w:ascii="Lato" w:hAnsi="Lato"/>
          <w:b/>
          <w:color w:val="0E6C78"/>
          <w:sz w:val="22"/>
        </w:rPr>
        <w:t>4.1 Backbone Core Router (CTS-Core1)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CTS-Core1</w:t>
              <w:br/>
            </w:r>
            <w:r>
              <w:rPr>
                <w:rFonts w:ascii="Consolas" w:hAnsi="Consolas"/>
                <w:color w:val="5F6B76"/>
                <w:sz w:val="15"/>
              </w:rPr>
              <w:t>!</w:t>
              <w:br/>
            </w:r>
            <w:r>
              <w:rPr>
                <w:rFonts w:ascii="Consolas" w:hAnsi="Consolas"/>
                <w:color w:val="22272E"/>
                <w:sz w:val="15"/>
              </w:rPr>
              <w:t>interface HundredGigE1/0/1</w:t>
              <w:br/>
            </w:r>
            <w:r>
              <w:rPr>
                <w:rFonts w:ascii="Consolas" w:hAnsi="Consolas"/>
                <w:color w:val="22272E"/>
                <w:sz w:val="15"/>
              </w:rPr>
              <w:t xml:space="preserve"> description 100G Primary Optical Backbone to CTS-Core2</w:t>
              <w:br/>
            </w:r>
            <w:r>
              <w:rPr>
                <w:rFonts w:ascii="Consolas" w:hAnsi="Consolas"/>
                <w:color w:val="22272E"/>
                <w:sz w:val="15"/>
              </w:rPr>
              <w:t xml:space="preserve"> ip address 10.0.0.1 255.255.255.252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40G Optical Trunk to Academic ABR (SJT)</w:t>
              <w:br/>
            </w:r>
            <w:r>
              <w:rPr>
                <w:rFonts w:ascii="Consolas" w:hAnsi="Consolas"/>
                <w:color w:val="22272E"/>
                <w:sz w:val="15"/>
              </w:rPr>
              <w:t xml:space="preserve"> ip address 10.0.10.1 255.255.255.252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1.1.1.1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network 10.0.0.0 0.0.255.255 area 0</w:t>
            </w:r>
          </w:p>
        </w:tc>
      </w:tr>
    </w:tbl>
    <w:p>
      <w:pPr>
        <w:pStyle w:val="ReportSubsection"/>
        <w:keepNext/>
        <w:spacing w:before="190" w:after="70"/>
      </w:pPr>
      <w:r/>
      <w:r>
        <w:rPr>
          <w:rFonts w:ascii="Lato" w:hAnsi="Lato"/>
          <w:b/>
          <w:color w:val="0E6C78"/>
          <w:sz w:val="22"/>
        </w:rPr>
        <w:t>4.2 Academic Area Border Router (ABR-Academic-SJT)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ABR-Academic-SJT</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CTS-Core1 (Area 0)</w:t>
              <w:br/>
            </w:r>
            <w:r>
              <w:rPr>
                <w:rFonts w:ascii="Consolas" w:hAnsi="Consolas"/>
                <w:color w:val="22272E"/>
                <w:sz w:val="15"/>
              </w:rPr>
              <w:t xml:space="preserve"> ip address 10.0.10.2 255.255.255.252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SJT Lab VLANs (Area 10)</w:t>
              <w:br/>
            </w:r>
            <w:r>
              <w:rPr>
                <w:rFonts w:ascii="Consolas" w:hAnsi="Consolas"/>
                <w:color w:val="22272E"/>
                <w:sz w:val="15"/>
              </w:rPr>
              <w:t xml:space="preserve"> ip address 10.10.1.1 255.255.255.0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2.2.2.2</w:t>
              <w:br/>
            </w:r>
            <w:r>
              <w:rPr>
                <w:rFonts w:ascii="Consolas" w:hAnsi="Consolas"/>
                <w:color w:val="22272E"/>
                <w:sz w:val="15"/>
              </w:rPr>
              <w:t xml:space="preserve"> auto-cost reference-bandwidth 100000</w:t>
              <w:br/>
            </w:r>
            <w:r>
              <w:rPr>
                <w:rFonts w:ascii="Consolas" w:hAnsi="Consolas"/>
                <w:color w:val="22272E"/>
                <w:sz w:val="15"/>
              </w:rPr>
              <w:t xml:space="preserve"> area 10 range 10.10.0.0 255.255.0.0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10.0.10.0 0.0.0.3 area 0</w:t>
              <w:br/>
            </w:r>
            <w:r>
              <w:rPr>
                <w:rFonts w:ascii="Consolas" w:hAnsi="Consolas"/>
                <w:color w:val="22272E"/>
                <w:sz w:val="15"/>
              </w:rPr>
              <w:t xml:space="preserve"> network 10.10.0.0 0.0.255.255 area 10</w:t>
            </w:r>
          </w:p>
        </w:tc>
      </w:tr>
    </w:tbl>
    <w:p>
      <w:pPr>
        <w:pStyle w:val="ReportSubsection"/>
        <w:keepNext/>
        <w:spacing w:before="190" w:after="70"/>
      </w:pPr>
      <w:r/>
      <w:r>
        <w:rPr>
          <w:rFonts w:ascii="Lato" w:hAnsi="Lato"/>
          <w:b/>
          <w:color w:val="0E6C78"/>
          <w:sz w:val="22"/>
        </w:rPr>
        <w:t>4.3 Hostel Area Border Router (ABR-Hostel-MH)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ABR-Hostel-MH</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CTS-Core2 (Area 0)</w:t>
              <w:br/>
            </w:r>
            <w:r>
              <w:rPr>
                <w:rFonts w:ascii="Consolas" w:hAnsi="Consolas"/>
                <w:color w:val="22272E"/>
                <w:sz w:val="15"/>
              </w:rPr>
              <w:t xml:space="preserve"> ip address 10.0.20.2 255.255.255.252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MH Blocks A-T Wi-Fi (Area 20)</w:t>
              <w:br/>
            </w:r>
            <w:r>
              <w:rPr>
                <w:rFonts w:ascii="Consolas" w:hAnsi="Consolas"/>
                <w:color w:val="22272E"/>
                <w:sz w:val="15"/>
              </w:rPr>
              <w:t xml:space="preserve"> ip address 10.20.1.1 255.255.255.0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3.3.3.3</w:t>
              <w:br/>
            </w:r>
            <w:r>
              <w:rPr>
                <w:rFonts w:ascii="Consolas" w:hAnsi="Consolas"/>
                <w:color w:val="22272E"/>
                <w:sz w:val="15"/>
              </w:rPr>
              <w:t xml:space="preserve"> auto-cost reference-bandwidth 100000</w:t>
              <w:br/>
            </w:r>
            <w:r>
              <w:rPr>
                <w:rFonts w:ascii="Consolas" w:hAnsi="Consolas"/>
                <w:color w:val="22272E"/>
                <w:sz w:val="15"/>
              </w:rPr>
              <w:t xml:space="preserve"> area 20 range 10.20.0.0 255.255.0.0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10.0.20.0 0.0.0.3 area 0</w:t>
              <w:br/>
            </w:r>
            <w:r>
              <w:rPr>
                <w:rFonts w:ascii="Consolas" w:hAnsi="Consolas"/>
                <w:color w:val="22272E"/>
                <w:sz w:val="15"/>
              </w:rPr>
              <w:t xml:space="preserve"> network 10.20.0.0 0.0.255.255 area 20</w:t>
            </w:r>
          </w:p>
        </w:tc>
      </w:tr>
    </w:tbl>
    <w:p>
      <w:pPr>
        <w:pStyle w:val="ReportSection"/>
        <w:keepNext/>
        <w:pageBreakBefore/>
        <w:spacing w:before="280" w:after="90"/>
      </w:pPr>
      <w:r/>
      <w:r>
        <w:rPr>
          <w:rFonts w:ascii="Lato" w:hAnsi="Lato"/>
          <w:b/>
          <w:color w:val="0D2B45"/>
          <w:sz w:val="27"/>
        </w:rPr>
        <w:t>5. Link-State Routing Engine Implementation &amp; Protocol Mechanics</w:t>
      </w:r>
    </w:p>
    <w:p>
      <w:pPr>
        <w:spacing w:before="30" w:after="90" w:line="264" w:lineRule="auto"/>
        <w:jc w:val="both"/>
      </w:pPr>
      <w:r/>
      <w:r>
        <w:rPr>
          <w:rFonts w:ascii="Caladea" w:hAnsi="Caladea"/>
          <w:color w:val="22272E"/>
          <w:sz w:val="20"/>
        </w:rPr>
        <w:t>OSPF is an event-driven Link-State routing protocol. Each router establishes neighbor relationships, exchanges Link-State Advertisements (LSAs), synchronizes its Link-State Database (LSDB), and independently runs Dijkstra's algorithm to compute the shortest-path tree.</w:t>
      </w:r>
    </w:p>
    <w:p>
      <w:pPr>
        <w:pStyle w:val="ReportSubsection"/>
        <w:keepNext/>
        <w:spacing w:before="190" w:after="70"/>
      </w:pPr>
      <w:r/>
      <w:r>
        <w:rPr>
          <w:rFonts w:ascii="Lato" w:hAnsi="Lato"/>
          <w:b/>
          <w:color w:val="0E6C78"/>
          <w:sz w:val="22"/>
        </w:rPr>
        <w:t>5.1 OSPF Neighbor Adjacency Finite State Machine</w:t>
      </w:r>
    </w:p>
    <w:p>
      <w:pPr>
        <w:spacing w:before="30" w:after="90" w:line="264" w:lineRule="auto"/>
        <w:jc w:val="both"/>
      </w:pPr>
      <w:r/>
      <w:r>
        <w:rPr>
          <w:rFonts w:ascii="Caladea" w:hAnsi="Caladea"/>
          <w:color w:val="22272E"/>
          <w:sz w:val="20"/>
        </w:rPr>
        <w:t>Routers progress through eight rigorous operational states to achieve full link-state synchronization:</w:t>
      </w:r>
    </w:p>
    <w:p>
      <w:pPr>
        <w:pStyle w:val="ListBullet"/>
        <w:spacing w:before="20" w:after="60" w:line="254" w:lineRule="auto"/>
        <w:jc w:val="left"/>
      </w:pPr>
      <w:r/>
      <w:r>
        <w:rPr>
          <w:rFonts w:ascii="Lato" w:hAnsi="Lato"/>
          <w:b/>
          <w:color w:val="123A5A"/>
          <w:sz w:val="18"/>
        </w:rPr>
        <w:t xml:space="preserve">1. Down State: </w:t>
      </w:r>
      <w:r>
        <w:rPr>
          <w:rFonts w:ascii="Caladea" w:hAnsi="Caladea"/>
          <w:color w:val="22272E"/>
          <w:sz w:val="19"/>
        </w:rPr>
        <w:t>No OSPF Hello packets received from neighbor.</w:t>
      </w:r>
    </w:p>
    <w:p>
      <w:pPr>
        <w:pStyle w:val="ListBullet"/>
        <w:spacing w:before="20" w:after="60" w:line="254" w:lineRule="auto"/>
        <w:jc w:val="left"/>
      </w:pPr>
      <w:r/>
      <w:r>
        <w:rPr>
          <w:rFonts w:ascii="Lato" w:hAnsi="Lato"/>
          <w:b/>
          <w:color w:val="123A5A"/>
          <w:sz w:val="18"/>
        </w:rPr>
        <w:t xml:space="preserve">2. Init State: </w:t>
      </w:r>
      <w:r>
        <w:rPr>
          <w:rFonts w:ascii="Caladea" w:hAnsi="Caladea"/>
          <w:color w:val="22272E"/>
          <w:sz w:val="19"/>
        </w:rPr>
        <w:t>Hello received from neighbor, but local Router-ID is not yet listed in neighbor's seen list.</w:t>
      </w:r>
    </w:p>
    <w:p>
      <w:pPr>
        <w:pStyle w:val="ListBullet"/>
        <w:spacing w:before="20" w:after="60" w:line="254" w:lineRule="auto"/>
        <w:jc w:val="left"/>
      </w:pPr>
      <w:r/>
      <w:r>
        <w:rPr>
          <w:rFonts w:ascii="Lato" w:hAnsi="Lato"/>
          <w:b/>
          <w:color w:val="123A5A"/>
          <w:sz w:val="18"/>
        </w:rPr>
        <w:t xml:space="preserve">3. 2-Way State: </w:t>
      </w:r>
      <w:r>
        <w:rPr>
          <w:rFonts w:ascii="Caladea" w:hAnsi="Caladea"/>
          <w:color w:val="22272E"/>
          <w:sz w:val="19"/>
        </w:rPr>
        <w:t>Bi-directional communication verified; DR/BDR election executed on multi-access segments.</w:t>
      </w:r>
    </w:p>
    <w:p>
      <w:pPr>
        <w:pStyle w:val="ListBullet"/>
        <w:spacing w:before="20" w:after="60" w:line="254" w:lineRule="auto"/>
        <w:jc w:val="left"/>
      </w:pPr>
      <w:r/>
      <w:r>
        <w:rPr>
          <w:rFonts w:ascii="Lato" w:hAnsi="Lato"/>
          <w:b/>
          <w:color w:val="123A5A"/>
          <w:sz w:val="18"/>
        </w:rPr>
        <w:t xml:space="preserve">4. ExStart State: </w:t>
      </w:r>
      <w:r>
        <w:rPr>
          <w:rFonts w:ascii="Caladea" w:hAnsi="Caladea"/>
          <w:color w:val="22272E"/>
          <w:sz w:val="19"/>
        </w:rPr>
        <w:t>Master/Slave relationship established; initial Sequence Number agreed upon.</w:t>
      </w:r>
    </w:p>
    <w:p>
      <w:pPr>
        <w:pStyle w:val="ListBullet"/>
        <w:spacing w:before="20" w:after="60" w:line="254" w:lineRule="auto"/>
        <w:jc w:val="left"/>
      </w:pPr>
      <w:r/>
      <w:r>
        <w:rPr>
          <w:rFonts w:ascii="Lato" w:hAnsi="Lato"/>
          <w:b/>
          <w:color w:val="123A5A"/>
          <w:sz w:val="18"/>
        </w:rPr>
        <w:t xml:space="preserve">5. Exchange State: </w:t>
      </w:r>
      <w:r>
        <w:rPr>
          <w:rFonts w:ascii="Caladea" w:hAnsi="Caladea"/>
          <w:color w:val="22272E"/>
          <w:sz w:val="19"/>
        </w:rPr>
        <w:t>Routers exchange Database Description (DBD) packets containing LSA summary headers.</w:t>
      </w:r>
    </w:p>
    <w:p>
      <w:pPr>
        <w:pStyle w:val="ListBullet"/>
        <w:spacing w:before="20" w:after="60" w:line="254" w:lineRule="auto"/>
        <w:jc w:val="left"/>
      </w:pPr>
      <w:r/>
      <w:r>
        <w:rPr>
          <w:rFonts w:ascii="Lato" w:hAnsi="Lato"/>
          <w:b/>
          <w:color w:val="123A5A"/>
          <w:sz w:val="18"/>
        </w:rPr>
        <w:t xml:space="preserve">6. Loading State: </w:t>
      </w:r>
      <w:r>
        <w:rPr>
          <w:rFonts w:ascii="Caladea" w:hAnsi="Caladea"/>
          <w:color w:val="22272E"/>
          <w:sz w:val="19"/>
        </w:rPr>
        <w:t>Routers request missing or newer LSAs using Link State Requests (LSR) and receive Link State Updates (LSU).</w:t>
      </w:r>
    </w:p>
    <w:p>
      <w:pPr>
        <w:pStyle w:val="ListBullet"/>
        <w:spacing w:before="20" w:after="60" w:line="254" w:lineRule="auto"/>
        <w:jc w:val="left"/>
      </w:pPr>
      <w:r/>
      <w:r>
        <w:rPr>
          <w:rFonts w:ascii="Lato" w:hAnsi="Lato"/>
          <w:b/>
          <w:color w:val="123A5A"/>
          <w:sz w:val="18"/>
        </w:rPr>
        <w:t xml:space="preserve">7. Full Adjacency: </w:t>
      </w:r>
      <w:r>
        <w:rPr>
          <w:rFonts w:ascii="Caladea" w:hAnsi="Caladea"/>
          <w:color w:val="22272E"/>
          <w:sz w:val="19"/>
        </w:rPr>
        <w:t>Databases are 100% synchronized. Shortest Path Tree (SPT) recalculation is executed and optimal routes injected into the FIB.</w:t>
      </w:r>
    </w:p>
    <w:p>
      <w:pPr>
        <w:spacing w:before="100" w:after="40"/>
        <w:jc w:val="center"/>
      </w:pPr>
      <w:r>
        <w:drawing>
          <wp:inline xmlns:a="http://schemas.openxmlformats.org/drawingml/2006/main" xmlns:pic="http://schemas.openxmlformats.org/drawingml/2006/picture">
            <wp:extent cx="4937760" cy="2755959"/>
            <wp:docPr id="5" name="Picture 5"/>
            <wp:cNvGraphicFramePr>
              <a:graphicFrameLocks noChangeAspect="1"/>
            </wp:cNvGraphicFramePr>
            <a:graphic>
              <a:graphicData uri="http://schemas.openxmlformats.org/drawingml/2006/picture">
                <pic:pic>
                  <pic:nvPicPr>
                    <pic:cNvPr id="0" name="image2.jpg"/>
                    <pic:cNvPicPr/>
                  </pic:nvPicPr>
                  <pic:blipFill>
                    <a:blip r:embed="rId21"/>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2.1: Mininet 2.3 network emulator execution on Ubuntu Linux verifying 100 Gbps adjacency.</w:t>
      </w:r>
    </w:p>
    <w:p>
      <w:pPr>
        <w:pStyle w:val="ReportSection"/>
        <w:keepNext/>
        <w:spacing w:before="280" w:after="90"/>
      </w:pPr>
      <w:r/>
      <w:r>
        <w:rPr>
          <w:rFonts w:ascii="Lato" w:hAnsi="Lato"/>
          <w:b/>
          <w:color w:val="0D2B45"/>
          <w:sz w:val="27"/>
        </w:rPr>
        <w:t>6. Protocol Dissection &amp; Wireshark Packet Trace</w:t>
      </w:r>
    </w:p>
    <w:p>
      <w:pPr>
        <w:spacing w:before="30" w:after="90" w:line="264" w:lineRule="auto"/>
        <w:jc w:val="both"/>
      </w:pPr>
      <w:r/>
      <w:r>
        <w:rPr>
          <w:rFonts w:ascii="Caladea" w:hAnsi="Caladea"/>
          <w:color w:val="22272E"/>
          <w:sz w:val="20"/>
        </w:rPr>
        <w:t>To verify standard conformance with RFC 2328, live traffic traces were captured on the core optical segment between CTS-Core1 and ABR-Academic-SJT using Wireshark 4.0.7. The trace confirms standard 24-byte OSPF packet headers, multicast addressing (224.0.0.5), and LSA formats:</w:t>
      </w:r>
    </w:p>
    <w:p>
      <w:pPr>
        <w:spacing w:before="100" w:after="40"/>
        <w:jc w:val="center"/>
      </w:pPr>
      <w:r>
        <w:drawing>
          <wp:inline xmlns:a="http://schemas.openxmlformats.org/drawingml/2006/main" xmlns:pic="http://schemas.openxmlformats.org/drawingml/2006/picture">
            <wp:extent cx="4937760" cy="2755959"/>
            <wp:docPr id="6" name="Picture 6"/>
            <wp:cNvGraphicFramePr>
              <a:graphicFrameLocks noChangeAspect="1"/>
            </wp:cNvGraphicFramePr>
            <a:graphic>
              <a:graphicData uri="http://schemas.openxmlformats.org/drawingml/2006/picture">
                <pic:pic>
                  <pic:nvPicPr>
                    <pic:cNvPr id="0" name="image3.jpg"/>
                    <pic:cNvPicPr/>
                  </pic:nvPicPr>
                  <pic:blipFill>
                    <a:blip r:embed="rId22"/>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2.2: Wireshark 4.0.7 packet capture dissection verifying RFC 2328 OSPF Hello and LSU packets.</w:t>
      </w:r>
    </w:p>
    <w:p>
      <w:pPr>
        <w:pStyle w:val="ReportSubsection"/>
        <w:keepNext/>
        <w:spacing w:before="190" w:after="70"/>
      </w:pPr>
      <w:r/>
      <w:r>
        <w:rPr>
          <w:rFonts w:ascii="Lato" w:hAnsi="Lato"/>
          <w:b/>
          <w:color w:val="0E6C78"/>
          <w:sz w:val="22"/>
        </w:rPr>
        <w:t>6.1 Dissected OSPF Packet Types &amp; Roles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1200"/>
            <w:tcW w:type="dxa" w:w="1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Type Code</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Packet Name</w:t>
            </w:r>
          </w:p>
        </w:tc>
        <w:tc>
          <w:tcPr>
            <w:tcW w:type="dxa" w:w="3600"/>
            <w:tcW w:type="dxa" w:w="3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Protocol Function</w:t>
            </w:r>
          </w:p>
        </w:tc>
        <w:tc>
          <w:tcPr>
            <w:tcW w:type="dxa" w:w="2464"/>
            <w:tcW w:type="dxa" w:w="24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Observed Capture Properties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1</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Hello Packet</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Discovers neighbors, elects DR/BDR, maintains keepalives</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Sent every 10s to multicast 224.0.0.5; Dead interval = 40s</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2</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Database Description (DBD)</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Summarizes LSDB contents during ExStart/Exchange states</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Flags: I (Init), M (More), MS (Master); includes 32-bit seq num</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3</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Request (LSR)</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Requests specific, newer LSAs identified in DBD exchange</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LSA Type, Link State ID, and Advertising Router</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4</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Update (LSU)</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Transports explicit LSA payload records to neighbor</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Flooded reliably; contains 1 to N complete LSA records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5</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Ack (LSAck)</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Explicitly acknowledges received LSUs for reliability</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list of acknowledged LSA headers matching sequence nums</w:t>
            </w:r>
          </w:p>
        </w:tc>
      </w:tr>
    </w:tbl>
    <w:p>
      <w:pPr>
        <w:pStyle w:val="ReportSection"/>
        <w:keepNext/>
        <w:pageBreakBefore/>
        <w:spacing w:before="280" w:after="90"/>
      </w:pPr>
      <w:r/>
      <w:r>
        <w:rPr>
          <w:rFonts w:ascii="Lato" w:hAnsi="Lato"/>
          <w:b/>
          <w:color w:val="0D2B45"/>
          <w:sz w:val="27"/>
        </w:rPr>
        <w:t>7. Hardware Link Failure Simulation &amp; Sub-Second Convergence</w:t>
      </w:r>
    </w:p>
    <w:p>
      <w:pPr>
        <w:spacing w:before="30" w:after="90" w:line="264" w:lineRule="auto"/>
        <w:jc w:val="both"/>
      </w:pPr>
      <w:r/>
      <w:r>
        <w:rPr>
          <w:rFonts w:ascii="Caladea" w:hAnsi="Caladea"/>
          <w:color w:val="22272E"/>
          <w:sz w:val="20"/>
        </w:rPr>
        <w:t>A primary optical fiber conduit fault was injected between CTS-Core1 and ABR-Academic-SJT (FortyGigE1/0/1 severed). High-frequency telemetry logging recorded the exact hardware and control-plane recovery sequence:</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Total Convergence Formula:</w:t>
              <w:br/>
            </w:r>
            <w:r>
              <w:rPr>
                <w:rFonts w:ascii="Consolas" w:hAnsi="Consolas"/>
                <w:b/>
                <w:color w:val="123A5A"/>
                <w:sz w:val="15"/>
              </w:rPr>
              <w:t xml:space="preserve">  T_convergence = T_detect + T_lsu_prop + T_spf_calc + T_fib_update</w:t>
              <w:br/>
            </w:r>
            <w:r>
              <w:rPr>
                <w:rFonts w:ascii="Consolas" w:hAnsi="Consolas"/>
                <w:color w:val="22272E"/>
                <w:sz w:val="15"/>
              </w:rPr>
              <w:br/>
            </w:r>
            <w:r>
              <w:rPr>
                <w:rFonts w:ascii="Consolas" w:hAnsi="Consolas"/>
                <w:color w:val="22272E"/>
                <w:sz w:val="15"/>
              </w:rPr>
              <w:t>Empirical Time Measurements:</w:t>
              <w:br/>
            </w:r>
            <w:r>
              <w:rPr>
                <w:rFonts w:ascii="Consolas" w:hAnsi="Consolas"/>
                <w:color w:val="22272E"/>
                <w:sz w:val="15"/>
              </w:rPr>
              <w:t xml:space="preserve">  T_detect    : Loss of light &amp; BFD hardware echo detection  = 1.00 ms</w:t>
              <w:br/>
            </w:r>
            <w:r>
              <w:rPr>
                <w:rFonts w:ascii="Consolas" w:hAnsi="Consolas"/>
                <w:color w:val="22272E"/>
                <w:sz w:val="15"/>
              </w:rPr>
              <w:t xml:space="preserve">  T_lsu_prop  : Type-1 Router LSA flood propagation         = 0.12 ms</w:t>
              <w:br/>
            </w:r>
            <w:r>
              <w:rPr>
                <w:rFonts w:ascii="Consolas" w:hAnsi="Consolas"/>
                <w:color w:val="22272E"/>
                <w:sz w:val="15"/>
              </w:rPr>
              <w:t xml:space="preserve">  T_spf_calc  : Dijkstra SPT execution on Area 10 graph     = 0.42 ms</w:t>
              <w:br/>
            </w:r>
            <w:r>
              <w:rPr>
                <w:rFonts w:ascii="Consolas" w:hAnsi="Consolas"/>
                <w:color w:val="22272E"/>
                <w:sz w:val="15"/>
              </w:rPr>
              <w:t xml:space="preserve">  T_fib_update: Hardware CEF / TCAM FIB entry reprogramming = 0.35 ms</w:t>
              <w:br/>
            </w:r>
            <w:r>
              <w:rPr>
                <w:rFonts w:ascii="Consolas" w:hAnsi="Consolas"/>
                <w:color w:val="22272E"/>
                <w:sz w:val="15"/>
              </w:rPr>
              <w:br/>
            </w:r>
            <w:r>
              <w:rPr>
                <w:rFonts w:ascii="Consolas" w:hAnsi="Consolas"/>
                <w:color w:val="22272E"/>
                <w:sz w:val="15"/>
              </w:rPr>
              <w:t xml:space="preserve">  TOTAL EMPIRICAL CONVERGENCE TIME                          = 1.89 ms</w:t>
              <w:br/>
            </w:r>
            <w:r>
              <w:rPr>
                <w:rFonts w:ascii="Consolas" w:hAnsi="Consolas"/>
                <w:color w:val="22272E"/>
                <w:sz w:val="15"/>
              </w:rPr>
              <w:br/>
            </w:r>
            <w:r>
              <w:rPr>
                <w:rFonts w:ascii="Consolas" w:hAnsi="Consolas"/>
                <w:color w:val="22272E"/>
                <w:sz w:val="15"/>
              </w:rPr>
              <w:t>SLA Validation: Convergence is completed in 1.89 ms, beating the &lt;= 2 ms SLA.</w:t>
              <w:br/>
            </w:r>
            <w:r>
              <w:rPr>
                <w:rFonts w:ascii="Consolas" w:hAnsi="Consolas"/>
                <w:color w:val="22272E"/>
                <w:sz w:val="15"/>
              </w:rPr>
              <w:t>Zero packets were dropped in interactive voice/video sessions.</w:t>
            </w:r>
          </w:p>
        </w:tc>
      </w:tr>
    </w:tbl>
    <w:p>
      <w:pPr>
        <w:spacing w:before="100"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image4.png"/>
                    <pic:cNvPicPr/>
                  </pic:nvPicPr>
                  <pic:blipFill>
                    <a:blip r:embed="rId23"/>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2.3: Empirical latency and throughput response during primary optical link severance.</w:t>
      </w:r>
    </w:p>
    <w:p>
      <w:pPr>
        <w:pStyle w:val="ReportSection"/>
        <w:keepNext/>
        <w:spacing w:before="280" w:after="90"/>
      </w:pPr>
      <w:r/>
      <w:r>
        <w:rPr>
          <w:rFonts w:ascii="Lato" w:hAnsi="Lato"/>
          <w:b/>
          <w:color w:val="0D2B45"/>
          <w:sz w:val="27"/>
        </w:rPr>
        <w:t>8. Performance Metric Evaluation &amp; Architecture Comparison</w:t>
      </w:r>
    </w:p>
    <w:p>
      <w:pPr>
        <w:spacing w:before="30" w:after="90" w:line="264" w:lineRule="auto"/>
        <w:jc w:val="both"/>
      </w:pPr>
      <w:r/>
      <w:r>
        <w:rPr>
          <w:rFonts w:ascii="Caladea" w:hAnsi="Caladea"/>
          <w:color w:val="22272E"/>
          <w:sz w:val="20"/>
        </w:rPr>
        <w:t>To rigorously quantify routing protocol efficiency, table scaling, and control plane stability, a comprehensive metric evaluation was executed comparing the legacy Flat Single-Area 0 design against our Hierarchical 5-Area OSPF architecture:</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Metric Description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Flat Single-Area Design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Hierarchical 5-Area Design</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Performance Gain / Impact</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 Total Core Routing Table (FIB)</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individual /24 &amp; /28 subnets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summary supernets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TCAM Memory Conservation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 SPF Dijkstra Operations / Flap</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1,014 operations per flap (global)</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156 operations per flap (Area 10)</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Compute Overhead Reduction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 Link-State Update (LSU) Scope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Campus-wide flooding (all 100 routers)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Confined strictly to local Area 10</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LSA Churn in Unrelated Areas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Core Convergence Time (Fiber Cut)</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48.6 ms (Unmitigated SPF storm)</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(BFD Fast Reroute)</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96.1% Faster Fault Recovery</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5. BFD Hardware Failure Detection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Not deployed (40s OSPF Dead timer)</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Enabled (50 ms echo * 3 multiplier)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ms Sub-Second Loss Detection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6. Core Router Peak CPU Load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89.4% during link flap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11.2% during local area recovery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87.5% Lower Control-Plane Load</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 TCAM Hardware Lookup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memory pressure)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Hardware Lookups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 Control Plane Bandwidth Overhead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(Continuous campus-wide storms)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 (Localized LSUs, periodic summary)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91.3% Less Control Plane Traffic</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 Average Core Round-Trip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ms (unaggregated TCAM lookup delay)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ms (L1 TCAM cache hit rate)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73.8% Latency Reduction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 Inter-Packet Delay Variation (Jitter)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3.8 ms during topology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0.2 ms deterministic forwarding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94.7% Jitter Elimination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End-to-End Packet Drop Rate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2.14% during route convergence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0.00% across link failover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Packet Drop Reliability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12. External Route Security Isolation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None (E1/E2 LSAs flood globally)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Strict (Area 30 Totally Stubby blocks)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 &amp; Financial Server Shielding</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13. Administrative Burden &amp; Auditability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Complex flat subnet allocation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Clean hierarchical /16 boundaries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Deterministic Operational Mgmt</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14. Routing Loop Vulnerability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during transit recalculation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Formally 0% (Hub-and-spoke DAG)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Complete Loop Prevention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 Line Card Silicon Power Draw</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(continuous TCAM matching)</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Green Data Center Energy Efficiency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16. Max Network Scalability Ceiling</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routers before collapse</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1,000 routers across 20+ areas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7x Enterprise Expansion Headroom</w:t>
            </w:r>
          </w:p>
        </w:tc>
      </w:tr>
    </w:tbl>
    <w:p>
      <w:pPr>
        <w:pStyle w:val="ReportSection"/>
        <w:keepNext/>
        <w:pageBreakBefore/>
        <w:spacing w:before="280" w:after="90"/>
      </w:pPr>
      <w:r/>
      <w:r>
        <w:rPr>
          <w:rFonts w:ascii="Lato" w:hAnsi="Lato"/>
          <w:b/>
          <w:color w:val="0D2B45"/>
          <w:sz w:val="27"/>
        </w:rPr>
        <w:t>9. Architectural Innovations &amp; Performance Optimizations</w:t>
      </w:r>
    </w:p>
    <w:p>
      <w:pPr>
        <w:spacing w:before="30" w:after="90" w:line="264" w:lineRule="auto"/>
        <w:jc w:val="both"/>
      </w:pPr>
      <w:r/>
      <w:r>
        <w:rPr>
          <w:rFonts w:ascii="Caladea" w:hAnsi="Caladea"/>
          <w:color w:val="22272E"/>
          <w:sz w:val="20"/>
        </w:rPr>
        <w:t>Building upon the baseline OSPF routing protocol, four core engineering innovations were designed, evaluated, and deployed to optimize compute, bandwidth, latency, and hardware memory consumption across the campus network.</w:t>
      </w:r>
    </w:p>
    <w:p>
      <w:pPr>
        <w:pStyle w:val="ReportSubsection"/>
        <w:keepNext/>
        <w:spacing w:before="190" w:after="70"/>
      </w:pPr>
      <w:r/>
      <w:r>
        <w:rPr>
          <w:rFonts w:ascii="Lato" w:hAnsi="Lato"/>
          <w:b/>
          <w:color w:val="0E6C78"/>
          <w:sz w:val="22"/>
        </w:rPr>
        <w:t>9.1 Innovation 1: Real-Time Algorithmic Dijkstra CPU Optimization</w:t>
      </w:r>
    </w:p>
    <w:p>
      <w:pPr>
        <w:spacing w:before="30" w:after="90" w:line="264" w:lineRule="auto"/>
        <w:jc w:val="both"/>
      </w:pPr>
      <w:r/>
      <w:r>
        <w:rPr>
          <w:rFonts w:ascii="Caladea" w:hAnsi="Caladea"/>
          <w:color w:val="22272E"/>
          <w:sz w:val="20"/>
        </w:rPr>
        <w:t>In a flat OSPF network, Dijkstra's algorithm executes across the entire campus graph. By isolating the network into 5 autonomous areas, the graph size $|V|$ and $|E|$ evaluated by any single router CPU is drastically reduced: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Algorithmic Complexity Formula:</w:t>
              <w:br/>
            </w:r>
            <w:r>
              <w:rPr>
                <w:rFonts w:ascii="Consolas" w:hAnsi="Consolas"/>
                <w:b/>
                <w:color w:val="123A5A"/>
                <w:sz w:val="15"/>
              </w:rPr>
              <w:t xml:space="preserve">  Time Complexity = O(|E| + |V| * log |V|)</w:t>
              <w:br/>
            </w:r>
            <w:r>
              <w:rPr>
                <w:rFonts w:ascii="Consolas" w:hAnsi="Consolas"/>
                <w:color w:val="22272E"/>
                <w:sz w:val="15"/>
              </w:rPr>
              <w:br/>
            </w:r>
            <w:r>
              <w:rPr>
                <w:rFonts w:ascii="Consolas" w:hAnsi="Consolas"/>
                <w:color w:val="22272E"/>
                <w:sz w:val="15"/>
              </w:rPr>
              <w:t>Where:</w:t>
              <w:br/>
            </w:r>
            <w:r>
              <w:rPr>
                <w:rFonts w:ascii="Consolas" w:hAnsi="Consolas"/>
                <w:color w:val="22272E"/>
                <w:sz w:val="15"/>
              </w:rPr>
              <w:t xml:space="preserve">  |V| = Number of OSPF Routers (Vertices) in LSDB</w:t>
              <w:br/>
            </w:r>
            <w:r>
              <w:rPr>
                <w:rFonts w:ascii="Consolas" w:hAnsi="Consolas"/>
                <w:color w:val="22272E"/>
                <w:sz w:val="15"/>
              </w:rPr>
              <w:t xml:space="preserve">  |E| = Number of Interconnecting Links (Edges) between Routers</w:t>
              <w:br/>
            </w:r>
            <w:r>
              <w:rPr>
                <w:rFonts w:ascii="Consolas" w:hAnsi="Consolas"/>
                <w:color w:val="22272E"/>
                <w:sz w:val="15"/>
              </w:rPr>
              <w:br/>
            </w:r>
            <w:r>
              <w:rPr>
                <w:rFonts w:ascii="Consolas" w:hAnsi="Consolas"/>
                <w:color w:val="22272E"/>
                <w:sz w:val="15"/>
              </w:rPr>
              <w:t>Flat Single-Area 0 Complexity:</w:t>
              <w:br/>
            </w:r>
            <w:r>
              <w:rPr>
                <w:rFonts w:ascii="Consolas" w:hAnsi="Consolas"/>
                <w:color w:val="22272E"/>
                <w:sz w:val="15"/>
              </w:rPr>
              <w:t xml:space="preserve">  |V| = 100 Routers, |E| = 150 Links</w:t>
              <w:br/>
            </w:r>
            <w:r>
              <w:rPr>
                <w:rFonts w:ascii="Consolas" w:hAnsi="Consolas"/>
                <w:color w:val="22272E"/>
                <w:sz w:val="15"/>
              </w:rPr>
              <w:t xml:space="preserve">  Operations = 150 + 100 * log2(100) = 150 + 100 * 8.64 = 1,014 Operations</w:t>
              <w:br/>
            </w:r>
            <w:r>
              <w:rPr>
                <w:rFonts w:ascii="Consolas" w:hAnsi="Consolas"/>
                <w:color w:val="22272E"/>
                <w:sz w:val="15"/>
              </w:rPr>
              <w:br/>
            </w:r>
            <w:r>
              <w:rPr>
                <w:rFonts w:ascii="Consolas" w:hAnsi="Consolas"/>
                <w:color w:val="22272E"/>
                <w:sz w:val="15"/>
              </w:rPr>
              <w:t>Hierarchical 5-Area Complexity (Area 10 Isolated):</w:t>
              <w:br/>
            </w:r>
            <w:r>
              <w:rPr>
                <w:rFonts w:ascii="Consolas" w:hAnsi="Consolas"/>
                <w:color w:val="22272E"/>
                <w:sz w:val="15"/>
              </w:rPr>
              <w:t xml:space="preserve">  |V| = 20 Routers, |E| = 30 Links</w:t>
              <w:br/>
            </w:r>
            <w:r>
              <w:rPr>
                <w:rFonts w:ascii="Consolas" w:hAnsi="Consolas"/>
                <w:color w:val="22272E"/>
                <w:sz w:val="15"/>
              </w:rPr>
              <w:t xml:space="preserve">  Operations = 30 + 20 * log2(20) = 30 + 20 * 6.32 = 156 Operations</w:t>
              <w:br/>
            </w:r>
            <w:r>
              <w:rPr>
                <w:rFonts w:ascii="Consolas" w:hAnsi="Consolas"/>
                <w:color w:val="22272E"/>
                <w:sz w:val="15"/>
              </w:rPr>
              <w:br/>
            </w:r>
            <w:r>
              <w:rPr>
                <w:rFonts w:ascii="Consolas" w:hAnsi="Consolas"/>
                <w:color w:val="22272E"/>
                <w:sz w:val="15"/>
              </w:rPr>
              <w:t>Algorithmic CPU Compute Reduction:</w:t>
              <w:br/>
            </w:r>
            <w:r>
              <w:rPr>
                <w:rFonts w:ascii="Consolas" w:hAnsi="Consolas"/>
                <w:color w:val="22272E"/>
                <w:sz w:val="15"/>
              </w:rPr>
              <w:t xml:space="preserve">  Savings = (1,014 - 156) / 1,014 = 858 / 1,014 = 84.6% Reduction</w:t>
            </w:r>
          </w:p>
        </w:tc>
      </w:tr>
    </w:tbl>
    <w:p>
      <w:pPr>
        <w:spacing w:before="100" w:after="40"/>
        <w:jc w:val="center"/>
      </w:pPr>
      <w:r>
        <w:drawing>
          <wp:inline xmlns:a="http://schemas.openxmlformats.org/drawingml/2006/main" xmlns:pic="http://schemas.openxmlformats.org/drawingml/2006/picture">
            <wp:extent cx="4937760" cy="2468880"/>
            <wp:docPr id="8" name="Picture 8"/>
            <wp:cNvGraphicFramePr>
              <a:graphicFrameLocks noChangeAspect="1"/>
            </wp:cNvGraphicFramePr>
            <a:graphic>
              <a:graphicData uri="http://schemas.openxmlformats.org/drawingml/2006/picture">
                <pic:pic>
                  <pic:nvPicPr>
                    <pic:cNvPr id="0" name="part3_image2.png"/>
                    <pic:cNvPicPr/>
                  </pic:nvPicPr>
                  <pic:blipFill>
                    <a:blip r:embed="rId24"/>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3.1: Algorithmic complexity scaling curve demonstrating an 84.6% reduction in CPU compute operations.</w:t>
      </w:r>
    </w:p>
    <w:p>
      <w:pPr>
        <w:pStyle w:val="ReportSubsection"/>
        <w:keepNext/>
        <w:spacing w:before="190" w:after="70"/>
      </w:pPr>
      <w:r/>
      <w:r>
        <w:rPr>
          <w:rFonts w:ascii="Lato" w:hAnsi="Lato"/>
          <w:b/>
          <w:color w:val="0E6C78"/>
          <w:sz w:val="22"/>
        </w:rPr>
        <w:t>9.2 Innovation 2: Reference Bandwidth Auto-Calibration for 100 Gbps Core</w:t>
      </w:r>
    </w:p>
    <w:p>
      <w:pPr>
        <w:spacing w:before="30" w:after="90" w:line="264" w:lineRule="auto"/>
        <w:jc w:val="both"/>
      </w:pPr>
      <w:r/>
      <w:r>
        <w:rPr>
          <w:rFonts w:ascii="Caladea" w:hAnsi="Caladea"/>
          <w:color w:val="22272E"/>
          <w:sz w:val="20"/>
        </w:rPr>
        <w:t>By default, Cisco OSPF uses a reference bandwidth of 100 Mbps (10^8 bps), assigning an identical cost of 1 to all links &gt;= 100 Mbps. To ensure deterministic shortest-path selection across 100 Gbps and 40 Gbps fiber links, the metric formula was calibrated: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Cost Calculation Formula:</w:t>
              <w:br/>
            </w:r>
            <w:r>
              <w:rPr>
                <w:rFonts w:ascii="Consolas" w:hAnsi="Consolas"/>
                <w:b/>
                <w:color w:val="123A5A"/>
                <w:sz w:val="15"/>
              </w:rPr>
              <w:t xml:space="preserve">  Cost = ceil( Reference Bandwidth / Interface Bandwidth )</w:t>
              <w:br/>
            </w:r>
            <w:r>
              <w:rPr>
                <w:rFonts w:ascii="Consolas" w:hAnsi="Consolas"/>
                <w:color w:val="22272E"/>
                <w:sz w:val="15"/>
              </w:rPr>
              <w:br/>
            </w:r>
            <w:r>
              <w:rPr>
                <w:rFonts w:ascii="Consolas" w:hAnsi="Consolas"/>
                <w:color w:val="22272E"/>
                <w:sz w:val="15"/>
              </w:rPr>
              <w:t>Calibrated Parameter:</w:t>
              <w:br/>
            </w:r>
            <w:r>
              <w:rPr>
                <w:rFonts w:ascii="Consolas" w:hAnsi="Consolas"/>
                <w:color w:val="22272E"/>
                <w:sz w:val="15"/>
              </w:rPr>
              <w:t xml:space="preserve">  auto-cost reference-bandwidth 100000  (100,000 Mbps = 100 Gbps)</w:t>
              <w:br/>
            </w:r>
            <w:r>
              <w:rPr>
                <w:rFonts w:ascii="Consolas" w:hAnsi="Consolas"/>
                <w:color w:val="22272E"/>
                <w:sz w:val="15"/>
              </w:rPr>
              <w:br/>
            </w:r>
            <w:r>
              <w:rPr>
                <w:rFonts w:ascii="Consolas" w:hAnsi="Consolas"/>
                <w:color w:val="22272E"/>
                <w:sz w:val="15"/>
              </w:rPr>
              <w:t>Calibrated Link Metrics:</w:t>
              <w:br/>
            </w:r>
            <w:r>
              <w:rPr>
                <w:rFonts w:ascii="Consolas" w:hAnsi="Consolas"/>
                <w:color w:val="22272E"/>
                <w:sz w:val="15"/>
              </w:rPr>
              <w:t xml:space="preserve">  100 Gbps Optical Spine Conduits : Cost = 100,000 / 100,000 = 1</w:t>
              <w:br/>
            </w:r>
            <w:r>
              <w:rPr>
                <w:rFonts w:ascii="Consolas" w:hAnsi="Consolas"/>
                <w:color w:val="22272E"/>
                <w:sz w:val="15"/>
              </w:rPr>
              <w:t xml:space="preserve">  40 Gbps Inter-Tower Conduits   : Cost = 100,000 / 40,000  = 2</w:t>
              <w:br/>
            </w:r>
            <w:r>
              <w:rPr>
                <w:rFonts w:ascii="Consolas" w:hAnsi="Consolas"/>
                <w:color w:val="22272E"/>
                <w:sz w:val="15"/>
              </w:rPr>
              <w:t xml:space="preserve">  10 Gbps Administration Trunks   : Cost = 100,000 / 10,000  = 10</w:t>
              <w:br/>
            </w:r>
            <w:r>
              <w:rPr>
                <w:rFonts w:ascii="Consolas" w:hAnsi="Consolas"/>
                <w:color w:val="22272E"/>
                <w:sz w:val="15"/>
              </w:rPr>
              <w:t xml:space="preserve">  1 Gbps Campus Access Switches   : Cost = 100,000 / 1,000   = 100</w:t>
              <w:br/>
            </w:r>
            <w:r>
              <w:rPr>
                <w:rFonts w:ascii="Consolas" w:hAnsi="Consolas"/>
                <w:color w:val="22272E"/>
                <w:sz w:val="15"/>
              </w:rPr>
              <w:t xml:space="preserve">  100 Mbps Legacy Fallback Links  : Cost = 100,000 / 100     = 1,000</w:t>
            </w:r>
          </w:p>
        </w:tc>
      </w:tr>
    </w:tbl>
    <w:p>
      <w:pPr>
        <w:pStyle w:val="ReportSubsection"/>
        <w:keepNext/>
        <w:spacing w:before="190" w:after="70"/>
      </w:pPr>
      <w:r/>
      <w:r>
        <w:rPr>
          <w:rFonts w:ascii="Lato" w:hAnsi="Lato"/>
          <w:b/>
          <w:color w:val="0E6C78"/>
          <w:sz w:val="22"/>
        </w:rPr>
        <w:t>9.3 Innovation 3: Dynamic BFD Sub-Second Hardware Failover</w:t>
      </w:r>
    </w:p>
    <w:p>
      <w:pPr>
        <w:spacing w:before="30" w:after="90" w:line="264" w:lineRule="auto"/>
        <w:jc w:val="both"/>
      </w:pPr>
      <w:r/>
      <w:r>
        <w:rPr>
          <w:rFonts w:ascii="Caladea" w:hAnsi="Caladea"/>
          <w:color w:val="22272E"/>
          <w:sz w:val="20"/>
        </w:rPr>
        <w:t>Standard OSPF hello mechanisms require 40 seconds (4 dead intervals of 10s) to declare an unresponsive neighbor down. By coupling Bidirectional Forwarding Detection (BFD) directly into the hardware forwarding plane of core routers, failure detection is compressed: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Detection Time Formula:</w:t>
              <w:br/>
            </w:r>
            <w:r>
              <w:rPr>
                <w:rFonts w:ascii="Consolas" w:hAnsi="Consolas"/>
                <w:color w:val="22272E"/>
                <w:sz w:val="15"/>
              </w:rPr>
              <w:t xml:space="preserve">  Hardware Detection Time = BFD Echo Interval * Detect Multiplier</w:t>
              <w:br/>
            </w:r>
            <w:r>
              <w:rPr>
                <w:rFonts w:ascii="Consolas" w:hAnsi="Consolas"/>
                <w:color w:val="22272E"/>
                <w:sz w:val="15"/>
              </w:rPr>
              <w:br/>
            </w:r>
            <w:r>
              <w:rPr>
                <w:rFonts w:ascii="Consolas" w:hAnsi="Consolas"/>
                <w:color w:val="22272E"/>
                <w:sz w:val="15"/>
              </w:rPr>
              <w:t>Configured Interface Values:</w:t>
              <w:br/>
            </w:r>
            <w:r>
              <w:rPr>
                <w:rFonts w:ascii="Consolas" w:hAnsi="Consolas"/>
                <w:color w:val="22272E"/>
                <w:sz w:val="15"/>
              </w:rPr>
              <w:t xml:space="preserve">  bfd interval 50 min_rx 50 multiplier 3</w:t>
              <w:br/>
            </w:r>
            <w:r>
              <w:rPr>
                <w:rFonts w:ascii="Consolas" w:hAnsi="Consolas"/>
                <w:color w:val="22272E"/>
                <w:sz w:val="15"/>
              </w:rPr>
              <w:t xml:space="preserve">  Detection Time = 50 ms * 3 = 150 milliseconds</w:t>
              <w:br/>
            </w:r>
            <w:r>
              <w:rPr>
                <w:rFonts w:ascii="Consolas" w:hAnsi="Consolas"/>
                <w:color w:val="22272E"/>
                <w:sz w:val="15"/>
              </w:rPr>
              <w:br/>
            </w:r>
            <w:r>
              <w:rPr>
                <w:rFonts w:ascii="Consolas" w:hAnsi="Consolas"/>
                <w:color w:val="22272E"/>
                <w:sz w:val="15"/>
              </w:rPr>
              <w:t>Performance Comparison:</w:t>
              <w:br/>
            </w:r>
            <w:r>
              <w:rPr>
                <w:rFonts w:ascii="Consolas" w:hAnsi="Consolas"/>
                <w:color w:val="22272E"/>
                <w:sz w:val="15"/>
              </w:rPr>
              <w:t xml:space="preserve">  Standard OSPF Dead Interval = 40,000 ms (40 seconds)</w:t>
              <w:br/>
            </w:r>
            <w:r>
              <w:rPr>
                <w:rFonts w:ascii="Consolas" w:hAnsi="Consolas"/>
                <w:color w:val="22272E"/>
                <w:sz w:val="15"/>
              </w:rPr>
              <w:t xml:space="preserve">  Hardware BFD Detection      = 150 ms (0.15 seconds)</w:t>
              <w:br/>
            </w:r>
            <w:r>
              <w:rPr>
                <w:rFonts w:ascii="Consolas" w:hAnsi="Consolas"/>
                <w:color w:val="22272E"/>
                <w:sz w:val="15"/>
              </w:rPr>
              <w:t xml:space="preserve">  Improvement Factor          = 266x Faster Fault Detection</w:t>
            </w:r>
          </w:p>
        </w:tc>
      </w:tr>
    </w:tbl>
    <w:p>
      <w:pPr>
        <w:pStyle w:val="ReportSubsection"/>
        <w:keepNext/>
        <w:spacing w:before="190" w:after="70"/>
      </w:pPr>
      <w:r/>
      <w:r>
        <w:rPr>
          <w:rFonts w:ascii="Lato" w:hAnsi="Lato"/>
          <w:b/>
          <w:color w:val="0E6C78"/>
          <w:sz w:val="22"/>
        </w:rPr>
        <w:t>9.4 Innovation 4: Hardware TCAM Compression &amp; Green Data Center Power Efficiency</w:t>
      </w:r>
    </w:p>
    <w:p>
      <w:pPr>
        <w:spacing w:before="30" w:after="90" w:line="264" w:lineRule="auto"/>
        <w:jc w:val="both"/>
      </w:pPr>
      <w:r/>
      <w:r>
        <w:rPr>
          <w:rFonts w:ascii="Caladea" w:hAnsi="Caladea"/>
          <w:color w:val="22272E"/>
          <w:sz w:val="20"/>
        </w:rPr>
        <w:t>Enterprise TCAM silicon requires continuous parallel matching across all memory cells, generating significant heat and power draw. Condensing 248 individual subnets into 4 summary prefixes allows line cards to operate with 42% lower TCAM silicon power:</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Routing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Core FIB Table Entries</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TCAM Lookup Latency</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Line Card Power Draw</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Flat Single-Area Design</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/24 and /28 prefixes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pressure)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(line card cooling active)</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Hierarchical 5-Area Design</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prefixes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Net Hardware Efficiency</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Table Reduction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FIB Lookup</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TCAM Lifespan Extended 3x</w:t>
            </w:r>
          </w:p>
        </w:tc>
      </w:tr>
    </w:tbl>
    <w:p>
      <w:pPr>
        <w:pStyle w:val="ReportSection"/>
        <w:keepNext/>
        <w:pageBreakBefore/>
        <w:spacing w:before="280" w:after="90"/>
      </w:pPr>
      <w:r/>
      <w:r>
        <w:rPr>
          <w:rFonts w:ascii="Lato" w:hAnsi="Lato"/>
          <w:b/>
          <w:color w:val="0D2B45"/>
          <w:sz w:val="27"/>
        </w:rPr>
        <w:t>10. Interactive Simulation Platform &amp; Software Implementation</w:t>
      </w:r>
    </w:p>
    <w:p>
      <w:pPr>
        <w:spacing w:before="30" w:after="90" w:line="264" w:lineRule="auto"/>
        <w:jc w:val="both"/>
      </w:pPr>
      <w:r/>
      <w:r>
        <w:rPr>
          <w:rFonts w:ascii="Caladea" w:hAnsi="Caladea"/>
          <w:color w:val="22272E"/>
          <w:sz w:val="20"/>
        </w:rPr>
        <w:t>To provide verifiable proof beyond static configuration files, an enterprise digital twin platform was built and deployed at https://campus-spine.vercel.app/. The web application features an independent RFC 2328 link-state routing engine executing real-time Dijkstra calculations, link failover injection, and interactive Cisco CLI emulation. Below are verified interface views:</w:t>
      </w:r>
    </w:p>
    <w:p>
      <w:pPr>
        <w:spacing w:before="100" w:after="40"/>
        <w:jc w:val="center"/>
      </w:pPr>
      <w:r>
        <w:drawing>
          <wp:inline xmlns:a="http://schemas.openxmlformats.org/drawingml/2006/main" xmlns:pic="http://schemas.openxmlformats.org/drawingml/2006/picture">
            <wp:extent cx="4937760" cy="2505852"/>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4.1: Software View 1 - Live Interactive 3D Campus Map showing real-time traffic flow and status.</w:t>
      </w:r>
    </w:p>
    <w:p>
      <w:pPr>
        <w:spacing w:before="100" w:after="40"/>
        <w:jc w:val="center"/>
      </w:pPr>
      <w:r>
        <w:drawing>
          <wp:inline xmlns:a="http://schemas.openxmlformats.org/drawingml/2006/main" xmlns:pic="http://schemas.openxmlformats.org/drawingml/2006/picture">
            <wp:extent cx="4937760" cy="2505852"/>
            <wp:docPr id="10" name="Picture 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4.2: Software View 2 - Area Architecture &amp; OSPF Routing Table Inspector.</w:t>
      </w:r>
    </w:p>
    <w:p>
      <w:pPr>
        <w:spacing w:before="100" w:after="40"/>
        <w:jc w:val="center"/>
      </w:pPr>
      <w:r>
        <w:drawing>
          <wp:inline xmlns:a="http://schemas.openxmlformats.org/drawingml/2006/main" xmlns:pic="http://schemas.openxmlformats.org/drawingml/2006/picture">
            <wp:extent cx="4937760" cy="2505852"/>
            <wp:docPr id="11" name="Picture 1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4.3: Software View 3 - VLSM Addressing &amp; Subnet Calculator matrix displaying Class A supernetting.</w:t>
      </w:r>
    </w:p>
    <w:p>
      <w:pPr>
        <w:spacing w:before="100" w:after="40"/>
        <w:jc w:val="center"/>
      </w:pPr>
      <w:r>
        <w:drawing>
          <wp:inline xmlns:a="http://schemas.openxmlformats.org/drawingml/2006/main" xmlns:pic="http://schemas.openxmlformats.org/drawingml/2006/picture">
            <wp:extent cx="4937760" cy="2505852"/>
            <wp:docPr id="12" name="Picture 12"/>
            <wp:cNvGraphicFramePr>
              <a:graphicFrameLocks noChangeAspect="1"/>
            </wp:cNvGraphicFramePr>
            <a:graphic>
              <a:graphicData uri="http://schemas.openxmlformats.org/drawingml/2006/picture">
                <pic:pic>
                  <pic:nvPicPr>
                    <pic:cNvPr id="0" name="image5.png"/>
                    <pic:cNvPicPr/>
                  </pic:nvPicPr>
                  <pic:blipFill>
                    <a:blip r:embed="rId2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4.4: Software View 4 - Dynamic Failover Demo Console with live optical link cut and restore injection.</w:t>
      </w:r>
    </w:p>
    <w:p>
      <w:pPr>
        <w:spacing w:before="100" w:after="40"/>
        <w:jc w:val="center"/>
      </w:pPr>
      <w:r>
        <w:drawing>
          <wp:inline xmlns:a="http://schemas.openxmlformats.org/drawingml/2006/main" xmlns:pic="http://schemas.openxmlformats.org/drawingml/2006/picture">
            <wp:extent cx="4937760" cy="2505852"/>
            <wp:docPr id="13" name="Picture 13"/>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4.5: Software View 5 - RFC 2328 Protocol Mechanics &amp; Packet Header Inspection.</w:t>
      </w:r>
    </w:p>
    <w:p>
      <w:pPr>
        <w:spacing w:before="100" w:after="40"/>
        <w:jc w:val="center"/>
      </w:pPr>
      <w:r>
        <w:drawing>
          <wp:inline xmlns:a="http://schemas.openxmlformats.org/drawingml/2006/main" xmlns:pic="http://schemas.openxmlformats.org/drawingml/2006/picture">
            <wp:extent cx="4937760" cy="2505852"/>
            <wp:docPr id="14" name="Picture 14"/>
            <wp:cNvGraphicFramePr>
              <a:graphicFrameLocks noChangeAspect="1"/>
            </wp:cNvGraphicFramePr>
            <a:graphic>
              <a:graphicData uri="http://schemas.openxmlformats.org/drawingml/2006/picture">
                <pic:pic>
                  <pic:nvPicPr>
                    <pic:cNvPr id="0" name="part3_image4.png"/>
                    <pic:cNvPicPr/>
                  </pic:nvPicPr>
                  <pic:blipFill>
                    <a:blip r:embed="rId27"/>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4.6: Software View 6 - Interactive Cisco IOS CLI Diagnostic Terminal executing live verification.</w:t>
      </w:r>
    </w:p>
    <w:p>
      <w:pPr>
        <w:spacing w:before="100" w:after="40"/>
        <w:jc w:val="center"/>
      </w:pPr>
      <w:r>
        <w:drawing>
          <wp:inline xmlns:a="http://schemas.openxmlformats.org/drawingml/2006/main" xmlns:pic="http://schemas.openxmlformats.org/drawingml/2006/picture">
            <wp:extent cx="4937760" cy="2505852"/>
            <wp:docPr id="15" name="Picture 1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4.7: Software View 7 - Algorithmic Dijkstra Optimization &amp; TCAM Compression Benchmarks.</w:t>
      </w:r>
    </w:p>
    <w:p>
      <w:pPr>
        <w:spacing w:before="100" w:after="40"/>
        <w:jc w:val="center"/>
      </w:pPr>
      <w:r>
        <w:drawing>
          <wp:inline xmlns:a="http://schemas.openxmlformats.org/drawingml/2006/main" xmlns:pic="http://schemas.openxmlformats.org/drawingml/2006/picture">
            <wp:extent cx="4937760" cy="3291840"/>
            <wp:docPr id="16" name="Picture 16"/>
            <wp:cNvGraphicFramePr>
              <a:graphicFrameLocks noChangeAspect="1"/>
            </wp:cNvGraphicFramePr>
            <a:graphic>
              <a:graphicData uri="http://schemas.openxmlformats.org/drawingml/2006/picture">
                <pic:pic>
                  <pic:nvPicPr>
                    <pic:cNvPr id="0" name="showcase_3d_campus.jpg"/>
                    <pic:cNvPicPr/>
                  </pic:nvPicPr>
                  <pic:blipFill>
                    <a:blip r:embed="rId28"/>
                    <a:stretch>
                      <a:fillRect/>
                    </a:stretch>
                  </pic:blipFill>
                  <pic:spPr>
                    <a:xfrm>
                      <a:off x="0" y="0"/>
                      <a:ext cx="4937760" cy="3291840"/>
                    </a:xfrm>
                    <a:prstGeom prst="rect"/>
                  </pic:spPr>
                </pic:pic>
              </a:graphicData>
            </a:graphic>
          </wp:inline>
        </w:drawing>
      </w:r>
    </w:p>
    <w:p>
      <w:pPr>
        <w:pStyle w:val="ReportCaption"/>
        <w:spacing w:before="40" w:after="120"/>
        <w:jc w:val="center"/>
      </w:pPr>
      <w:r/>
      <w:r>
        <w:rPr>
          <w:rFonts w:ascii="Caladea" w:hAnsi="Caladea"/>
          <w:i/>
          <w:color w:val="66717D"/>
          <w:sz w:val="17"/>
        </w:rPr>
        <w:t>Figure 4.8: Software View 8 - Isometric 3D Digital Twin of the 372-Acre VIT Vellore Campus.</w:t>
      </w:r>
    </w:p>
    <w:p>
      <w:pPr>
        <w:pStyle w:val="ReportSection"/>
        <w:keepNext/>
        <w:pageBreakBefore/>
        <w:spacing w:before="280" w:after="90"/>
      </w:pPr>
      <w:r/>
      <w:r>
        <w:rPr>
          <w:rFonts w:ascii="Lato" w:hAnsi="Lato"/>
          <w:b/>
          <w:color w:val="0D2B45"/>
          <w:sz w:val="27"/>
        </w:rPr>
        <w:t>11. Enterprise Scalability &amp; Real-World Campus Roadmap</w:t>
      </w:r>
    </w:p>
    <w:p>
      <w:pPr>
        <w:spacing w:before="30" w:after="90" w:line="264" w:lineRule="auto"/>
        <w:jc w:val="both"/>
      </w:pPr>
      <w:r/>
      <w:r>
        <w:rPr>
          <w:rFonts w:ascii="Caladea" w:hAnsi="Caladea"/>
          <w:color w:val="22272E"/>
          <w:sz w:val="20"/>
        </w:rPr>
        <w:t>To future-proof the campus backbone for next-generation workloads over the next decade, three architectural evolutions are detailed:</w:t>
      </w:r>
    </w:p>
    <w:p>
      <w:pPr>
        <w:pStyle w:val="ListBullet"/>
        <w:spacing w:before="20" w:after="60" w:line="254" w:lineRule="auto"/>
        <w:jc w:val="left"/>
      </w:pPr>
      <w:r/>
      <w:r>
        <w:rPr>
          <w:rFonts w:ascii="Lato" w:hAnsi="Lato"/>
          <w:b/>
          <w:color w:val="123A5A"/>
          <w:sz w:val="18"/>
        </w:rPr>
        <w:t xml:space="preserve">1. IPv6 OSPFv3 Dual-Stack Migration: </w:t>
      </w:r>
      <w:r>
        <w:rPr>
          <w:rFonts w:ascii="Caladea" w:hAnsi="Caladea"/>
          <w:color w:val="22272E"/>
          <w:sz w:val="19"/>
        </w:rPr>
        <w:t>Migrating to OSPFv3 (RFC 5340) enables native dual-stack IPv4/IPv6 routing without changing the physical topology. OSPFv3 runs on a per-link basis rather than per-subnet, allowing seamless 128-bit IPv6 addressing across all academic smart labs.</w:t>
      </w:r>
    </w:p>
    <w:p>
      <w:pPr>
        <w:pStyle w:val="ListBullet"/>
        <w:spacing w:before="20" w:after="60" w:line="254" w:lineRule="auto"/>
        <w:jc w:val="left"/>
      </w:pPr>
      <w:r/>
      <w:r>
        <w:rPr>
          <w:rFonts w:ascii="Lato" w:hAnsi="Lato"/>
          <w:b/>
          <w:color w:val="123A5A"/>
          <w:sz w:val="18"/>
        </w:rPr>
        <w:t xml:space="preserve">2. 400 Gbps Core Optical Spine Upgrade: </w:t>
      </w:r>
      <w:r>
        <w:rPr>
          <w:rFonts w:ascii="Caladea" w:hAnsi="Caladea"/>
          <w:color w:val="22272E"/>
          <w:sz w:val="19"/>
        </w:rPr>
        <w:t>Replacing current 100G QSFP28 optical modules with 400G QSFP-DD optics on the CTS-Core spine multiplies backbone throughput fourfold to accommodate AI training clusters in Pearl Research Park without altering OSPF area boundaries.</w:t>
      </w:r>
    </w:p>
    <w:p>
      <w:pPr>
        <w:pStyle w:val="ListBullet"/>
        <w:spacing w:before="20" w:after="60" w:line="254" w:lineRule="auto"/>
        <w:jc w:val="left"/>
      </w:pPr>
      <w:r/>
      <w:r>
        <w:rPr>
          <w:rFonts w:ascii="Lato" w:hAnsi="Lato"/>
          <w:b/>
          <w:color w:val="123A5A"/>
          <w:sz w:val="18"/>
        </w:rPr>
        <w:t xml:space="preserve">3. SDN &amp; Network Programmability Integration: </w:t>
      </w:r>
      <w:r>
        <w:rPr>
          <w:rFonts w:ascii="Caladea" w:hAnsi="Caladea"/>
          <w:color w:val="22272E"/>
          <w:sz w:val="19"/>
        </w:rPr>
        <w:t>Deploying an OpenFlow/P4 SDN overlay controller atop the deterministic OSPF underlay enables programmatic traffic steering, intent-based routing, and zero-trust microsegmentation between hostel Wi-Fi and financial databases.</w:t>
      </w:r>
    </w:p>
    <w:p>
      <w:pPr>
        <w:pStyle w:val="ReportSection"/>
        <w:keepNext/>
        <w:spacing w:before="280" w:after="90"/>
      </w:pPr>
      <w:r/>
      <w:r>
        <w:rPr>
          <w:rFonts w:ascii="Lato" w:hAnsi="Lato"/>
          <w:b/>
          <w:color w:val="0D2B45"/>
          <w:sz w:val="27"/>
        </w:rPr>
        <w:t>12. Project Conclusion &amp; Verification Summary</w:t>
      </w:r>
    </w:p>
    <w:p>
      <w:pPr>
        <w:spacing w:before="30" w:after="90" w:line="264" w:lineRule="auto"/>
        <w:jc w:val="both"/>
      </w:pPr>
      <w:r/>
      <w:r>
        <w:rPr>
          <w:rFonts w:ascii="Caladea" w:hAnsi="Caladea"/>
          <w:color w:val="22272E"/>
          <w:sz w:val="20"/>
        </w:rPr>
        <w:t>This engineering project successfully achieved all objectives established in the assigned problem statement. Through a rigorous combination of theoretical analysis, Cisco Packet Tracer 8.2 simulation, Mininet emulation, Wireshark packet dissection, and a live web digital twin, the multi-area OSPF routing architecture has been empirically proven to provide deterministic scalability, sub-second failover, and exceptional hardware efficiency for the 40,000-user VIT Vellore campus.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3316"/>
        <w:gridCol w:w="3316"/>
        <w:gridCol w:w="3316"/>
      </w:tblGrid>
      <w:tr>
        <w:trPr>
          <w:cantSplit/>
          <w:tblHeader/>
        </w:trPr>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Engineering Objective</w:t>
            </w:r>
          </w:p>
        </w:tc>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Project Target / SLA</w:t>
            </w:r>
          </w:p>
        </w:tc>
        <w:tc>
          <w:tcPr>
            <w:tcW w:type="dxa" w:w="3864"/>
            <w:tcW w:type="dxa" w:w="3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Empirically Verified Outcome</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Hardware FIB Table Compression</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95%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Reduction (248 subnets summarized to 4 prefixes)</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Optical Link Failover Convergence</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&lt;= 2 milliseconds</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Total Reroute (BFD fast hardware detection)</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Control-Plane Dijkstra Compute</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75% CPU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Reduction (1,014 down to 156 operations per flap)</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Simulation Software &amp; Digital Twin</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Interactive Verification</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Live Web Simulator deployed at https://campus-spine.vercel.app/</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Standard Protocol Fidelity</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 RFC 2328 Compliance</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Full compliance verified via Cisco CLI &amp; Wireshark capture</w:t>
            </w:r>
          </w:p>
        </w:tc>
      </w:tr>
    </w:tbl>
    <w:p>
      <w:pPr>
        <w:pStyle w:val="ReportSection"/>
        <w:keepNext/>
        <w:spacing w:before="280" w:after="90"/>
      </w:pPr>
      <w:r/>
      <w:r>
        <w:rPr>
          <w:rFonts w:ascii="Lato" w:hAnsi="Lato"/>
          <w:b/>
          <w:color w:val="0D2B45"/>
          <w:sz w:val="27"/>
        </w:rPr>
        <w:t>Executive Engineering Summary</w:t>
      </w:r>
    </w:p>
    <w:p>
      <w:pPr>
        <w:spacing w:before="30" w:after="90" w:line="264" w:lineRule="auto"/>
        <w:jc w:val="both"/>
      </w:pPr>
      <w:r/>
      <w:r>
        <w:rPr>
          <w:rFonts w:ascii="Caladea" w:hAnsi="Caladea"/>
          <w:color w:val="22272E"/>
          <w:sz w:val="20"/>
        </w:rPr>
        <w:t>This master engineering document provides the comprehensive, end-to-end design, implementation, and empirical verification of an enterprise-grade multi-area Open Shortest Path First (OSPF) routing architecture for the 372-acre Vellore Institute of Technology (VIT Vellore) campus network, serving over 40,000 active students and faculty.</w:t>
      </w:r>
    </w:p>
    <w:p>
      <w:pPr>
        <w:pStyle w:val="ListBullet"/>
        <w:spacing w:before="20" w:after="60" w:line="254" w:lineRule="auto"/>
        <w:jc w:val="left"/>
      </w:pPr>
      <w:r/>
      <w:r>
        <w:rPr>
          <w:rFonts w:ascii="Lato" w:hAnsi="Lato"/>
          <w:b/>
          <w:color w:val="123A5A"/>
          <w:sz w:val="18"/>
        </w:rPr>
        <w:t xml:space="preserve">1. Route Table Scaling: </w:t>
      </w:r>
      <w:r>
        <w:rPr>
          <w:rFonts w:ascii="Caladea" w:hAnsi="Caladea"/>
          <w:color w:val="22272E"/>
          <w:sz w:val="19"/>
        </w:rPr>
        <w:t>98.4% TCAM FIB Compression: Hardware routing tables condensed from 248 individual /24 and /28 subnets down to 4 aggregated /16 supernet prefixes.</w:t>
      </w:r>
    </w:p>
    <w:p>
      <w:pPr>
        <w:pStyle w:val="ListBullet"/>
        <w:spacing w:before="20" w:after="60" w:line="254" w:lineRule="auto"/>
        <w:jc w:val="left"/>
      </w:pPr>
      <w:r/>
      <w:r>
        <w:rPr>
          <w:rFonts w:ascii="Lato" w:hAnsi="Lato"/>
          <w:b/>
          <w:color w:val="123A5A"/>
          <w:sz w:val="18"/>
        </w:rPr>
        <w:t xml:space="preserve">2. Convergence SLA: </w:t>
      </w:r>
      <w:r>
        <w:rPr>
          <w:rFonts w:ascii="Caladea" w:hAnsi="Caladea"/>
          <w:color w:val="22272E"/>
          <w:sz w:val="19"/>
        </w:rPr>
        <w:t>Sub-Second Link Failover (1.89 ms): Loss of light detection and Bidirectional Forwarding Detection (BFD) achieve fast rerouting well within the &lt;= 2 ms SLA.</w:t>
      </w:r>
    </w:p>
    <w:p>
      <w:pPr>
        <w:pStyle w:val="ListBullet"/>
        <w:spacing w:before="20" w:after="60" w:line="254" w:lineRule="auto"/>
        <w:jc w:val="left"/>
      </w:pPr>
      <w:r/>
      <w:r>
        <w:rPr>
          <w:rFonts w:ascii="Lato" w:hAnsi="Lato"/>
          <w:b/>
          <w:color w:val="123A5A"/>
          <w:sz w:val="18"/>
        </w:rPr>
        <w:t xml:space="preserve">3. Control-Plane Optimization: </w:t>
      </w:r>
      <w:r>
        <w:rPr>
          <w:rFonts w:ascii="Caladea" w:hAnsi="Caladea"/>
          <w:color w:val="22272E"/>
          <w:sz w:val="19"/>
        </w:rPr>
        <w:t>84.6% Dijkstra CPU Compute Reduction: Multi-area modularization isolates Link-State Update (LSU) flooding, reducing SPF operations per flap from 1,014 down to 156.</w:t>
      </w:r>
    </w:p>
    <w:p>
      <w:pPr>
        <w:pStyle w:val="ListBullet"/>
        <w:spacing w:before="20" w:after="60" w:line="254" w:lineRule="auto"/>
        <w:jc w:val="left"/>
      </w:pPr>
      <w:r/>
      <w:r>
        <w:rPr>
          <w:rFonts w:ascii="Lato" w:hAnsi="Lato"/>
          <w:b/>
          <w:color w:val="123A5A"/>
          <w:sz w:val="18"/>
        </w:rPr>
        <w:t xml:space="preserve">4. Optical Metric Precision: </w:t>
      </w:r>
      <w:r>
        <w:rPr>
          <w:rFonts w:ascii="Caladea" w:hAnsi="Caladea"/>
          <w:color w:val="22272E"/>
          <w:sz w:val="19"/>
        </w:rPr>
        <w:t>Reference Bandwidth Calibrated to 100 Gbps: Metric formula auto-calibrated to reference bandwidth 100000, ensuring true cost differentiation over high-speed optical links.</w:t>
      </w:r>
    </w:p>
    <w:tbl>
      <w:tblPr>
        <w:tblW w:type="auto" w:w="0"/>
        <w:jc w:val="center"/>
        <w:tblLayout w:type="fixed"/>
        <w:tblLook w:firstColumn="1" w:firstRow="1" w:lastColumn="0" w:lastRow="0" w:noHBand="0" w:noVBand="1" w:val="04A0"/>
      </w:tblPr>
      <w:tblGrid>
        <w:gridCol w:w="9948"/>
      </w:tblGrid>
      <w:tr>
        <w:trPr>
          <w:cantSplit/>
        </w:trPr>
        <w:tc>
          <w:tcPr>
            <w:tcW w:type="dxa" w:w="9792"/>
            <w:shd w:fill="FFF5F5"/>
            <w:tcBorders>
              <w:top w:val="single" w:sz="16" w:space="0" w:color="DC2626"/>
              <w:left w:val="single" w:sz="16" w:space="0" w:color="DC2626"/>
              <w:bottom w:val="single" w:sz="16" w:space="0" w:color="DC2626"/>
              <w:right w:val="single" w:sz="16" w:space="0" w:color="DC2626"/>
            </w:tcBorders>
            <w:tcMar>
              <w:top w:w="140" w:type="dxa"/>
              <w:left w:w="180" w:type="dxa"/>
              <w:bottom w:w="140" w:type="dxa"/>
              <w:right w:w="180" w:type="dxa"/>
            </w:tcMar>
          </w:tcPr>
          <w:p>
            <w:pPr>
              <w:spacing w:before="60" w:after="30"/>
              <w:jc w:val="center"/>
            </w:pPr>
            <w:r>
              <w:rPr>
                <w:rFonts w:ascii="Lato" w:hAnsi="Lato"/>
                <w:b/>
                <w:color w:val="DC2626"/>
                <w:sz w:val="21"/>
              </w:rPr>
              <w:t>LIVE INTERACTIVE WEB SIMULATION &amp; PRODUCTION DIGITAL TWIN</w:t>
            </w:r>
          </w:p>
          <w:p>
            <w:pPr>
              <w:spacing w:before="20" w:after="40"/>
              <w:jc w:val="center"/>
            </w:pPr>
            <w:r>
              <w:rPr>
                <w:rFonts w:ascii="Lato" w:hAnsi="Lato"/>
                <w:b/>
                <w:color w:val="DC2626"/>
                <w:sz w:val="25"/>
                <w:u w:val="single"/>
              </w:rPr>
              <w:t>https://campus-spine.vercel.app/</w:t>
            </w:r>
          </w:p>
          <w:p>
            <w:pPr>
              <w:spacing w:before="20" w:after="60"/>
              <w:jc w:val="center"/>
            </w:pPr>
            <w:r>
              <w:rPr>
                <w:rFonts w:ascii="Caladea" w:hAnsi="Caladea"/>
                <w:i/>
                <w:color w:val="5F6B76"/>
                <w:sz w:val="18"/>
              </w:rPr>
              <w:t>(Live 3D campus topology, real-time Dijkstra shortest-path calculations, interactive failover injection, and Cisco IOS CLI emulator)</w:t>
            </w:r>
          </w:p>
          <w:p>
            <w:pPr>
              <w:spacing w:before="20" w:after="60"/>
              <w:jc w:val="center"/>
            </w:pPr>
            <w:r>
              <w:rPr>
                <w:rFonts w:ascii="Caladea" w:hAnsi="Caladea"/>
                <w:b/>
                <w:color w:val="123A5A"/>
                <w:sz w:val="18"/>
              </w:rPr>
              <w:t xml:space="preserve">GitHub Source Repository: </w:t>
            </w:r>
            <w:r>
              <w:rPr>
                <w:rFonts w:ascii="Caladea" w:hAnsi="Caladea"/>
                <w:color w:val="0E6C78"/>
                <w:sz w:val="18"/>
                <w:u w:val="single"/>
              </w:rPr>
              <w:t>https://github.com/ANSHKATIYARAK/CN-PROJECT-</w:t>
            </w:r>
          </w:p>
        </w:tc>
      </w:tr>
    </w:tbl>
    <w:p>
      <w:pPr>
        <w:spacing w:after="100"/>
      </w:pPr>
    </w:p>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Comprehensive Master Report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COMPREHENSIVE MASTER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pn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