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network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ubsection"/>
        <w:keepNext/>
        <w:spacing w:before="190" w:after="70"/>
      </w:pPr>
      <w:r/>
      <w:r>
        <w:rPr>
          <w:rFonts w:ascii="Lato" w:hAnsi="Lato"/>
          <w:b/>
          <w:color w:val="0E6C78"/>
          <w:sz w:val="22"/>
        </w:rPr>
        <w:t>4.4 Central Administration Totally Stubby Router (Admin-ABR -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Admin-ABR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Gandhi Block Administration, Finance &amp; Exam Server Subnet</w:t>
              <w:br/>
            </w:r>
            <w:r>
              <w:rPr>
                <w:rFonts w:ascii="Consolas" w:hAnsi="Consolas"/>
                <w:color w:val="22272E"/>
                <w:sz w:val="15"/>
              </w:rPr>
              <w:t xml:space="preserve"> ip address 10.30.0.1 255.255.0.0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10G Secure Armored Optical Trunk l5 to CTS-Core1 (Area 0)</w:t>
              <w:br/>
            </w:r>
            <w:r>
              <w:rPr>
                <w:rFonts w:ascii="Consolas" w:hAnsi="Consolas"/>
                <w:color w:val="22272E"/>
                <w:sz w:val="15"/>
              </w:rPr>
              <w:t xml:space="preserve"> ip address 10.0.0.22 255.255.255.252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10.30.0.1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30 stub no-summary</w:t>
              <w:br/>
            </w:r>
            <w:r>
              <w:rPr>
                <w:rFonts w:ascii="Consolas" w:hAnsi="Consolas"/>
                <w:color w:val="22272E"/>
                <w:sz w:val="15"/>
              </w:rPr>
              <w:t xml:space="preserve"> network 10.0.0.20 0.0.0.3 area 0</w:t>
              <w:br/>
            </w:r>
            <w:r>
              <w:rPr>
                <w:rFonts w:ascii="Consolas" w:hAnsi="Consolas"/>
                <w:color w:val="22272E"/>
                <w:sz w:val="15"/>
              </w:rPr>
              <w:t xml:space="preserve"> network 10.30.0.0 0.0.255.255 area 30</w:t>
            </w:r>
          </w:p>
        </w:tc>
      </w:tr>
    </w:tbl>
    <w:p>
      <w:pPr>
        <w:pStyle w:val="ReportSubsection"/>
        <w:keepNext/>
        <w:spacing w:before="190" w:after="70"/>
      </w:pPr>
      <w:r/>
      <w:r>
        <w:rPr>
          <w:rFonts w:ascii="Lato" w:hAnsi="Lato"/>
          <w:b/>
          <w:color w:val="0E6C78"/>
          <w:sz w:val="22"/>
        </w:rPr>
        <w:t>4.5 Research &amp; Innovation NSSA Router (PRP-ABR - Area 40)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PRP-ABR</w:t>
              <w:br/>
            </w:r>
            <w:r>
              <w:rPr>
                <w:rFonts w:ascii="Consolas" w:hAnsi="Consolas"/>
                <w:color w:val="5F6B76"/>
                <w:sz w:val="15"/>
              </w:rPr>
              <w:t>!</w:t>
              <w:br/>
            </w:r>
            <w:r>
              <w:rPr>
                <w:rFonts w:ascii="Consolas" w:hAnsi="Consolas"/>
                <w:color w:val="22272E"/>
                <w:sz w:val="15"/>
              </w:rPr>
              <w:t>interface GigabitEthernet0/0/0</w:t>
              <w:br/>
            </w:r>
            <w:r>
              <w:rPr>
                <w:rFonts w:ascii="Consolas" w:hAnsi="Consolas"/>
                <w:color w:val="22272E"/>
                <w:sz w:val="15"/>
              </w:rPr>
              <w:t xml:space="preserve"> description Pearl Research Park Supercomputing &amp; AI Lab Subnet</w:t>
              <w:br/>
            </w:r>
            <w:r>
              <w:rPr>
                <w:rFonts w:ascii="Consolas" w:hAnsi="Consolas"/>
                <w:color w:val="22272E"/>
                <w:sz w:val="15"/>
              </w:rPr>
              <w:t xml:space="preserve"> ip address 10.40.0.1 255.255.0.0</w:t>
              <w:br/>
            </w:r>
            <w:r>
              <w:rPr>
                <w:rFonts w:ascii="Consolas" w:hAnsi="Consolas"/>
                <w:color w:val="5F6B76"/>
                <w:sz w:val="15"/>
              </w:rPr>
              <w:t>!</w:t>
              <w:br/>
            </w:r>
            <w:r>
              <w:rPr>
                <w:rFonts w:ascii="Consolas" w:hAnsi="Consolas"/>
                <w:color w:val="22272E"/>
                <w:sz w:val="15"/>
              </w:rPr>
              <w:t>interface GigabitEthernet0/0/1</w:t>
              <w:br/>
            </w:r>
            <w:r>
              <w:rPr>
                <w:rFonts w:ascii="Consolas" w:hAnsi="Consolas"/>
                <w:color w:val="22272E"/>
                <w:sz w:val="15"/>
              </w:rPr>
              <w:t xml:space="preserve"> description 100G Research Optical Trunk l6 to CTS-Core1 (Area 0 Backbone)</w:t>
              <w:br/>
            </w:r>
            <w:r>
              <w:rPr>
                <w:rFonts w:ascii="Consolas" w:hAnsi="Consolas"/>
                <w:color w:val="22272E"/>
                <w:sz w:val="15"/>
              </w:rPr>
              <w:t xml:space="preserve"> ip address 10.0.0.26 255.255.255.252</w:t>
              <w:br/>
            </w:r>
            <w:r>
              <w:rPr>
                <w:rFonts w:ascii="Consolas" w:hAnsi="Consolas"/>
                <w:color w:val="22272E"/>
                <w:sz w:val="15"/>
              </w:rPr>
              <w:t xml:space="preserve"> ip ospf network point-to-point</w:t>
              <w:br/>
            </w:r>
            <w:r>
              <w:rPr>
                <w:rFonts w:ascii="Consolas" w:hAnsi="Consolas"/>
                <w:color w:val="22272E"/>
                <w:sz w:val="15"/>
              </w:rPr>
              <w:t xml:space="preserve"> ip ospf cost 1</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10.40.0.1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passive-interface GigabitEthernet0/0/0</w:t>
              <w:br/>
            </w:r>
            <w:r>
              <w:rPr>
                <w:rFonts w:ascii="Consolas" w:hAnsi="Consolas"/>
                <w:color w:val="22272E"/>
                <w:sz w:val="15"/>
              </w:rPr>
              <w:t xml:space="preserve"> area 40 nssa</w:t>
              <w:br/>
            </w:r>
            <w:r>
              <w:rPr>
                <w:rFonts w:ascii="Consolas" w:hAnsi="Consolas"/>
                <w:color w:val="22272E"/>
                <w:sz w:val="15"/>
              </w:rPr>
              <w:t xml:space="preserve"> area 40 range 10.40.0.0 255.255.0.0</w:t>
              <w:br/>
            </w:r>
            <w:r>
              <w:rPr>
                <w:rFonts w:ascii="Consolas" w:hAnsi="Consolas"/>
                <w:color w:val="22272E"/>
                <w:sz w:val="15"/>
              </w:rPr>
              <w:t xml:space="preserve"> network 10.0.0.24 0.0.0.3 area 0</w:t>
              <w:br/>
            </w:r>
            <w:r>
              <w:rPr>
                <w:rFonts w:ascii="Consolas" w:hAnsi="Consolas"/>
                <w:color w:val="22272E"/>
                <w:sz w:val="15"/>
              </w:rPr>
              <w:t xml:space="preserve"> network 10.40.0.0 0.0.255.255 area 40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interactive network simulation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showcase_3d_campus.jpg"/>
                    <pic:cNvPicPr/>
                  </pic:nvPicPr>
                  <pic:blipFill>
                    <a:blip r:embed="rId28"/>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Topology Visualization of the 372-Acre VIT Vellore Campus.</w:t>
      </w:r>
    </w:p>
    <w:p>
      <w:pPr>
        <w:pStyle w:val="ReportSection"/>
        <w:keepNext/>
        <w:pageBreakBefore/>
        <w:spacing w:before="280" w:after="90"/>
      </w:pPr>
      <w:r/>
      <w:r>
        <w:rPr>
          <w:rFonts w:ascii="Lato" w:hAnsi="Lato"/>
          <w:b/>
          <w:color w:val="0D2B45"/>
          <w:sz w:val="27"/>
        </w:rPr>
        <w:t>11.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network simulator,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Web Platform</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p>
      <w:pPr>
        <w:pStyle w:val="ReportSection"/>
        <w:keepNext/>
        <w:spacing w:before="280" w:after="90"/>
      </w:pPr>
      <w:r/>
      <w:r>
        <w:rPr>
          <w:rFonts w:ascii="Lato" w:hAnsi="Lato"/>
          <w:b/>
          <w:color w:val="0D2B45"/>
          <w:sz w:val="27"/>
        </w:rPr>
        <w:t>Summary</w:t>
      </w:r>
    </w:p>
    <w:p>
      <w:pPr>
        <w:spacing w:before="30" w:after="90" w:line="264" w:lineRule="auto"/>
        <w:jc w:val="both"/>
      </w:pPr>
      <w:r/>
      <w:r>
        <w:rPr>
          <w:rFonts w:ascii="Caladea" w:hAnsi="Caladea"/>
          <w:color w:val="22272E"/>
          <w:sz w:val="20"/>
        </w:rPr>
        <w:t>This report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PLATFORM</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