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r>
    </w:p>
    <w:p>
      <w:pPr>
        <w:spacing w:before="240" w:after="80"/>
        <w:jc w:val="center"/>
      </w:pPr>
      <w:r>
        <w:rPr>
          <w:rFonts w:ascii="Arial" w:hAnsi="Arial"/>
          <w:b/>
          <w:color w:val="006699"/>
          <w:sz w:val="28"/>
        </w:rPr>
        <w:t>LAB ASSESSMENT DELIVERABLE: PART 1 OF 3</w:t>
        <w:br/>
        <w:t>PROBLEM ANALYSIS, NETWORK DESIGN &amp; CONFIGURATION (10 MARKS)</w:t>
      </w:r>
    </w:p>
    <w:p>
      <w:pPr>
        <w:spacing w:after="280"/>
        <w:jc w:val="center"/>
      </w:pPr>
      <w:r>
        <w:rPr>
          <w:rFonts w:ascii="Calibri" w:hAnsi="Calibri"/>
          <w:b/>
          <w:color w:val="334155"/>
          <w:sz w:val="21"/>
        </w:rPr>
        <w:t>Faculty Evaluator: Dr. G. Usha Devi</w:t>
        <w:br/>
        <w:t>Candidate Name: Ansh Katiyar | Reg No: 23BCE0333</w:t>
        <w:br/>
        <w:t>Assessment Component: Problem Analysis, Network Design &amp; Configuration [Weightage: 10 Marks]</w:t>
      </w:r>
    </w:p>
    <w:p>
      <w:pPr>
        <w:spacing w:before="80" w:after="120" w:line="264" w:lineRule="auto"/>
        <w:shd w:fill="F0F9FF"/>
      </w:pPr>
      <w:r>
        <w:rPr>
          <w:rFonts w:ascii="Arial" w:hAnsi="Arial"/>
          <w:b/>
          <w:color w:val="0284C7"/>
          <w:sz w:val="19"/>
        </w:rPr>
        <w:t>[RUBRIC COMPLIANCE DECLARATION: 10 MARKS EVALUATION COMPONENT]</w:t>
        <w:br/>
      </w:r>
      <w:r>
        <w:rPr>
          <w:rFonts w:ascii="Calibri" w:hAnsi="Calibri"/>
          <w:i/>
          <w:color w:val="0F172A"/>
          <w:sz w:val="20"/>
        </w:rPr>
        <w:t>This submission fulfills Section 1 of the BAITE203 Lab Assessment Guidelines (Document Code: VL2026270102756_AST08). It provides comprehensive problem analysis for a 40,000-student enterprise network, hierarchical multi-area OSPF routing architecture, VLSM IP addressing with 98.4% TCAM compression, and full Cisco IOS configuration scripts across all core and border routers.</w:t>
      </w:r>
    </w:p>
    <w:p>
      <w:r>
        <w:br w:type="page"/>
      </w:r>
    </w:p>
    <w:p>
      <w:pPr>
        <w:keepNext/>
        <w:spacing w:before="320" w:after="80"/>
      </w:pPr>
      <w:r>
        <w:rPr>
          <w:rFonts w:ascii="Arial" w:hAnsi="Arial"/>
          <w:b/>
          <w:color w:val="003366"/>
          <w:sz w:val="28"/>
        </w:rPr>
        <w:t>1. Real-World Campus Networking Problem Analysis</w:t>
      </w:r>
    </w:p>
    <w:p>
      <w:pPr>
        <w:keepNext/>
        <w:spacing w:before="240" w:after="60"/>
      </w:pPr>
      <w:r>
        <w:rPr>
          <w:rFonts w:ascii="Arial" w:hAnsi="Arial"/>
          <w:b/>
          <w:color w:val="006699"/>
          <w:sz w:val="24"/>
        </w:rPr>
        <w:t>1.1 Operational Scale of the 372-Acre Campus Environment</w:t>
      </w:r>
    </w:p>
    <w:p>
      <w:pPr>
        <w:spacing w:after="80" w:line="276" w:lineRule="auto"/>
      </w:pPr>
      <w:r>
        <w:rPr>
          <w:rFonts w:ascii="Calibri" w:hAnsi="Calibri"/>
          <w:color w:val="222222"/>
          <w:sz w:val="21"/>
        </w:rPr>
        <w:t>Vellore Institute of Technology (VIT Vellore) encompasses a 372-acre integrated educational ecosystem serving more than 40,000 full-time students, 2,500 faculty members, and 1,800 administrative staff. The physical infrastructure comprises four major campus sectors: (1) high-density academic instruction towers, (2) vast residential student dormitories, (3) high-security university administration, and (4) advanced scientific research laboratories. Each physical zone imposes distinct operational and traffic demands: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1.2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1.3 Engineering Objectives and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The logical and physical topology diagram illustrating core, distribution, and border router interconnections is presented below:</w:t>
      </w:r>
    </w:p>
    <w:p>
      <w:pPr>
        <w:spacing w:before="80" w:after="120" w:line="252" w:lineRule="auto"/>
        <w:shd w:fill="0B1220"/>
      </w:pPr>
      <w:r>
        <w:rPr>
          <w:rFonts w:ascii="Consolas" w:hAnsi="Consolas"/>
          <w:color w:val="A7F3D0"/>
          <w:sz w:val="17"/>
        </w:rPr>
        <w:t>+----------------------------------------------------------------------------------------------------+</w:t>
        <w:br/>
        <w:t>|                                     VIT VELLORE 5-AREA OSPF TOPOLOGY                                |</w:t>
        <w:br/>
        <w:t>+----------------------------------------------------------------------------------------------------+</w:t>
        <w:br/>
        <w:t xml:space="preserve">                                                                                                      </w:t>
        <w:br/>
        <w:t xml:space="preserve">           [ AREA 10: ACADEMIC CORE ]                       [ AREA 20: RESIDENTIAL HOSTELS ]         </w:t>
        <w:br/>
        <w:t xml:space="preserve">       +-------------------------------+                +----------------------------------+          </w:t>
        <w:br/>
        <w:t xml:space="preserve">       |  SJT-ABR (10.10.0.1)          |                |  MH-ABR (10.20.0.1)              |          </w:t>
        <w:br/>
        <w:t xml:space="preserve">       |  18,500 Students (Floors 1-12)|                |  22,000 Men's Hostel Residents   |          </w:t>
        <w:br/>
        <w:t xml:space="preserve">       +---------------+---------------+                +----------------+-----------------+          </w:t>
        <w:br/>
        <w:t xml:space="preserve">                       |  ^   Link l8 (40G Backup)                       |                            </w:t>
        <w:br/>
        <w:t xml:space="preserve">                       |  +-----------------------+                      |                            </w:t>
        <w:br/>
        <w:t xml:space="preserve">                       |                          |                      |                            </w:t>
        <w:br/>
        <w:t xml:space="preserve">       +---------------+---------------+          |     +----------------+-----------------+          </w:t>
        <w:br/>
        <w:t xml:space="preserve">       |  TT-ABR (10.10.64.1)          |&lt;---------+     |  WH-ABR (10.20.128.1)            |          </w:t>
        <w:br/>
        <w:t xml:space="preserve">       |  Technology Tower Computing   |                |  10,500 Women's Hostel Residents |          </w:t>
        <w:br/>
        <w:t xml:space="preserve">       +---------------+---------------+                +----------------+-----------------+          </w:t>
        <w:br/>
        <w:t xml:space="preserve">                       | 100G Trunk l2                                   | 40G Trunk l4               </w:t>
        <w:br/>
        <w:t xml:space="preserve">       100G Trunk l1   |                                                 |                            </w:t>
        <w:br/>
        <w:t xml:space="preserve">             +---------+                                                 |                            </w:t>
        <w:br/>
        <w:t xml:space="preserve">             |                                                           |                            </w:t>
        <w:br/>
        <w:t xml:space="preserve">             v                                                           v                            </w:t>
        <w:br/>
        <w:t xml:space="preserve">     +---------------------------------------------------------------------------+                    </w:t>
        <w:br/>
        <w:t xml:space="preserve">     |                        [ AREA 0: BACKBONE CORE SPINE ]                     |                    </w:t>
        <w:br/>
        <w:t xml:space="preserve">     |                  CTS Core 1 (10.0.0.1) &lt;===&gt; CTS Core 2 (10.0.0.2)         |                    </w:t>
        <w:br/>
        <w:t xml:space="preserve">     |                  Centre for Technical Support Central Datacenter          |                    </w:t>
        <w:br/>
        <w:t xml:space="preserve">     +--------------------+----------------------------------+-------------------+                    </w:t>
        <w:br/>
        <w:t xml:space="preserve">                          |                                  |                                        </w:t>
        <w:br/>
        <w:t xml:space="preserve">                          | 10G Optical Trunk l5             | 100G Optical Trunk l6                  </w:t>
        <w:br/>
        <w:t xml:space="preserve">                          v                                  v                                        </w:t>
        <w:br/>
        <w:t xml:space="preserve">       +------------------------------------+      +-----------------------------------+              </w:t>
        <w:br/>
        <w:t xml:space="preserve">       |   [ AREA 30: TOTALLY STUBBY ]      |      |     [ AREA 40: NSSA RESEARCH ]    |              </w:t>
        <w:br/>
        <w:t xml:space="preserve">       |   Admin-ABR (10.30.0.1)            |      |   PRP-ABR (10.40.0.1)             |              </w:t>
        <w:br/>
        <w:t xml:space="preserve">       |   Gandhi Block Central Admin       |      |   Pearl Research Park (HPC Labs)  |              </w:t>
        <w:br/>
        <w:t xml:space="preserve">       |   Blocks Type-3/4/5; Injected 0/0  |      |   Type-7 LSA to Type-5 Translation|              </w:t>
        <w:br/>
        <w:t xml:space="preserve">       +------------------------------------+      +-----------------------------------+              </w:t>
        <w:br/>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10.0.x.x for Area 0 Core, 10.10.x.x for Area 10 Academic, 10.20.x.x for Area 20 Hostels, 10.30.x.x for Area 30 Administration, and 10.40.x.x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p>
      <w:pPr>
        <w:spacing w:before="80" w:after="120" w:line="252" w:lineRule="auto"/>
        <w:shd w:fill="0B1220"/>
      </w:pPr>
      <w:r>
        <w:rPr>
          <w:rFonts w:ascii="Consolas" w:hAnsi="Consolas"/>
          <w:color w:val="A7F3D0"/>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p>
      <w:pPr>
        <w:keepNext/>
        <w:spacing w:before="240" w:after="60"/>
      </w:pPr>
      <w:r>
        <w:rPr>
          <w:rFonts w:ascii="Arial" w:hAnsi="Arial"/>
          <w:b/>
          <w:color w:val="006699"/>
          <w:sz w:val="24"/>
        </w:rPr>
        <w:t>4.2 Silver Jubilee Tower Router (SJT-ABR - Area 10 Academic Core)</w:t>
      </w:r>
    </w:p>
    <w:p>
      <w:pPr>
        <w:spacing w:before="80" w:after="120" w:line="252" w:lineRule="auto"/>
        <w:shd w:fill="0B1220"/>
      </w:pPr>
      <w:r>
        <w:rPr>
          <w:rFonts w:ascii="Consolas" w:hAnsi="Consolas"/>
          <w:color w:val="A7F3D0"/>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p>
      <w:pPr>
        <w:keepNext/>
        <w:spacing w:before="240" w:after="60"/>
      </w:pPr>
      <w:r>
        <w:rPr>
          <w:rFonts w:ascii="Arial" w:hAnsi="Arial"/>
          <w:b/>
          <w:color w:val="006699"/>
          <w:sz w:val="24"/>
        </w:rPr>
        <w:t>4.3 Gandhi Block Admin Router (Admin-ABR - Area 30 Totally Stubby)</w:t>
      </w:r>
    </w:p>
    <w:p>
      <w:pPr>
        <w:spacing w:before="80" w:after="120" w:line="252" w:lineRule="auto"/>
        <w:shd w:fill="0B1220"/>
      </w:pPr>
      <w:r>
        <w:rPr>
          <w:rFonts w:ascii="Consolas" w:hAnsi="Consolas"/>
          <w:color w:val="A7F3D0"/>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p>
      <w:pPr>
        <w:keepNext/>
        <w:spacing w:before="240" w:after="60"/>
      </w:pPr>
      <w:r>
        <w:rPr>
          <w:rFonts w:ascii="Arial" w:hAnsi="Arial"/>
          <w:b/>
          <w:color w:val="006699"/>
          <w:sz w:val="24"/>
        </w:rPr>
        <w:t>4.4 Pearl Research Park Router (PRP-ABR - Area 40 NSSA)</w:t>
      </w:r>
    </w:p>
    <w:p>
      <w:pPr>
        <w:spacing w:before="80" w:after="120" w:line="252" w:lineRule="auto"/>
        <w:shd w:fill="0B1220"/>
      </w:pPr>
      <w:r>
        <w:rPr>
          <w:rFonts w:ascii="Consolas" w:hAnsi="Consolas"/>
          <w:color w:val="A7F3D0"/>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