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SCALABLE MULTI-DEPARTMENT CAMPUS NETWORK DESIGN</w:t>
      </w:r>
    </w:p>
    <w:p>
      <w:pPr>
        <w:spacing w:before="0" w:after="320"/>
        <w:jc w:val="center"/>
      </w:pPr>
      <w:r>
        <w:rPr>
          <w:rFonts w:ascii="Arial" w:hAnsi="Arial"/>
          <w:b/>
          <w:color w:val="006699"/>
          <w:sz w:val="24"/>
        </w:rPr>
        <w:t>Lab Assessment Review 1: Problem Analysis, Network Design &amp; Configuration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Problem Formulation &amp; Multi-Department Scope</w:t>
      </w:r>
    </w:p>
    <w:p>
      <w:pPr>
        <w:keepNext/>
        <w:spacing w:before="240" w:after="60"/>
      </w:pPr>
      <w:r>
        <w:rPr>
          <w:rFonts w:ascii="Arial" w:hAnsi="Arial"/>
          <w:b/>
          <w:color w:val="006699"/>
          <w:sz w:val="24"/>
        </w:rPr>
        <w:t>1.1 Assigned Problem Statement</w:t>
      </w:r>
    </w:p>
    <w:p>
      <w:pPr>
        <w:spacing w:after="80" w:line="276" w:lineRule="auto"/>
      </w:pPr>
      <w:r>
        <w:rPr>
          <w:rFonts w:ascii="Calibri" w:hAnsi="Calibri"/>
          <w:b/>
          <w:color w:val="0F172A"/>
          <w:sz w:val="21"/>
        </w:rPr>
        <w:t xml:space="preserve">Problem Statement: </w:t>
      </w:r>
      <w:r>
        <w:rPr>
          <w:rFonts w:ascii="Calibri" w:hAnsi="Calibri"/>
          <w:color w:val="222222"/>
          <w:sz w:val="21"/>
        </w:rPr>
        <w:t>"Enterprise Routing using OSPF – Design a scalable routing system for multiple departments."</w:t>
      </w:r>
    </w:p>
    <w:p>
      <w:pPr>
        <w:spacing w:after="80" w:line="276" w:lineRule="auto"/>
      </w:pPr>
      <w:r>
        <w:rPr>
          <w:rFonts w:ascii="Calibri" w:hAnsi="Calibri"/>
          <w:color w:val="222222"/>
          <w:sz w:val="21"/>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keepNext/>
        <w:spacing w:before="240" w:after="60"/>
      </w:pPr>
      <w:r>
        <w:rPr>
          <w:rFonts w:ascii="Arial" w:hAnsi="Arial"/>
          <w:b/>
          <w:color w:val="006699"/>
          <w:sz w:val="24"/>
        </w:rPr>
        <w:t>1.2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1.3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1.4 Engineering Objectives and Multi-Department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cisco_packet_tracer_topology.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howcase_3d_campus.jp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160" w:after="40"/>
        <w:jc w:val="center"/>
      </w:pPr>
    </w:p>
    <w:p>
      <w:pPr>
        <w:jc w:val="center"/>
      </w:pPr>
      <w:r>
        <w:drawing>
          <wp:inline xmlns:a="http://schemas.openxmlformats.org/drawingml/2006/main" xmlns:pic="http://schemas.openxmlformats.org/drawingml/2006/picture">
            <wp:extent cx="5852160" cy="3811957"/>
            <wp:docPr id="3" name="Picture 3"/>
            <wp:cNvGraphicFramePr>
              <a:graphicFrameLocks noChangeAspect="1"/>
            </wp:cNvGraphicFramePr>
            <a:graphic>
              <a:graphicData uri="http://schemas.openxmlformats.org/drawingml/2006/picture">
                <pic:pic>
                  <pic:nvPicPr>
                    <pic:cNvPr id="0" name="vit_ospf_5area_schematic.png"/>
                    <pic:cNvPicPr/>
                  </pic:nvPicPr>
                  <pic:blipFill>
                    <a:blip r:embed="rId11"/>
                    <a:stretch>
                      <a:fillRect/>
                    </a:stretch>
                  </pic:blipFill>
                  <pic:spPr>
                    <a:xfrm>
                      <a:off x="0" y="0"/>
                      <a:ext cx="5852160" cy="3811957"/>
                    </a:xfrm>
                    <a:prstGeom prst="rect"/>
                  </pic:spPr>
                </pic:pic>
              </a:graphicData>
            </a:graphic>
          </wp:inline>
        </w:drawing>
      </w:r>
    </w:p>
    <w:p>
      <w:pPr>
        <w:spacing w:after="240"/>
        <w:jc w:val="center"/>
      </w:pPr>
      <w:r>
        <w:rPr>
          <w:rFonts w:ascii="Calibri" w:hAnsi="Calibri"/>
          <w:i/>
          <w:color w:val="475569"/>
          <w:sz w:val="19"/>
        </w:rPr>
        <w:t>Figure 1.3: High-level architectural schematic of the VIT Vellore 5-Area OSPF campus network, detailing backbone spine (Area 0), academic complexes (Area 10), residential hostels (Area 20), administrative security shield (Area 30), and research clusters (Area 40).</w:t>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r>
        <w:br w:type="page"/>
      </w:r>
    </w:p>
    <w:p>
      <w:pPr>
        <w:keepNext/>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tc>
      </w:tr>
    </w:tbl>
    <w:p>
      <w:pPr>
        <w:spacing w:before="0" w:after="80"/>
      </w:pPr>
    </w:p>
    <w:p>
      <w:pPr>
        <w:keepNext/>
        <w:spacing w:before="240" w:after="60"/>
      </w:pPr>
      <w:r>
        <w:rPr>
          <w:rFonts w:ascii="Arial" w:hAnsi="Arial"/>
          <w:b/>
          <w:color w:val="006699"/>
          <w:sz w:val="24"/>
        </w:rPr>
        <w:t>4.2 Silver Jubilee Tower Router (SJT-ABR - Area 10 Academic Core)</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tc>
      </w:tr>
    </w:tbl>
    <w:p>
      <w:pPr>
        <w:spacing w:before="0" w:after="80"/>
      </w:pPr>
    </w:p>
    <w:p>
      <w:pPr>
        <w:keepNext/>
        <w:spacing w:before="240" w:after="60"/>
      </w:pPr>
      <w:r>
        <w:rPr>
          <w:rFonts w:ascii="Arial" w:hAnsi="Arial"/>
          <w:b/>
          <w:color w:val="006699"/>
          <w:sz w:val="24"/>
        </w:rPr>
        <w:t>4.3 Gandhi Block Admin Router (Admin-ABR - Area 30 Totally Stubby)</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tc>
      </w:tr>
    </w:tbl>
    <w:p>
      <w:pPr>
        <w:spacing w:before="0" w:after="80"/>
      </w:pPr>
    </w:p>
    <w:p>
      <w:pPr>
        <w:keepNext/>
        <w:spacing w:before="240" w:after="60"/>
      </w:pPr>
      <w:r>
        <w:rPr>
          <w:rFonts w:ascii="Arial" w:hAnsi="Arial"/>
          <w:b/>
          <w:color w:val="006699"/>
          <w:sz w:val="24"/>
        </w:rPr>
        <w:t>4.4 Pearl Research Park Router (PRP-ABR - Area 40 NSSA)</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