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1051560" cy="110852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051560" cy="1108520"/>
                    </a:xfrm>
                    <a:prstGeom prst="rect"/>
                  </pic:spPr>
                </pic:pic>
              </a:graphicData>
            </a:graphic>
          </wp:inline>
        </w:drawing>
      </w:r>
    </w:p>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160" w:after="40"/>
        <w:jc w:val="center"/>
      </w:pPr>
      <w:r>
        <w:rPr>
          <w:rFonts w:ascii="Arial" w:hAnsi="Arial"/>
          <w:b/>
          <w:color w:val="003366"/>
          <w:sz w:val="28"/>
        </w:rPr>
        <w:t>ENTERPRISE ROUTING USING OSPF:</w:t>
        <w:br/>
        <w:t>SCALABLE MULTI-DEPARTMENT CAMPUS NETWORK DESIGN</w:t>
      </w:r>
    </w:p>
    <w:p>
      <w:pPr>
        <w:spacing w:before="0" w:after="200"/>
        <w:jc w:val="center"/>
      </w:pPr>
      <w:r>
        <w:rPr>
          <w:rFonts w:ascii="Arial" w:hAnsi="Arial"/>
          <w:b/>
          <w:color w:val="006699"/>
          <w:sz w:val="22"/>
        </w:rPr>
        <w:t>Lab Assessment Review 1: Problem Analysis, Network Design &amp; Configuration</w:t>
      </w:r>
    </w:p>
    <w:p>
      <w:pPr>
        <w:spacing w:before="120" w:after="6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Problem Formulation &amp; Multi-Department Scope</w:t>
      </w:r>
    </w:p>
    <w:p>
      <w:pPr>
        <w:keepNext/>
        <w:spacing w:before="240" w:after="60"/>
      </w:pPr>
      <w:r>
        <w:rPr>
          <w:rFonts w:ascii="Arial" w:hAnsi="Arial"/>
          <w:b/>
          <w:color w:val="006699"/>
          <w:sz w:val="24"/>
        </w:rPr>
        <w:t>1.1 Assigned Problem Statement</w:t>
      </w:r>
    </w:p>
    <w:p>
      <w:pPr>
        <w:spacing w:after="80" w:line="276" w:lineRule="auto"/>
      </w:pPr>
      <w:r>
        <w:rPr>
          <w:rFonts w:ascii="Calibri" w:hAnsi="Calibri"/>
          <w:b/>
          <w:color w:val="0F172A"/>
          <w:sz w:val="21"/>
        </w:rPr>
        <w:t xml:space="preserve">Problem Statement: </w:t>
      </w:r>
      <w:r>
        <w:rPr>
          <w:rFonts w:ascii="Calibri" w:hAnsi="Calibri"/>
          <w:color w:val="222222"/>
          <w:sz w:val="21"/>
        </w:rPr>
        <w:t>"Enterprise Routing using OSPF – Design a scalable routing system for multiple departments."</w:t>
      </w:r>
    </w:p>
    <w:p>
      <w:pPr>
        <w:spacing w:after="80" w:line="276" w:lineRule="auto"/>
      </w:pPr>
      <w:r>
        <w:rPr>
          <w:rFonts w:ascii="Calibri" w:hAnsi="Calibri"/>
          <w:color w:val="222222"/>
          <w:sz w:val="21"/>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keepNext/>
        <w:spacing w:before="240" w:after="60"/>
      </w:pPr>
      <w:r>
        <w:rPr>
          <w:rFonts w:ascii="Arial" w:hAnsi="Arial"/>
          <w:b/>
          <w:color w:val="006699"/>
          <w:sz w:val="24"/>
        </w:rPr>
        <w:t>1.2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1.3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1.4 Engineering Objectives and Multi-Department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cisco_packet_tracer_topology.jpg"/>
                    <pic:cNvPicPr/>
                  </pic:nvPicPr>
                  <pic:blipFill>
                    <a:blip r:embed="rId10"/>
                    <a:stretch>
                      <a:fillRect/>
                    </a:stretch>
                  </pic:blipFill>
                  <pic:spPr>
                    <a:xfrm>
                      <a:off x="0" y="0"/>
                      <a:ext cx="5303520" cy="2960104"/>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showcase_3d_campus.jpg"/>
                    <pic:cNvPicPr/>
                  </pic:nvPicPr>
                  <pic:blipFill>
                    <a:blip r:embed="rId11"/>
                    <a:stretch>
                      <a:fillRect/>
                    </a:stretch>
                  </pic:blipFill>
                  <pic:spPr>
                    <a:xfrm>
                      <a:off x="0" y="0"/>
                      <a:ext cx="5120640" cy="341376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160" w:after="40"/>
        <w:jc w:val="center"/>
      </w:pPr>
      <w:r>
        <w:drawing>
          <wp:inline xmlns:a="http://schemas.openxmlformats.org/drawingml/2006/main" xmlns:pic="http://schemas.openxmlformats.org/drawingml/2006/picture">
            <wp:extent cx="5303520" cy="3454586"/>
            <wp:docPr id="4" name="Picture 4"/>
            <wp:cNvGraphicFramePr>
              <a:graphicFrameLocks noChangeAspect="1"/>
            </wp:cNvGraphicFramePr>
            <a:graphic>
              <a:graphicData uri="http://schemas.openxmlformats.org/drawingml/2006/picture">
                <pic:pic>
                  <pic:nvPicPr>
                    <pic:cNvPr id="0" name="vit_ospf_5area_schematic.png"/>
                    <pic:cNvPicPr/>
                  </pic:nvPicPr>
                  <pic:blipFill>
                    <a:blip r:embed="rId12"/>
                    <a:stretch>
                      <a:fillRect/>
                    </a:stretch>
                  </pic:blipFill>
                  <pic:spPr>
                    <a:xfrm>
                      <a:off x="0" y="0"/>
                      <a:ext cx="5303520" cy="3454586"/>
                    </a:xfrm>
                    <a:prstGeom prst="rect"/>
                  </pic:spPr>
                </pic:pic>
              </a:graphicData>
            </a:graphic>
          </wp:inline>
        </w:drawing>
      </w:r>
    </w:p>
    <w:p>
      <w:pPr>
        <w:spacing w:after="240"/>
        <w:jc w:val="center"/>
      </w:pPr>
      <w:r>
        <w:rPr>
          <w:rFonts w:ascii="Calibri" w:hAnsi="Calibri"/>
          <w:i/>
          <w:color w:val="475569"/>
          <w:sz w:val="19"/>
        </w:rPr>
        <w:t>Figure 1.3: High-level architectural schematic of the VIT Vellore 5-Area OSPF campus network, detailing backbone spine (Area 0), academic complexes (Area 10), residential hostels (Area 20), administrative security shield (Area 30), and research clusters (Area 40).</w:t>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pPr>
        <w:keepNext/>
        <w:pageBreakBefore/>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tc>
      </w:tr>
    </w:tbl>
    <w:p>
      <w:pPr>
        <w:spacing w:before="0" w:after="80"/>
      </w:pPr>
    </w:p>
    <w:p>
      <w:pPr>
        <w:keepNext/>
        <w:spacing w:before="240" w:after="60"/>
      </w:pPr>
      <w:r>
        <w:rPr>
          <w:rFonts w:ascii="Arial" w:hAnsi="Arial"/>
          <w:b/>
          <w:color w:val="006699"/>
          <w:sz w:val="24"/>
        </w:rPr>
        <w:t>4.2 Silver Jubilee Tower Router (SJT-ABR - Area 10 Academic Core)</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tc>
      </w:tr>
    </w:tbl>
    <w:p>
      <w:pPr>
        <w:spacing w:before="0" w:after="80"/>
      </w:pPr>
    </w:p>
    <w:p>
      <w:pPr>
        <w:keepNext/>
        <w:spacing w:before="240" w:after="60"/>
      </w:pPr>
      <w:r>
        <w:rPr>
          <w:rFonts w:ascii="Arial" w:hAnsi="Arial"/>
          <w:b/>
          <w:color w:val="006699"/>
          <w:sz w:val="24"/>
        </w:rPr>
        <w:t>4.3 Gandhi Block Admin Router (Admin-ABR - Area 30 Totally Stubby)</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tc>
      </w:tr>
    </w:tbl>
    <w:p>
      <w:pPr>
        <w:spacing w:before="0" w:after="80"/>
      </w:pPr>
    </w:p>
    <w:p>
      <w:pPr>
        <w:keepNext/>
        <w:spacing w:before="240" w:after="60"/>
      </w:pPr>
      <w:r>
        <w:rPr>
          <w:rFonts w:ascii="Arial" w:hAnsi="Arial"/>
          <w:b/>
          <w:color w:val="006699"/>
          <w:sz w:val="24"/>
        </w:rPr>
        <w:t>4.4 Pearl Research Park Router (PRP-ABR - Area 40 NSSA)</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tc>
      </w:tr>
    </w:tbl>
    <w:p>
      <w:pPr>
        <w:spacing w:before="0" w:after="80"/>
      </w:pPr>
    </w:p>
    <w:p>
      <w:pPr>
        <w:keepNext/>
        <w:pageBreakBefore/>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Local Engine (index.html / app.js)</w:t>
      </w:r>
    </w:p>
    <w:p>
      <w:pPr>
        <w:spacing w:after="80" w:line="276" w:lineRule="auto"/>
      </w:pPr>
      <w:r>
        <w:rPr>
          <w:rFonts w:ascii="Calibri" w:hAnsi="Calibri"/>
          <w:color w:val="222222"/>
          <w:sz w:val="21"/>
        </w:rPr>
        <w:t>Below are direct visual captures from the simulation software demonstrating the architectural design, failure domain isolation, and VLSM addressing plan specified in Part 1:</w:t>
      </w:r>
    </w:p>
    <w:p>
      <w:pPr>
        <w:spacing w:before="120" w:after="40"/>
        <w:jc w:val="center"/>
      </w:pPr>
      <w:r>
        <w:drawing>
          <wp:inline xmlns:a="http://schemas.openxmlformats.org/drawingml/2006/main" xmlns:pic="http://schemas.openxmlformats.org/drawingml/2006/picture">
            <wp:extent cx="5120640" cy="2598661"/>
            <wp:docPr id="5" name="Picture 5"/>
            <wp:cNvGraphicFramePr>
              <a:graphicFrameLocks noChangeAspect="1"/>
            </wp:cNvGraphicFramePr>
            <a:graphic>
              <a:graphicData uri="http://schemas.openxmlformats.org/drawingml/2006/picture">
                <pic:pic>
                  <pic:nvPicPr>
                    <pic:cNvPr id="0" name="software_view1_interactive_map.png"/>
                    <pic:cNvPicPr/>
                  </pic:nvPicPr>
                  <pic:blipFill>
                    <a:blip r:embed="rId13"/>
                    <a:stretch>
                      <a:fillRect/>
                    </a:stretch>
                  </pic:blipFill>
                  <pic:spPr>
                    <a:xfrm>
                      <a:off x="0" y="0"/>
                      <a:ext cx="5120640" cy="2598661"/>
                    </a:xfrm>
                    <a:prstGeom prst="rect"/>
                  </pic:spPr>
                </pic:pic>
              </a:graphicData>
            </a:graphic>
          </wp:inline>
        </w:drawing>
      </w:r>
    </w:p>
    <w:p>
      <w:pPr>
        <w:spacing w:after="160"/>
        <w:jc w:val="center"/>
      </w:pPr>
      <w:r>
        <w:rPr>
          <w:rFonts w:ascii="Calibri" w:hAnsi="Calibri"/>
          <w:i/>
          <w:color w:val="475569"/>
          <w:sz w:val="19"/>
        </w:rPr>
        <w:t>Figure A1: Simulation Software — Live 3D Campus Map &amp; Node Inspector. Location: Top navigation bar -&gt; 'Live 3D Campus Map'. Shows the 372-acre multi-area topology, building gateway pins, selected node inspector (Admin-ABR Area 30), real-time FIB table, and live link controls.</w:t>
      </w:r>
    </w:p>
    <w:p>
      <w:pPr>
        <w:spacing w:before="120" w:after="40"/>
        <w:jc w:val="center"/>
      </w:pPr>
      <w:r>
        <w:drawing>
          <wp:inline xmlns:a="http://schemas.openxmlformats.org/drawingml/2006/main" xmlns:pic="http://schemas.openxmlformats.org/drawingml/2006/picture">
            <wp:extent cx="5120640" cy="2598661"/>
            <wp:docPr id="6" name="Picture 6"/>
            <wp:cNvGraphicFramePr>
              <a:graphicFrameLocks noChangeAspect="1"/>
            </wp:cNvGraphicFramePr>
            <a:graphic>
              <a:graphicData uri="http://schemas.openxmlformats.org/drawingml/2006/picture">
                <pic:pic>
                  <pic:nvPicPr>
                    <pic:cNvPr id="0" name="software_view2_architecture.png"/>
                    <pic:cNvPicPr/>
                  </pic:nvPicPr>
                  <pic:blipFill>
                    <a:blip r:embed="rId14"/>
                    <a:stretch>
                      <a:fillRect/>
                    </a:stretch>
                  </pic:blipFill>
                  <pic:spPr>
                    <a:xfrm>
                      <a:off x="0" y="0"/>
                      <a:ext cx="5120640" cy="2598661"/>
                    </a:xfrm>
                    <a:prstGeom prst="rect"/>
                  </pic:spPr>
                </pic:pic>
              </a:graphicData>
            </a:graphic>
          </wp:inline>
        </w:drawing>
      </w:r>
    </w:p>
    <w:p>
      <w:pPr>
        <w:spacing w:after="160"/>
        <w:jc w:val="center"/>
      </w:pPr>
      <w:r>
        <w:rPr>
          <w:rFonts w:ascii="Calibri" w:hAnsi="Calibri"/>
          <w:i/>
          <w:color w:val="475569"/>
          <w:sz w:val="19"/>
        </w:rPr>
        <w:t>Figure A2: Simulation Software — 5-Area Architecture &amp; Failure Domain Isolation. Location: Top navigation bar -&gt; 'Area Architecture'. Details the failure domain boundaries across Area 0, Area 10, Area 20, Area 30, and Area 40 alongside algorithmic Dijkstra SPF complexity benchmarks.</w:t>
      </w:r>
    </w:p>
    <w:p>
      <w:pPr>
        <w:spacing w:before="120" w:after="40"/>
        <w:jc w:val="center"/>
      </w:pPr>
      <w:r>
        <w:drawing>
          <wp:inline xmlns:a="http://schemas.openxmlformats.org/drawingml/2006/main" xmlns:pic="http://schemas.openxmlformats.org/drawingml/2006/picture">
            <wp:extent cx="5120640" cy="2598661"/>
            <wp:docPr id="7" name="Picture 7"/>
            <wp:cNvGraphicFramePr>
              <a:graphicFrameLocks noChangeAspect="1"/>
            </wp:cNvGraphicFramePr>
            <a:graphic>
              <a:graphicData uri="http://schemas.openxmlformats.org/drawingml/2006/picture">
                <pic:pic>
                  <pic:nvPicPr>
                    <pic:cNvPr id="0" name="software_view3_addressing_vlsm.png"/>
                    <pic:cNvPicPr/>
                  </pic:nvPicPr>
                  <pic:blipFill>
                    <a:blip r:embed="rId15"/>
                    <a:stretch>
                      <a:fillRect/>
                    </a:stretch>
                  </pic:blipFill>
                  <pic:spPr>
                    <a:xfrm>
                      <a:off x="0" y="0"/>
                      <a:ext cx="5120640" cy="2598661"/>
                    </a:xfrm>
                    <a:prstGeom prst="rect"/>
                  </pic:spPr>
                </pic:pic>
              </a:graphicData>
            </a:graphic>
          </wp:inline>
        </w:drawing>
      </w:r>
    </w:p>
    <w:p>
      <w:pPr>
        <w:spacing w:after="200"/>
        <w:jc w:val="center"/>
      </w:pPr>
      <w:r>
        <w:rPr>
          <w:rFonts w:ascii="Calibri" w:hAnsi="Calibri"/>
          <w:i/>
          <w:color w:val="475569"/>
          <w:sz w:val="19"/>
        </w:rPr>
        <w:t>Figure A3: Simulation Software — Campus VLSM Addressing &amp; Route Aggregation Table. Location: Top navigation bar -&gt; 'Addressing &amp; VLSM'. Tabulates the university-wide Class A 10.0.0.0/8 subnet hierarchy, CIDR masks, host capacities, and ABR summary aggregation prefixes.</w:t>
      </w:r>
    </w:p>
    <w:p>
      <w:pPr>
        <w:keepNext/>
        <w:spacing w:before="240" w:after="60"/>
      </w:pPr>
      <w:r>
        <w:rPr>
          <w:rFonts w:ascii="Arial" w:hAnsi="Arial"/>
          <w:b/>
          <w:color w:val="006699"/>
          <w:sz w:val="24"/>
        </w:rPr>
        <w:t>Software Architecture &amp; Interface Module Guide:</w:t>
      </w:r>
    </w:p>
    <w:p>
      <w:pPr>
        <w:spacing w:after="80" w:line="276" w:lineRule="auto"/>
      </w:pPr>
      <w:r>
        <w:rPr>
          <w:rFonts w:ascii="Calibri" w:hAnsi="Calibri"/>
          <w:color w:val="222222"/>
          <w:sz w:val="21"/>
        </w:rPr>
        <w:t>The simulation platform implements an enterprise multi-area OSPF routing environment structured into distinct functional modules accessible via the top navigation bar:</w:t>
      </w:r>
    </w:p>
    <w:p>
      <w:pPr>
        <w:pStyle w:val="ListBullet"/>
        <w:spacing w:after="60" w:line="276" w:lineRule="auto"/>
      </w:pPr>
      <w:r>
        <w:rPr>
          <w:rFonts w:ascii="Calibri" w:hAnsi="Calibri"/>
          <w:b/>
          <w:color w:val="0F172A"/>
          <w:sz w:val="21"/>
        </w:rPr>
        <w:t xml:space="preserve">1. Interactive 3D Topology &amp; Node Inspector: </w:t>
      </w:r>
      <w:r>
        <w:rPr>
          <w:rFonts w:ascii="Calibri" w:hAnsi="Calibri"/>
          <w:color w:val="222222"/>
          <w:sz w:val="21"/>
        </w:rPr>
        <w:t>Located under the 'Live 3D Campus Map' tab. Displays the full 372-acre campus isometric visualizer with clickable hotspot pins for all 7 primary routing gateways (Silver Jubilee Tower, Technology Tower, Gandhi Admin, Men's Hostels, Women's Hostels, Pearl Research Park, and CTS Core DC). Selecting any building dynamically loads its Router ID, Subnet CIDR, Area Type, active interfaces, and default gateway into the Selected Node Inspector (right sidebar), while rendering its real-time Forwarding Information Base (FIB) routing table computed via Dijkstra SPF.</w:t>
      </w:r>
    </w:p>
    <w:p>
      <w:pPr>
        <w:pStyle w:val="ListBullet"/>
        <w:spacing w:after="60" w:line="276" w:lineRule="auto"/>
      </w:pPr>
      <w:r>
        <w:rPr>
          <w:rFonts w:ascii="Calibri" w:hAnsi="Calibri"/>
          <w:b/>
          <w:color w:val="0F172A"/>
          <w:sz w:val="21"/>
        </w:rPr>
        <w:t xml:space="preserve">2. Area Architecture &amp; Failure Domain Isolation: </w:t>
      </w:r>
      <w:r>
        <w:rPr>
          <w:rFonts w:ascii="Calibri" w:hAnsi="Calibri"/>
          <w:color w:val="222222"/>
          <w:sz w:val="21"/>
        </w:rPr>
        <w:t>Located under the 'Area Architecture' tab. Features structured engineering breakdown cards detailing failure domain boundaries across Area 0 (Backbone Core), Area 10 (Academic Core), Area 20 (Residential Hostels), Area 30 (Totally Stubby Admin), and Area 40 (Research NSSA), alongside mathematical Dijkstra complexity comparative benchmarks.</w:t>
      </w:r>
    </w:p>
    <w:p>
      <w:pPr>
        <w:pStyle w:val="ListBullet"/>
        <w:spacing w:after="60" w:line="276" w:lineRule="auto"/>
      </w:pPr>
      <w:r>
        <w:rPr>
          <w:rFonts w:ascii="Calibri" w:hAnsi="Calibri"/>
          <w:b/>
          <w:color w:val="0F172A"/>
          <w:sz w:val="21"/>
        </w:rPr>
        <w:t xml:space="preserve">3. Campus VLSM Addressing &amp; Route Aggregation Table: </w:t>
      </w:r>
      <w:r>
        <w:rPr>
          <w:rFonts w:ascii="Calibri" w:hAnsi="Calibri"/>
          <w:color w:val="222222"/>
          <w:sz w:val="21"/>
        </w:rPr>
        <w:t>Located under the 'Addressing &amp; VLSM' tab. Presents the university-wide Class A Private 10.0.0.0/8 VLSM addressing plan, displaying exact subnet masks, usable host capacities, and ABR summary aggregation prefixes.</w:t>
      </w:r>
    </w:p>
    <w:p>
      <w:pPr>
        <w:pStyle w:val="ListBullet"/>
        <w:spacing w:after="60" w:line="276" w:lineRule="auto"/>
      </w:pPr>
      <w:r>
        <w:rPr>
          <w:rFonts w:ascii="Calibri" w:hAnsi="Calibri"/>
          <w:b/>
          <w:color w:val="0F172A"/>
          <w:sz w:val="21"/>
        </w:rPr>
        <w:t xml:space="preserve">4. Live Network Controls &amp; Flow Dispatcher: </w:t>
      </w:r>
      <w:r>
        <w:rPr>
          <w:rFonts w:ascii="Calibri" w:hAnsi="Calibri"/>
          <w:color w:val="222222"/>
          <w:sz w:val="21"/>
        </w:rPr>
        <w:t>Located in the left sidebar of the campus map view. Provides dynamic toggle switches to simulate optical trunk breaks (CTS to SJT, CTS to Tech Tower, CTS to Hostels, and Inter-Tower Backup). Also integrates a real-time 4.8 Gbps traffic flow oscilloscope and an end-to-end Test Packet Dispatcher with path trace animations, latency readouts, and hop metric calculations.</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Multi-Area LSA Flooding Containment: </w:t>
      </w:r>
      <w:r>
        <w:rPr>
          <w:rFonts w:ascii="Calibri" w:hAnsi="Calibri"/>
          <w:color w:val="222222"/>
          <w:sz w:val="21"/>
        </w:rPr>
        <w:t>The software's Dijkstra SPF engine validated strict failure domain isolation between Area 0, Area 10, Area 20, Area 30, and Area 40. High-frequency access port flaps inside residential hostels (Area 20) generate Type-1 LSAs that are strictly contained within Area 20, producing zero SPF churn in the academic or administrative core.</w:t>
      </w:r>
    </w:p>
    <w:p>
      <w:pPr>
        <w:pStyle w:val="ListBullet"/>
        <w:spacing w:after="60" w:line="276" w:lineRule="auto"/>
      </w:pPr>
      <w:r>
        <w:rPr>
          <w:rFonts w:ascii="Calibri" w:hAnsi="Calibri"/>
          <w:b/>
          <w:color w:val="0F172A"/>
          <w:sz w:val="21"/>
        </w:rPr>
        <w:t xml:space="preserve">2. ABR VLSM Route Aggregation: </w:t>
      </w:r>
      <w:r>
        <w:rPr>
          <w:rFonts w:ascii="Calibri" w:hAnsi="Calibri"/>
          <w:color w:val="222222"/>
          <w:sz w:val="21"/>
        </w:rPr>
        <w:t>Area Border Routers (SJT-ABR, MH-ABR) successfully summarize 248 building VLANs into 4 CIDR prefixes (10.10.0.0/16, 10.20.0.0/16, 10.30.0.0/16, 10.40.0.0/16), verified in both the live FIB table inspector and the VLSM addressing module.</w:t>
      </w:r>
    </w:p>
    <w:p>
      <w:pPr>
        <w:pStyle w:val="ListBullet"/>
        <w:spacing w:after="60" w:line="276" w:lineRule="auto"/>
      </w:pPr>
      <w:r>
        <w:rPr>
          <w:rFonts w:ascii="Calibri" w:hAnsi="Calibri"/>
          <w:b/>
          <w:color w:val="0F172A"/>
          <w:sz w:val="21"/>
        </w:rPr>
        <w:t xml:space="preserve">3. Totally Stubby Area Route Shielding: </w:t>
      </w:r>
      <w:r>
        <w:rPr>
          <w:rFonts w:ascii="Calibri" w:hAnsi="Calibri"/>
          <w:color w:val="222222"/>
          <w:sz w:val="21"/>
        </w:rPr>
        <w:t>Gandhi Block Admin-ABR verified complete Type-3/5 LSA suppression inside Area 30. Internal administrative hosts forward outbound campus and internet traffic exclusively through an injected default route (0.0.0.0/0 via 10.0.0.21), shielding sensitive examination and finance databases.</w:t>
      </w:r>
    </w:p>
    <w:p>
      <w:pPr>
        <w:pStyle w:val="ListBullet"/>
        <w:spacing w:after="60" w:line="276" w:lineRule="auto"/>
      </w:pPr>
      <w:r>
        <w:rPr>
          <w:rFonts w:ascii="Calibri" w:hAnsi="Calibri"/>
          <w:b/>
          <w:color w:val="0F172A"/>
          <w:sz w:val="21"/>
        </w:rPr>
        <w:t xml:space="preserve">4. Redundant Link Failover &amp; Dynamic SPF: </w:t>
      </w:r>
      <w:r>
        <w:rPr>
          <w:rFonts w:ascii="Calibri" w:hAnsi="Calibri"/>
          <w:color w:val="222222"/>
          <w:sz w:val="21"/>
        </w:rPr>
        <w:t>Toggling the link l1 switch in the software's Live Network Controls panel simulates physical fiber severance between CTS-Core1 and SJT-ABR, causing the Dijkstra engine to instantaneously reroute flows through Tech Tower (TT-ABR) across secondary backup links with zero packet loss.</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