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SCALABLE MULTI-DEPARTMENT CAMPUS NETWORK DESIGN</w:t>
      </w:r>
    </w:p>
    <w:p>
      <w:pPr>
        <w:spacing w:before="0" w:after="320"/>
        <w:jc w:val="center"/>
      </w:pPr>
      <w:r>
        <w:rPr>
          <w:rFonts w:ascii="Arial" w:hAnsi="Arial"/>
          <w:b/>
          <w:color w:val="006699"/>
          <w:sz w:val="24"/>
        </w:rPr>
        <w:t>Lab Assessment Review 1: Problem Analysis, Network Design &amp; Configuration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Problem Formulation &amp; Multi-Department Scope</w:t>
      </w:r>
    </w:p>
    <w:p>
      <w:pPr>
        <w:keepNext/>
        <w:spacing w:before="240" w:after="60"/>
      </w:pPr>
      <w:r>
        <w:rPr>
          <w:rFonts w:ascii="Arial" w:hAnsi="Arial"/>
          <w:b/>
          <w:color w:val="006699"/>
          <w:sz w:val="24"/>
        </w:rPr>
        <w:t>1.1 Assigned Problem Statement</w:t>
      </w:r>
    </w:p>
    <w:p>
      <w:pPr>
        <w:spacing w:after="80" w:line="276" w:lineRule="auto"/>
      </w:pPr>
      <w:r>
        <w:rPr>
          <w:rFonts w:ascii="Calibri" w:hAnsi="Calibri"/>
          <w:b/>
          <w:color w:val="0F172A"/>
          <w:sz w:val="21"/>
        </w:rPr>
        <w:t xml:space="preserve">Problem Statement: </w:t>
      </w:r>
      <w:r>
        <w:rPr>
          <w:rFonts w:ascii="Calibri" w:hAnsi="Calibri"/>
          <w:color w:val="222222"/>
          <w:sz w:val="21"/>
        </w:rPr>
        <w:t>"Enterprise Routing using OSPF – Design a scalable routing system for multiple departments."</w:t>
      </w:r>
    </w:p>
    <w:p>
      <w:pPr>
        <w:spacing w:after="80" w:line="276" w:lineRule="auto"/>
      </w:pPr>
      <w:r>
        <w:rPr>
          <w:rFonts w:ascii="Calibri" w:hAnsi="Calibri"/>
          <w:color w:val="222222"/>
          <w:sz w:val="21"/>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keepNext/>
        <w:spacing w:before="240" w:after="60"/>
      </w:pPr>
      <w:r>
        <w:rPr>
          <w:rFonts w:ascii="Arial" w:hAnsi="Arial"/>
          <w:b/>
          <w:color w:val="006699"/>
          <w:sz w:val="24"/>
        </w:rPr>
        <w:t>1.2 Operational Scale Across Multiple University Departments</w:t>
      </w:r>
    </w:p>
    <w:p>
      <w:pPr>
        <w:spacing w:after="80" w:line="276" w:lineRule="auto"/>
      </w:pPr>
      <w:r>
        <w:rPr>
          <w:rFonts w:ascii="Calibri" w:hAnsi="Calibri"/>
          <w:color w:val="222222"/>
          <w:sz w:val="21"/>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jc w:val="center"/>
            </w:pPr>
            <w:r>
              <w:rPr>
                <w:rFonts w:ascii="Arial" w:hAnsi="Arial"/>
                <w:b/>
                <w:color w:val="FFFFFF"/>
                <w:sz w:val="18"/>
              </w:rPr>
              <w:t>Campus Sector</w:t>
            </w:r>
          </w:p>
        </w:tc>
        <w:tc>
          <w:tcPr>
            <w:tcW w:type="dxa" w:w="3168"/>
            <w:shd w:fill="003366"/>
          </w:tcPr>
          <w:p>
            <w:pPr>
              <w:jc w:val="center"/>
            </w:pPr>
            <w:r>
              <w:rPr>
                <w:rFonts w:ascii="Arial" w:hAnsi="Arial"/>
                <w:b/>
                <w:color w:val="FFFFFF"/>
                <w:sz w:val="18"/>
              </w:rPr>
              <w:t>Physical Facilities / Landmarks</w:t>
            </w:r>
          </w:p>
        </w:tc>
        <w:tc>
          <w:tcPr>
            <w:tcW w:type="dxa" w:w="2016"/>
            <w:shd w:fill="003366"/>
          </w:tcPr>
          <w:p>
            <w:pPr>
              <w:jc w:val="center"/>
            </w:pPr>
            <w:r>
              <w:rPr>
                <w:rFonts w:ascii="Arial" w:hAnsi="Arial"/>
                <w:b/>
                <w:color w:val="FFFFFF"/>
                <w:sz w:val="18"/>
              </w:rPr>
              <w:t>Active User Population</w:t>
            </w:r>
          </w:p>
        </w:tc>
        <w:tc>
          <w:tcPr>
            <w:tcW w:type="dxa" w:w="3456"/>
            <w:shd w:fill="003366"/>
          </w:tcPr>
          <w:p>
            <w:pPr>
              <w:jc w:val="center"/>
            </w:pPr>
            <w:r>
              <w:rPr>
                <w:rFonts w:ascii="Arial" w:hAnsi="Arial"/>
                <w:b/>
                <w:color w:val="FFFFFF"/>
                <w:sz w:val="18"/>
              </w:rPr>
              <w:t>Operational Network Profile</w:t>
            </w:r>
          </w:p>
        </w:tc>
      </w:tr>
      <w:tr>
        <w:tc>
          <w:tcPr>
            <w:tcW w:type="dxa" w:w="2160"/>
            <w:shd w:fill="F8FAFC"/>
          </w:tcPr>
          <w:p>
            <w:r>
              <w:rPr>
                <w:rFonts w:ascii="Calibri" w:hAnsi="Calibri"/>
                <w:color w:val="222222"/>
                <w:sz w:val="17"/>
              </w:rPr>
              <w:t>Academic Core</w:t>
            </w:r>
          </w:p>
        </w:tc>
        <w:tc>
          <w:tcPr>
            <w:tcW w:type="dxa" w:w="3168"/>
            <w:shd w:fill="F8FAFC"/>
          </w:tcPr>
          <w:p>
            <w:r>
              <w:rPr>
                <w:rFonts w:ascii="Calibri" w:hAnsi="Calibri"/>
                <w:color w:val="222222"/>
                <w:sz w:val="17"/>
              </w:rPr>
              <w:t>Silver Jubilee Tower (SJT 12 floors), Technology Tower (TT), Main Building (MB), SMV Hexagon</w:t>
            </w:r>
          </w:p>
        </w:tc>
        <w:tc>
          <w:tcPr>
            <w:tcW w:type="dxa" w:w="2016"/>
            <w:shd w:fill="F8FAFC"/>
          </w:tcPr>
          <w:p>
            <w:r>
              <w:rPr>
                <w:rFonts w:ascii="Calibri" w:hAnsi="Calibri"/>
                <w:color w:val="222222"/>
                <w:sz w:val="17"/>
              </w:rPr>
              <w:t>18,500 Daily Students</w:t>
            </w:r>
          </w:p>
        </w:tc>
        <w:tc>
          <w:tcPr>
            <w:tcW w:type="dxa" w:w="3456"/>
            <w:shd w:fill="F8FAFC"/>
          </w:tcPr>
          <w:p>
            <w:r>
              <w:rPr>
                <w:rFonts w:ascii="Calibri" w:hAnsi="Calibri"/>
                <w:color w:val="222222"/>
                <w:sz w:val="17"/>
              </w:rPr>
              <w:t>High-concurrency e-learning, lab virtualization, video streaming, low latency (&lt;= 5 ms).</w:t>
            </w:r>
          </w:p>
        </w:tc>
      </w:tr>
      <w:tr>
        <w:tc>
          <w:tcPr>
            <w:tcW w:type="dxa" w:w="2160"/>
            <w:shd w:fill="FFFFFF"/>
          </w:tcPr>
          <w:p>
            <w:r>
              <w:rPr>
                <w:rFonts w:ascii="Calibri" w:hAnsi="Calibri"/>
                <w:color w:val="222222"/>
                <w:sz w:val="17"/>
              </w:rPr>
              <w:t>Residential Hostels</w:t>
            </w:r>
          </w:p>
        </w:tc>
        <w:tc>
          <w:tcPr>
            <w:tcW w:type="dxa" w:w="3168"/>
            <w:shd w:fill="FFFFFF"/>
          </w:tcPr>
          <w:p>
            <w:r>
              <w:rPr>
                <w:rFonts w:ascii="Calibri" w:hAnsi="Calibri"/>
                <w:color w:val="222222"/>
                <w:sz w:val="17"/>
              </w:rPr>
              <w:t>Men's Hostels (Blocks A to T), Women's Hostels (Blocks A to H) - 35+ blocks</w:t>
            </w:r>
          </w:p>
        </w:tc>
        <w:tc>
          <w:tcPr>
            <w:tcW w:type="dxa" w:w="2016"/>
            <w:shd w:fill="FFFFFF"/>
          </w:tcPr>
          <w:p>
            <w:r>
              <w:rPr>
                <w:rFonts w:ascii="Calibri" w:hAnsi="Calibri"/>
                <w:color w:val="222222"/>
                <w:sz w:val="17"/>
              </w:rPr>
              <w:t>32,500 Resident Students</w:t>
            </w:r>
          </w:p>
        </w:tc>
        <w:tc>
          <w:tcPr>
            <w:tcW w:type="dxa" w:w="3456"/>
            <w:shd w:fill="FFFFFF"/>
          </w:tcPr>
          <w:p>
            <w:r>
              <w:rPr>
                <w:rFonts w:ascii="Calibri" w:hAnsi="Calibri"/>
                <w:color w:val="222222"/>
                <w:sz w:val="17"/>
              </w:rPr>
              <w:t>Massive Wi-Fi density, continuous client roam/flaps, entertainment, cloud gaming, peer-to-peer.</w:t>
            </w:r>
          </w:p>
        </w:tc>
      </w:tr>
      <w:tr>
        <w:tc>
          <w:tcPr>
            <w:tcW w:type="dxa" w:w="2160"/>
            <w:shd w:fill="F8FAFC"/>
          </w:tcPr>
          <w:p>
            <w:r>
              <w:rPr>
                <w:rFonts w:ascii="Calibri" w:hAnsi="Calibri"/>
                <w:color w:val="222222"/>
                <w:sz w:val="17"/>
              </w:rPr>
              <w:t>Central Administration</w:t>
            </w:r>
          </w:p>
        </w:tc>
        <w:tc>
          <w:tcPr>
            <w:tcW w:type="dxa" w:w="3168"/>
            <w:shd w:fill="F8FAFC"/>
          </w:tcPr>
          <w:p>
            <w:r>
              <w:rPr>
                <w:rFonts w:ascii="Calibri" w:hAnsi="Calibri"/>
                <w:color w:val="222222"/>
                <w:sz w:val="17"/>
              </w:rPr>
              <w:t>Gandhi Block Administration, Examination Controller, Finance Data Center</w:t>
            </w:r>
          </w:p>
        </w:tc>
        <w:tc>
          <w:tcPr>
            <w:tcW w:type="dxa" w:w="2016"/>
            <w:shd w:fill="F8FAFC"/>
          </w:tcPr>
          <w:p>
            <w:r>
              <w:rPr>
                <w:rFonts w:ascii="Calibri" w:hAnsi="Calibri"/>
                <w:color w:val="222222"/>
                <w:sz w:val="17"/>
              </w:rPr>
              <w:t>3,500 Administrative Staff</w:t>
            </w:r>
          </w:p>
        </w:tc>
        <w:tc>
          <w:tcPr>
            <w:tcW w:type="dxa" w:w="3456"/>
            <w:shd w:fill="F8FAFC"/>
          </w:tcPr>
          <w:p>
            <w:r>
              <w:rPr>
                <w:rFonts w:ascii="Calibri" w:hAnsi="Calibri"/>
                <w:color w:val="222222"/>
                <w:sz w:val="17"/>
              </w:rPr>
              <w:t>High security, ERP student records, payroll, strict route isolation and access controls.</w:t>
            </w:r>
          </w:p>
        </w:tc>
      </w:tr>
      <w:tr>
        <w:tc>
          <w:tcPr>
            <w:tcW w:type="dxa" w:w="2160"/>
            <w:shd w:fill="FFFFFF"/>
          </w:tcPr>
          <w:p>
            <w:r>
              <w:rPr>
                <w:rFonts w:ascii="Calibri" w:hAnsi="Calibri"/>
                <w:color w:val="222222"/>
                <w:sz w:val="17"/>
              </w:rPr>
              <w:t>Research &amp; Innovation</w:t>
            </w:r>
          </w:p>
        </w:tc>
        <w:tc>
          <w:tcPr>
            <w:tcW w:type="dxa" w:w="3168"/>
            <w:shd w:fill="FFFFFF"/>
          </w:tcPr>
          <w:p>
            <w:r>
              <w:rPr>
                <w:rFonts w:ascii="Calibri" w:hAnsi="Calibri"/>
                <w:color w:val="222222"/>
                <w:sz w:val="17"/>
              </w:rPr>
              <w:t>Pearl Research Park (PRP 7 floors), AI Supercomputing &amp; Technology Incubators</w:t>
            </w:r>
          </w:p>
        </w:tc>
        <w:tc>
          <w:tcPr>
            <w:tcW w:type="dxa" w:w="2016"/>
            <w:shd w:fill="FFFFFF"/>
          </w:tcPr>
          <w:p>
            <w:r>
              <w:rPr>
                <w:rFonts w:ascii="Calibri" w:hAnsi="Calibri"/>
                <w:color w:val="222222"/>
                <w:sz w:val="17"/>
              </w:rPr>
              <w:t>4,800 Researchers</w:t>
            </w:r>
          </w:p>
        </w:tc>
        <w:tc>
          <w:tcPr>
            <w:tcW w:type="dxa" w:w="3456"/>
            <w:shd w:fill="FFFFFF"/>
          </w:tcPr>
          <w:p>
            <w:r>
              <w:rPr>
                <w:rFonts w:ascii="Calibri" w:hAnsi="Calibri"/>
                <w:color w:val="222222"/>
                <w:sz w:val="17"/>
              </w:rPr>
              <w:t>High-throughput data transfers, HPC clusters, custom experimental IP route injection.</w:t>
            </w:r>
          </w:p>
        </w:tc>
      </w:tr>
      <w:tr>
        <w:tc>
          <w:tcPr>
            <w:tcW w:type="dxa" w:w="2160"/>
            <w:shd w:fill="F8FAFC"/>
          </w:tcPr>
          <w:p>
            <w:r>
              <w:rPr>
                <w:rFonts w:ascii="Calibri" w:hAnsi="Calibri"/>
                <w:color w:val="222222"/>
                <w:sz w:val="17"/>
              </w:rPr>
              <w:t>Campus Core DC</w:t>
            </w:r>
          </w:p>
        </w:tc>
        <w:tc>
          <w:tcPr>
            <w:tcW w:type="dxa" w:w="3168"/>
            <w:shd w:fill="F8FAFC"/>
          </w:tcPr>
          <w:p>
            <w:r>
              <w:rPr>
                <w:rFonts w:ascii="Calibri" w:hAnsi="Calibri"/>
                <w:color w:val="222222"/>
                <w:sz w:val="17"/>
              </w:rPr>
              <w:t>Centre for Technical Support (CTS DC 1 &amp; 2)</w:t>
            </w:r>
          </w:p>
        </w:tc>
        <w:tc>
          <w:tcPr>
            <w:tcW w:type="dxa" w:w="2016"/>
            <w:shd w:fill="F8FAFC"/>
          </w:tcPr>
          <w:p>
            <w:r>
              <w:rPr>
                <w:rFonts w:ascii="Calibri" w:hAnsi="Calibri"/>
                <w:color w:val="222222"/>
                <w:sz w:val="17"/>
              </w:rPr>
              <w:t>Core Enterprise Hub</w:t>
            </w:r>
          </w:p>
        </w:tc>
        <w:tc>
          <w:tcPr>
            <w:tcW w:type="dxa" w:w="3456"/>
            <w:shd w:fill="F8FAFC"/>
          </w:tcPr>
          <w:p>
            <w:r>
              <w:rPr>
                <w:rFonts w:ascii="Calibri" w:hAnsi="Calibri"/>
                <w:color w:val="222222"/>
                <w:sz w:val="17"/>
              </w:rPr>
              <w:t>Dual redundant optical backbone spine terminating all inter-sector optical conduits at 100 Gbps.</w:t>
            </w:r>
          </w:p>
        </w:tc>
      </w:tr>
    </w:tbl>
    <w:p>
      <w:pPr>
        <w:keepNext/>
        <w:spacing w:before="240" w:after="60"/>
      </w:pPr>
      <w:r>
        <w:rPr>
          <w:rFonts w:ascii="Arial" w:hAnsi="Arial"/>
          <w:b/>
          <w:color w:val="006699"/>
          <w:sz w:val="24"/>
        </w:rPr>
        <w:t>1.3 Failure Modes of a Flat Single-Area Network Design</w:t>
      </w:r>
    </w:p>
    <w:p>
      <w:pPr>
        <w:spacing w:after="80" w:line="276" w:lineRule="auto"/>
      </w:pPr>
      <w:r>
        <w:rPr>
          <w:rFonts w:ascii="Calibri" w:hAnsi="Calibri"/>
          <w:color w:val="222222"/>
          <w:sz w:val="21"/>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spacing w:after="60" w:line="276" w:lineRule="auto"/>
      </w:pPr>
      <w:r>
        <w:rPr>
          <w:rFonts w:ascii="Calibri" w:hAnsi="Calibri"/>
          <w:b/>
          <w:color w:val="0F172A"/>
          <w:sz w:val="21"/>
        </w:rPr>
        <w:t xml:space="preserve">1. Continuous SPF Recalculation Storms: </w:t>
      </w:r>
      <w:r>
        <w:rPr>
          <w:rFonts w:ascii="Calibri" w:hAnsi="Calibri"/>
          <w:color w:val="222222"/>
          <w:sz w:val="21"/>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spacing w:after="60" w:line="276" w:lineRule="auto"/>
      </w:pPr>
      <w:r>
        <w:rPr>
          <w:rFonts w:ascii="Calibri" w:hAnsi="Calibri"/>
          <w:b/>
          <w:color w:val="0F172A"/>
          <w:sz w:val="21"/>
        </w:rPr>
        <w:t xml:space="preserve">2. Hardware TCAM Exhaustion: </w:t>
      </w:r>
      <w:r>
        <w:rPr>
          <w:rFonts w:ascii="Calibri" w:hAnsi="Calibri"/>
          <w:color w:val="222222"/>
          <w:sz w:val="21"/>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spacing w:after="60" w:line="276" w:lineRule="auto"/>
      </w:pPr>
      <w:r>
        <w:rPr>
          <w:rFonts w:ascii="Calibri" w:hAnsi="Calibri"/>
          <w:b/>
          <w:color w:val="0F172A"/>
          <w:sz w:val="21"/>
        </w:rPr>
        <w:t xml:space="preserve">3. Absence of Failure Domain Isolation: </w:t>
      </w:r>
      <w:r>
        <w:rPr>
          <w:rFonts w:ascii="Calibri" w:hAnsi="Calibri"/>
          <w:color w:val="222222"/>
          <w:sz w:val="21"/>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keepNext/>
        <w:spacing w:before="240" w:after="60"/>
      </w:pPr>
      <w:r>
        <w:rPr>
          <w:rFonts w:ascii="Arial" w:hAnsi="Arial"/>
          <w:b/>
          <w:color w:val="006699"/>
          <w:sz w:val="24"/>
        </w:rPr>
        <w:t>1.4 Engineering Objectives and Multi-Department SLA Constraints</w:t>
      </w:r>
    </w:p>
    <w:p>
      <w:pPr>
        <w:spacing w:after="80" w:line="276" w:lineRule="auto"/>
      </w:pPr>
      <w:r>
        <w:rPr>
          <w:rFonts w:ascii="Calibri" w:hAnsi="Calibri"/>
          <w:color w:val="222222"/>
          <w:sz w:val="21"/>
        </w:rPr>
        <w:t>To resolve these operational challenges, this project establishes a hierarchical, multi-area OSPF routing architecture engineered to achieve the following measurable service-level benchmarks:</w:t>
      </w:r>
    </w:p>
    <w:p>
      <w:pPr>
        <w:pStyle w:val="ListBullet"/>
        <w:spacing w:after="60" w:line="276" w:lineRule="auto"/>
      </w:pPr>
      <w:r>
        <w:rPr>
          <w:rFonts w:ascii="Calibri" w:hAnsi="Calibri"/>
          <w:b/>
          <w:color w:val="0F172A"/>
          <w:sz w:val="21"/>
        </w:rPr>
        <w:t xml:space="preserve">High Availability: </w:t>
      </w:r>
      <w:r>
        <w:rPr>
          <w:rFonts w:ascii="Calibri" w:hAnsi="Calibri"/>
          <w:color w:val="222222"/>
          <w:sz w:val="21"/>
        </w:rPr>
        <w:t>Maintain 99.98% network availability across 40,000 concurrent user sessions.</w:t>
      </w:r>
    </w:p>
    <w:p>
      <w:pPr>
        <w:pStyle w:val="ListBullet"/>
        <w:spacing w:after="60" w:line="276" w:lineRule="auto"/>
      </w:pPr>
      <w:r>
        <w:rPr>
          <w:rFonts w:ascii="Calibri" w:hAnsi="Calibri"/>
          <w:b/>
          <w:color w:val="0F172A"/>
          <w:sz w:val="21"/>
        </w:rPr>
        <w:t xml:space="preserve">Fast Convergence: </w:t>
      </w:r>
      <w:r>
        <w:rPr>
          <w:rFonts w:ascii="Calibri" w:hAnsi="Calibri"/>
          <w:color w:val="222222"/>
          <w:sz w:val="21"/>
        </w:rPr>
        <w:t>Sub-second route recovery (&lt;= 2 milliseconds) during any primary trunk fiber severance using fast timers and pre-calculated backup paths.</w:t>
      </w:r>
    </w:p>
    <w:p>
      <w:pPr>
        <w:pStyle w:val="ListBullet"/>
        <w:spacing w:after="60" w:line="276" w:lineRule="auto"/>
      </w:pPr>
      <w:r>
        <w:rPr>
          <w:rFonts w:ascii="Calibri" w:hAnsi="Calibri"/>
          <w:b/>
          <w:color w:val="0F172A"/>
          <w:sz w:val="21"/>
        </w:rPr>
        <w:t xml:space="preserve">TCAM Route Summarization: </w:t>
      </w:r>
      <w:r>
        <w:rPr>
          <w:rFonts w:ascii="Calibri" w:hAnsi="Calibri"/>
          <w:color w:val="222222"/>
          <w:sz w:val="21"/>
        </w:rPr>
        <w:t>Achieve at least 95% reduction in core routing table size via deterministic Class A VLSM supernetting at Area Border Routers.</w:t>
      </w:r>
    </w:p>
    <w:p>
      <w:pPr>
        <w:pStyle w:val="ListBullet"/>
        <w:spacing w:after="60" w:line="276" w:lineRule="auto"/>
      </w:pPr>
      <w:r>
        <w:rPr>
          <w:rFonts w:ascii="Calibri" w:hAnsi="Calibri"/>
          <w:b/>
          <w:color w:val="0F172A"/>
          <w:sz w:val="21"/>
        </w:rPr>
        <w:t xml:space="preserve">Administrative Route Shielding: </w:t>
      </w:r>
      <w:r>
        <w:rPr>
          <w:rFonts w:ascii="Calibri" w:hAnsi="Calibri"/>
          <w:color w:val="222222"/>
          <w:sz w:val="21"/>
        </w:rPr>
        <w:t>Isolate administrative and financial servers from student network reachability using Totally Stubby Area boundary constraints.</w:t>
      </w:r>
    </w:p>
    <w:p>
      <w:pPr>
        <w:keepNext/>
        <w:spacing w:before="320" w:after="80"/>
      </w:pPr>
      <w:r>
        <w:rPr>
          <w:rFonts w:ascii="Arial" w:hAnsi="Arial"/>
          <w:b/>
          <w:color w:val="003366"/>
          <w:sz w:val="28"/>
        </w:rPr>
        <w:t>2. Hierarchical Network Topology Design</w:t>
      </w:r>
    </w:p>
    <w:p>
      <w:pPr>
        <w:keepNext/>
        <w:spacing w:before="240" w:after="60"/>
      </w:pPr>
      <w:r>
        <w:rPr>
          <w:rFonts w:ascii="Arial" w:hAnsi="Arial"/>
          <w:b/>
          <w:color w:val="006699"/>
          <w:sz w:val="24"/>
        </w:rPr>
        <w:t>2.1 Multi-Area Campus Architecture Overview</w:t>
      </w:r>
    </w:p>
    <w:p>
      <w:pPr>
        <w:spacing w:after="80" w:line="276" w:lineRule="auto"/>
      </w:pPr>
      <w:r>
        <w:rPr>
          <w:rFonts w:ascii="Calibri" w:hAnsi="Calibri"/>
          <w:color w:val="222222"/>
          <w:sz w:val="21"/>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spacing w:after="60" w:line="276" w:lineRule="auto"/>
      </w:pPr>
      <w:r>
        <w:rPr>
          <w:rFonts w:ascii="Calibri" w:hAnsi="Calibri"/>
          <w:b/>
          <w:color w:val="0F172A"/>
          <w:sz w:val="21"/>
        </w:rPr>
        <w:t xml:space="preserve">Area 0 (Backbone Core): </w:t>
      </w:r>
      <w:r>
        <w:rPr>
          <w:rFonts w:ascii="Calibri" w:hAnsi="Calibri"/>
          <w:color w:val="222222"/>
          <w:sz w:val="21"/>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spacing w:after="60" w:line="276" w:lineRule="auto"/>
      </w:pPr>
      <w:r>
        <w:rPr>
          <w:rFonts w:ascii="Calibri" w:hAnsi="Calibri"/>
          <w:b/>
          <w:color w:val="0F172A"/>
          <w:sz w:val="21"/>
        </w:rPr>
        <w:t xml:space="preserve">Area 10 (Academic Core): </w:t>
      </w:r>
      <w:r>
        <w:rPr>
          <w:rFonts w:ascii="Calibri" w:hAnsi="Calibri"/>
          <w:color w:val="222222"/>
          <w:sz w:val="21"/>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spacing w:after="60" w:line="276" w:lineRule="auto"/>
      </w:pPr>
      <w:r>
        <w:rPr>
          <w:rFonts w:ascii="Calibri" w:hAnsi="Calibri"/>
          <w:b/>
          <w:color w:val="0F172A"/>
          <w:sz w:val="21"/>
        </w:rPr>
        <w:t xml:space="preserve">Area 20 (Residential Hostels): </w:t>
      </w:r>
      <w:r>
        <w:rPr>
          <w:rFonts w:ascii="Calibri" w:hAnsi="Calibri"/>
          <w:color w:val="222222"/>
          <w:sz w:val="21"/>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spacing w:after="60" w:line="276" w:lineRule="auto"/>
      </w:pPr>
      <w:r>
        <w:rPr>
          <w:rFonts w:ascii="Calibri" w:hAnsi="Calibri"/>
          <w:b/>
          <w:color w:val="0F172A"/>
          <w:sz w:val="21"/>
        </w:rPr>
        <w:t xml:space="preserve">Area 30 (Central Administration - Totally Stubby): </w:t>
      </w:r>
      <w:r>
        <w:rPr>
          <w:rFonts w:ascii="Calibri" w:hAnsi="Calibri"/>
          <w:color w:val="222222"/>
          <w:sz w:val="21"/>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spacing w:after="60" w:line="276" w:lineRule="auto"/>
      </w:pPr>
      <w:r>
        <w:rPr>
          <w:rFonts w:ascii="Calibri" w:hAnsi="Calibri"/>
          <w:b/>
          <w:color w:val="0F172A"/>
          <w:sz w:val="21"/>
        </w:rPr>
        <w:t xml:space="preserve">Area 40 (Research &amp; Incubation - NSSA): </w:t>
      </w:r>
      <w:r>
        <w:rPr>
          <w:rFonts w:ascii="Calibri" w:hAnsi="Calibri"/>
          <w:color w:val="222222"/>
          <w:sz w:val="21"/>
        </w:rPr>
        <w:t>Encompasses Pearl Research Park (PRP-ABR) housing supercomputing testbeds, AI laboratories, and startup incubators. Operates as a Not-So-Stubby Area (NSSA) allowing researchers to redistribute external lab routes (Type-7 LSAs) translated to Type-5 at PRP-ABR.</w:t>
      </w:r>
    </w:p>
    <w:p>
      <w:pPr>
        <w:keepNext/>
        <w:spacing w:before="240" w:after="60"/>
      </w:pPr>
      <w:r>
        <w:rPr>
          <w:rFonts w:ascii="Arial" w:hAnsi="Arial"/>
          <w:b/>
          <w:color w:val="006699"/>
          <w:sz w:val="24"/>
        </w:rPr>
        <w:t>2.2 Campus Topological Interconnection Diagram</w:t>
      </w:r>
    </w:p>
    <w:p>
      <w:pPr>
        <w:spacing w:after="80" w:line="276" w:lineRule="auto"/>
      </w:pPr>
      <w:r>
        <w:rPr>
          <w:rFonts w:ascii="Calibri" w:hAnsi="Calibri"/>
          <w:color w:val="222222"/>
          <w:sz w:val="21"/>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spacing w:before="160" w:after="40"/>
        <w:jc w:val="center"/>
      </w:pPr>
    </w:p>
    <w:p>
      <w:pPr>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cisco_packet_tracer_topology.jpg"/>
                    <pic:cNvPicPr/>
                  </pic:nvPicPr>
                  <pic:blipFill>
                    <a:blip r:embed="rId9"/>
                    <a:stretch>
                      <a:fillRect/>
                    </a:stretch>
                  </pic:blipFill>
                  <pic:spPr>
                    <a:xfrm>
                      <a:off x="0" y="0"/>
                      <a:ext cx="5852160" cy="3266322"/>
                    </a:xfrm>
                    <a:prstGeom prst="rect"/>
                  </pic:spPr>
                </pic:pic>
              </a:graphicData>
            </a:graphic>
          </wp:inline>
        </w:drawing>
      </w:r>
    </w:p>
    <w:p>
      <w:pPr>
        <w:spacing w:after="200"/>
        <w:jc w:val="center"/>
      </w:pPr>
      <w:r>
        <w:rPr>
          <w:rFonts w:ascii="Calibri" w:hAnsi="Calibri"/>
          <w:i/>
          <w:color w:val="475569"/>
          <w:sz w:val="19"/>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spacing w:before="120" w:after="40"/>
        <w:jc w:val="center"/>
      </w:pP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showcase_3d_campus.jpg"/>
                    <pic:cNvPicPr/>
                  </pic:nvPicPr>
                  <pic:blipFill>
                    <a:blip r:embed="rId10"/>
                    <a:stretch>
                      <a:fillRect/>
                    </a:stretch>
                  </pic:blipFill>
                  <pic:spPr>
                    <a:xfrm>
                      <a:off x="0" y="0"/>
                      <a:ext cx="5486400" cy="3657600"/>
                    </a:xfrm>
                    <a:prstGeom prst="rect"/>
                  </pic:spPr>
                </pic:pic>
              </a:graphicData>
            </a:graphic>
          </wp:inline>
        </w:drawing>
      </w:r>
    </w:p>
    <w:p>
      <w:pPr>
        <w:spacing w:after="240"/>
        <w:jc w:val="center"/>
      </w:pPr>
      <w:r>
        <w:rPr>
          <w:rFonts w:ascii="Calibri" w:hAnsi="Calibri"/>
          <w:i/>
          <w:color w:val="475569"/>
          <w:sz w:val="19"/>
        </w:rPr>
        <w:t>Figure 1.2: 3D Isometric architectural visualization of the 372-acre VIT Vellore campus network, illustrating optical trunk conduits linking Silver Jubilee Tower, Tech Tower, Gandhi Admin, Men's Hostels, Women's Hostels, Pearl Research, and CTS Core DC.</w:t>
      </w:r>
    </w:p>
    <w:p>
      <w:pPr>
        <w:spacing w:before="160" w:after="40"/>
        <w:jc w:val="center"/>
      </w:pPr>
    </w:p>
    <w:p>
      <w:pPr>
        <w:jc w:val="center"/>
      </w:pPr>
      <w:r>
        <w:drawing>
          <wp:inline xmlns:a="http://schemas.openxmlformats.org/drawingml/2006/main" xmlns:pic="http://schemas.openxmlformats.org/drawingml/2006/picture">
            <wp:extent cx="5852160" cy="3811957"/>
            <wp:docPr id="3" name="Picture 3"/>
            <wp:cNvGraphicFramePr>
              <a:graphicFrameLocks noChangeAspect="1"/>
            </wp:cNvGraphicFramePr>
            <a:graphic>
              <a:graphicData uri="http://schemas.openxmlformats.org/drawingml/2006/picture">
                <pic:pic>
                  <pic:nvPicPr>
                    <pic:cNvPr id="0" name="vit_ospf_5area_schematic.png"/>
                    <pic:cNvPicPr/>
                  </pic:nvPicPr>
                  <pic:blipFill>
                    <a:blip r:embed="rId11"/>
                    <a:stretch>
                      <a:fillRect/>
                    </a:stretch>
                  </pic:blipFill>
                  <pic:spPr>
                    <a:xfrm>
                      <a:off x="0" y="0"/>
                      <a:ext cx="5852160" cy="3811957"/>
                    </a:xfrm>
                    <a:prstGeom prst="rect"/>
                  </pic:spPr>
                </pic:pic>
              </a:graphicData>
            </a:graphic>
          </wp:inline>
        </w:drawing>
      </w:r>
    </w:p>
    <w:p>
      <w:pPr>
        <w:spacing w:after="240"/>
        <w:jc w:val="center"/>
      </w:pPr>
      <w:r>
        <w:rPr>
          <w:rFonts w:ascii="Calibri" w:hAnsi="Calibri"/>
          <w:i/>
          <w:color w:val="475569"/>
          <w:sz w:val="19"/>
        </w:rPr>
        <w:t>Figure 1.3: High-level architectural schematic of the VIT Vellore 5-Area OSPF campus network, detailing backbone spine (Area 0), academic complexes (Area 10), residential hostels (Area 20), administrative security shield (Area 30), and research clusters (Area 40).</w:t>
      </w:r>
    </w:p>
    <w:p>
      <w:pPr>
        <w:keepNext/>
        <w:spacing w:before="240" w:after="60"/>
      </w:pPr>
      <w:r>
        <w:rPr>
          <w:rFonts w:ascii="Arial" w:hAnsi="Arial"/>
          <w:b/>
          <w:color w:val="006699"/>
          <w:sz w:val="24"/>
        </w:rPr>
        <w:t>2.3 Physical Conduits and Interface Specifications</w:t>
      </w:r>
    </w:p>
    <w:p>
      <w:pPr>
        <w:spacing w:after="80" w:line="276" w:lineRule="auto"/>
      </w:pPr>
      <w:r>
        <w:rPr>
          <w:rFonts w:ascii="Calibri" w:hAnsi="Calibri"/>
          <w:color w:val="222222"/>
          <w:sz w:val="21"/>
        </w:rPr>
        <w:t>The point-to-point physical links interconnecting campus aggregation points are detailed in the following engineering matrix:</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440"/>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440"/>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440"/>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440"/>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440"/>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440"/>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440"/>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pPr>
        <w:keepNext/>
        <w:spacing w:before="320" w:after="80"/>
      </w:pPr>
      <w:r>
        <w:rPr>
          <w:rFonts w:ascii="Arial" w:hAnsi="Arial"/>
          <w:b/>
          <w:color w:val="003366"/>
          <w:sz w:val="28"/>
        </w:rPr>
        <w:t>3. Variable Length Subnet Masking (VLSM) &amp; Route Aggregation</w:t>
      </w:r>
    </w:p>
    <w:p>
      <w:pPr>
        <w:keepNext/>
        <w:spacing w:before="240" w:after="60"/>
      </w:pPr>
      <w:r>
        <w:rPr>
          <w:rFonts w:ascii="Arial" w:hAnsi="Arial"/>
          <w:b/>
          <w:color w:val="006699"/>
          <w:sz w:val="24"/>
        </w:rPr>
        <w:t>3.1 Class A Private Addressing Structure (10.0.0.0/8)</w:t>
      </w:r>
    </w:p>
    <w:p>
      <w:pPr>
        <w:spacing w:after="80" w:line="276" w:lineRule="auto"/>
      </w:pPr>
      <w:r>
        <w:rPr>
          <w:rFonts w:ascii="Calibri" w:hAnsi="Calibri"/>
          <w:color w:val="222222"/>
          <w:sz w:val="21"/>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40" w:after="60"/>
      </w:pPr>
      <w:r>
        <w:rPr>
          <w:rFonts w:ascii="Arial" w:hAnsi="Arial"/>
          <w:b/>
          <w:color w:val="006699"/>
          <w:sz w:val="24"/>
        </w:rPr>
        <w:t>3.2 Comprehensive VLSM Allocation Matrix</w:t>
      </w:r>
    </w:p>
    <w:p>
      <w:pPr>
        <w:spacing w:after="80" w:line="276" w:lineRule="auto"/>
      </w:pPr>
      <w:r>
        <w:rPr>
          <w:rFonts w:ascii="Calibri" w:hAnsi="Calibri"/>
          <w:color w:val="222222"/>
          <w:sz w:val="21"/>
        </w:rPr>
        <w:t>The complete VLSM subnet allocation, usable host capacities, and ABR summary boundaries are tabulated below:</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40" w:after="60"/>
      </w:pPr>
      <w:r>
        <w:rPr>
          <w:rFonts w:ascii="Arial" w:hAnsi="Arial"/>
          <w:b/>
          <w:color w:val="006699"/>
          <w:sz w:val="24"/>
        </w:rPr>
        <w:t>3.3 Proof of TCAM FIB Route Compression (98.4% Table Reduction)</w:t>
      </w:r>
    </w:p>
    <w:p>
      <w:pPr>
        <w:spacing w:after="80" w:line="276" w:lineRule="auto"/>
      </w:pPr>
      <w:r>
        <w:rPr>
          <w:rFonts w:ascii="Calibri" w:hAnsi="Calibri"/>
          <w:color w:val="222222"/>
          <w:sz w:val="21"/>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after="60" w:line="276" w:lineRule="auto"/>
      </w:pPr>
      <w:r>
        <w:rPr>
          <w:rFonts w:ascii="Calibri" w:hAnsi="Calibri"/>
          <w:b/>
          <w:color w:val="0F172A"/>
          <w:sz w:val="21"/>
        </w:rPr>
        <w:t xml:space="preserve">Academic Supernetting: </w:t>
      </w:r>
      <w:r>
        <w:rPr>
          <w:rFonts w:ascii="Calibri" w:hAnsi="Calibri"/>
          <w:color w:val="222222"/>
          <w:sz w:val="21"/>
        </w:rPr>
        <w:t>Area 10 ABRs aggregate 10.10.0.0/18, 10.10.64.0/18, 10.10.128.0/18, and 10.10.192.0/18 into the single CIDR supernet 10.10.0.0/16.</w:t>
      </w:r>
    </w:p>
    <w:p>
      <w:pPr>
        <w:pStyle w:val="ListBullet"/>
        <w:spacing w:after="60" w:line="276" w:lineRule="auto"/>
      </w:pPr>
      <w:r>
        <w:rPr>
          <w:rFonts w:ascii="Calibri" w:hAnsi="Calibri"/>
          <w:b/>
          <w:color w:val="0F172A"/>
          <w:sz w:val="21"/>
        </w:rPr>
        <w:t xml:space="preserve">Hostel Supernetting: </w:t>
      </w:r>
      <w:r>
        <w:rPr>
          <w:rFonts w:ascii="Calibri" w:hAnsi="Calibri"/>
          <w:color w:val="222222"/>
          <w:sz w:val="21"/>
        </w:rPr>
        <w:t>Area 20 ABRs aggregate Men's (10.20.0.0/17) and Women's (10.20.128.0/17) into the single CIDR supernet 10.20.0.0/16.</w:t>
      </w:r>
    </w:p>
    <w:p>
      <w:pPr>
        <w:pStyle w:val="ListBullet"/>
        <w:spacing w:after="60" w:line="276" w:lineRule="auto"/>
      </w:pPr>
      <w:r>
        <w:rPr>
          <w:rFonts w:ascii="Calibri" w:hAnsi="Calibri"/>
          <w:b/>
          <w:color w:val="0F172A"/>
          <w:sz w:val="21"/>
        </w:rPr>
        <w:t xml:space="preserve">Mathematical Compression Proof: </w:t>
      </w:r>
      <w:r>
        <w:rPr>
          <w:rFonts w:ascii="Calibri" w:hAnsi="Calibri"/>
          <w:color w:val="222222"/>
          <w:sz w:val="21"/>
        </w:rPr>
        <w:t>Total route table entries in CTS Core Router = 4 summary routes (10.10.0.0/16, 10.20.0.0/16, 10.30.0.0/16, 10.40.0.0/16). Compression Efficiency = (248 - 4) / 248 = 98.387% (~98.4%). This preserves 98.4% of hardware TCAM entries.</w:t>
      </w:r>
    </w:p>
    <w:p>
      <w:r>
        <w:br w:type="page"/>
      </w:r>
    </w:p>
    <w:p>
      <w:pPr>
        <w:keepNext/>
        <w:spacing w:before="320" w:after="80"/>
      </w:pPr>
      <w:r>
        <w:rPr>
          <w:rFonts w:ascii="Arial" w:hAnsi="Arial"/>
          <w:b/>
          <w:color w:val="003366"/>
          <w:sz w:val="28"/>
        </w:rPr>
        <w:t>4. Production Cisco IOS Configuration Scripts</w:t>
      </w:r>
    </w:p>
    <w:p>
      <w:pPr>
        <w:spacing w:after="80" w:line="276" w:lineRule="auto"/>
      </w:pPr>
      <w:r>
        <w:rPr>
          <w:rFonts w:ascii="Calibri" w:hAnsi="Calibri"/>
          <w:color w:val="222222"/>
          <w:sz w:val="21"/>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40" w:after="60"/>
      </w:pPr>
      <w:r>
        <w:rPr>
          <w:rFonts w:ascii="Arial" w:hAnsi="Arial"/>
          <w:b/>
          <w:color w:val="006699"/>
          <w:sz w:val="24"/>
        </w:rPr>
        <w:t>4.1 CTS Core Router 1 (Area 0 Backbone Spine)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CTS-CORE1 (CAMPUS BACKBONE SPINE ROUTER)</w:t>
              <w:br/>
              <w:t>! =====================================================================</w:t>
              <w:br/>
              <w:t>hostname CTS-Core1</w:t>
              <w:br/>
              <w:t>!</w:t>
              <w:br/>
              <w:t>ip routing</w:t>
              <w:br/>
              <w:t>!</w:t>
              <w:br/>
              <w:t>interface Loopback0</w:t>
              <w:br/>
              <w:t xml:space="preserve"> ip address 10.0.0.1 255.255.255.255</w:t>
              <w:br/>
              <w:t>!</w:t>
              <w:br/>
              <w:t>interface GigabitEthernet0/1</w:t>
              <w:br/>
              <w:t xml:space="preserve"> description 100G Optical Trunk to CTS Core Router 2</w:t>
              <w:br/>
              <w:t xml:space="preserve"> ip address 10.0.0.1 255.255.255.252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100G Optical Conduit Link l1 to SJT-ABR (Area 10)</w:t>
              <w:br/>
              <w:t xml:space="preserve"> ip address 10.0.0.5 255.255.255.252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GigabitEthernet0/3</w:t>
              <w:br/>
              <w:t xml:space="preserve"> description 100G Optical Conduit Link l2 to TT-ABR (Area 10)</w:t>
              <w:br/>
              <w:t xml:space="preserve"> ip address 10.0.0.9 255.255.255.252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GigabitEthernet0/6</w:t>
              <w:br/>
              <w:t xml:space="preserve"> description 10G Optical Conduit Link l5 to Admin-ABR (Area 30)</w:t>
              <w:br/>
              <w:t xml:space="preserve"> ip address 10.0.0.21 255.255.255.252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ip ospf authentication message-digest</w:t>
              <w:br/>
              <w:t xml:space="preserve"> ip ospf message-digest-key 1 md5 V1t_C0r3_S3cur3</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before="0" w:after="80"/>
      </w:pPr>
    </w:p>
    <w:p>
      <w:pPr>
        <w:keepNext/>
        <w:spacing w:before="240" w:after="60"/>
      </w:pPr>
      <w:r>
        <w:rPr>
          <w:rFonts w:ascii="Arial" w:hAnsi="Arial"/>
          <w:b/>
          <w:color w:val="006699"/>
          <w:sz w:val="24"/>
        </w:rPr>
        <w:t>4.2 Silver Jubilee Tower Router (SJT-ABR - Area 10 Academic Core)</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SJT-ABR (ACADEMIC CORE BORDER ROUTER)</w:t>
              <w:br/>
              <w:t>! =====================================================================</w:t>
              <w:br/>
              <w:t>hostname SJT-ABR</w:t>
              <w:br/>
              <w:t>!</w:t>
              <w:br/>
              <w:t>interface Loopback0</w:t>
              <w:br/>
              <w:t xml:space="preserve"> ip address 10.10.0.1 255.255.255.255</w:t>
              <w:br/>
              <w:t>!</w:t>
              <w:br/>
              <w:t>interface GigabitEthernet0/1</w:t>
              <w:br/>
              <w:t xml:space="preserve"> description 100G Uplink to CTS-Core1 (Area 0)</w:t>
              <w:br/>
              <w:t xml:space="preserve"> ip address 10.0.0.6 255.255.255.252</w:t>
              <w:br/>
              <w:t xml:space="preserve"> ip ospf network point-to-point</w:t>
              <w:br/>
              <w:t xml:space="preserve"> ip ospf authentication message-digest</w:t>
              <w:br/>
              <w:t xml:space="preserve"> ip ospf message-digest-key 1 md5 V1t_C0r3_S3cur3</w:t>
              <w:br/>
              <w:t xml:space="preserve"> ip ospf hello-interval 1</w:t>
              <w:br/>
              <w:t xml:space="preserve"> ip ospf dead-interval 4</w:t>
              <w:br/>
              <w:t xml:space="preserve"> no shutdown</w:t>
              <w:br/>
              <w:t>!</w:t>
              <w:br/>
              <w:t>interface GigabitEthernet0/2</w:t>
              <w:br/>
              <w:t xml:space="preserve"> description 40G Inter-Tower Backup Conduit to TT-ABR (Area 10)</w:t>
              <w:br/>
              <w:t xml:space="preserve"> ip address 10.10.4.1 255.255.255.252</w:t>
              <w:br/>
              <w:t xml:space="preserve"> ip ospf network point-to-point</w:t>
              <w:br/>
              <w:t xml:space="preserve"> ip ospf cost 1</w:t>
              <w:br/>
              <w:t xml:space="preserve"> no shutdown</w:t>
              <w:br/>
              <w:t>!</w:t>
              <w:br/>
              <w:t>interface GigabitEthernet0/0</w:t>
              <w:br/>
              <w:t xml:space="preserve"> description SJT Academic Subnet (Floors 1-12)</w:t>
              <w:br/>
              <w:t xml:space="preserve"> ip address 10.10.0.1 255.255.192.0</w:t>
              <w:br/>
              <w:t xml:space="preserve"> no shutdown</w:t>
              <w:br/>
              <w:t>!</w:t>
              <w:br/>
              <w:t>router ospf 1</w:t>
              <w:br/>
              <w:t xml:space="preserve"> router-id 10.10.0.1</w:t>
              <w:br/>
              <w:t xml:space="preserve"> auto-cost reference-bandwidth 100000</w:t>
              <w:br/>
              <w:t xml:space="preserve"> passive-interface GigabitEthernet0/0</w:t>
              <w:br/>
              <w:t xml:space="preserve"> area 10 range 10.10.0.0 255.255.0.0</w:t>
              <w:br/>
              <w:t xml:space="preserve"> network 10.0.0.4 0.0.0.3 area 0</w:t>
              <w:br/>
              <w:t xml:space="preserve"> network 10.10.0.0 0.0.255.255 area 10</w:t>
              <w:br/>
              <w:t>!</w:t>
            </w:r>
          </w:p>
        </w:tc>
      </w:tr>
    </w:tbl>
    <w:p>
      <w:pPr>
        <w:spacing w:before="0" w:after="80"/>
      </w:pPr>
    </w:p>
    <w:p>
      <w:pPr>
        <w:keepNext/>
        <w:spacing w:before="240" w:after="60"/>
      </w:pPr>
      <w:r>
        <w:rPr>
          <w:rFonts w:ascii="Arial" w:hAnsi="Arial"/>
          <w:b/>
          <w:color w:val="006699"/>
          <w:sz w:val="24"/>
        </w:rPr>
        <w:t>4.3 Gandhi Block Admin Router (Admin-ABR - Area 30 Totally Stubby)</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ADMIN-ABR (TOTALLY STUBBY AREA 30)</w:t>
              <w:br/>
              <w:t>! =====================================================================</w:t>
              <w:br/>
              <w:t>hostname Admin-ABR</w:t>
              <w:br/>
              <w:t>!</w:t>
              <w:br/>
              <w:t>interface Loopback0</w:t>
              <w:br/>
              <w:t xml:space="preserve"> ip address 10.30.0.1 255.255.255.255</w:t>
              <w:br/>
              <w:t>!</w:t>
              <w:br/>
              <w:t>interface GigabitEthernet0/1</w:t>
              <w:br/>
              <w:t xml:space="preserve"> description 10G Optical Conduit to CTS-Core1 (Area 0)</w:t>
              <w:br/>
              <w:t xml:space="preserve"> ip address 10.0.0.22 255.255.255.252</w:t>
              <w:br/>
              <w:t xml:space="preserve"> ip ospf network point-to-point</w:t>
              <w:br/>
              <w:t xml:space="preserve"> ip ospf authentication message-digest</w:t>
              <w:br/>
              <w:t xml:space="preserve"> ip ospf message-digest-key 1 md5 V1t_C0r3_S3cur3</w:t>
              <w:br/>
              <w:t xml:space="preserve"> no shutdown</w:t>
              <w:br/>
              <w:t>!</w:t>
              <w:br/>
              <w:t>interface GigabitEthernet0/0</w:t>
              <w:br/>
              <w:t xml:space="preserve"> description Administrative, Registrar &amp; Finance Data Center Subnet</w:t>
              <w:br/>
              <w:t xml:space="preserve"> ip address 10.30.0.1 255.255.0.0</w:t>
              <w:br/>
              <w:t xml:space="preserve"> no shutdown</w:t>
              <w:br/>
              <w:t>!</w:t>
              <w:br/>
              <w:t>router ospf 1</w:t>
              <w:br/>
              <w:t xml:space="preserve"> router-id 10.30.0.1</w:t>
              <w:br/>
              <w:t xml:space="preserve"> auto-cost reference-bandwidth 100000</w:t>
              <w:br/>
              <w:t xml:space="preserve"> passive-interface GigabitEthernet0/0</w:t>
              <w:br/>
              <w:t xml:space="preserve"> area 30 stub no-summary</w:t>
              <w:br/>
              <w:t xml:space="preserve"> network 10.0.0.20 0.0.0.3 area 0</w:t>
              <w:br/>
              <w:t xml:space="preserve"> network 10.30.0.0 0.0.255.255 area 30</w:t>
              <w:br/>
              <w:t>!</w:t>
            </w:r>
          </w:p>
        </w:tc>
      </w:tr>
    </w:tbl>
    <w:p>
      <w:pPr>
        <w:spacing w:before="0" w:after="80"/>
      </w:pPr>
    </w:p>
    <w:p>
      <w:pPr>
        <w:keepNext/>
        <w:spacing w:before="240" w:after="60"/>
      </w:pPr>
      <w:r>
        <w:rPr>
          <w:rFonts w:ascii="Arial" w:hAnsi="Arial"/>
          <w:b/>
          <w:color w:val="006699"/>
          <w:sz w:val="24"/>
        </w:rPr>
        <w:t>4.4 Pearl Research Park Router (PRP-ABR - Area 40 NSSA)</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 =====================================================================</w:t>
              <w:br/>
              <w:t>! CISCO IOS CONFIGURATION: PRP-ABR (NOT-SO-STUBBY AREA 40)</w:t>
              <w:br/>
              <w:t>! =====================================================================</w:t>
              <w:br/>
              <w:t>hostname PRP-ABR</w:t>
              <w:br/>
              <w:t>!</w:t>
              <w:br/>
              <w:t>interface Loopback0</w:t>
              <w:br/>
              <w:t xml:space="preserve"> ip address 10.40.0.1 255.255.255.255</w:t>
              <w:br/>
              <w:t>!</w:t>
              <w:br/>
              <w:t>interface GigabitEthernet0/1</w:t>
              <w:br/>
              <w:t xml:space="preserve"> description 100G Optical Conduit to CTS-Core1 (Area 0)</w:t>
              <w:br/>
              <w:t xml:space="preserve"> ip address 10.0.0.26 255.255.255.252</w:t>
              <w:br/>
              <w:t xml:space="preserve"> ip ospf network point-to-point</w:t>
              <w:br/>
              <w:t xml:space="preserve"> no shutdown</w:t>
              <w:br/>
              <w:t>!</w:t>
              <w:br/>
              <w:t>interface GigabitEthernet0/0</w:t>
              <w:br/>
              <w:t xml:space="preserve"> description Research Park Supercomputing Labs Subnet</w:t>
              <w:br/>
              <w:t xml:space="preserve"> ip address 10.40.0.1 255.255.0.0</w:t>
              <w:br/>
              <w:t xml:space="preserve"> no shutdown</w:t>
              <w:br/>
              <w:t>!</w:t>
              <w:br/>
              <w:t>router ospf 1</w:t>
              <w:br/>
              <w:t xml:space="preserve"> router-id 10.40.0.1</w:t>
              <w:br/>
              <w:t xml:space="preserve"> auto-cost reference-bandwidth 100000</w:t>
              <w:br/>
              <w:t xml:space="preserve"> area 40 nssa</w:t>
              <w:br/>
              <w:t xml:space="preserve"> area 40 range 10.40.0.0 255.255.0.0</w:t>
              <w:br/>
              <w:t xml:space="preserve"> network 10.0.0.24 0.0.0.3 area 0</w:t>
              <w:br/>
              <w:t xml:space="preserve"> network 10.40.0.0 0.0.255.255 area 40</w:t>
              <w:br/>
              <w:t>!</w:t>
            </w:r>
          </w:p>
        </w:tc>
      </w:tr>
    </w:tbl>
    <w:p>
      <w:pPr>
        <w:spacing w:before="0" w:after="80"/>
      </w:pP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VIT Vellore Enterprise OSPF Routing Platform (campus-spine.vercel.app)</w:t>
        <w:br/>
        <w:t>Deployment Location: Production Web Mirror (https://campus-spine.vercel.app/) &amp; Local Engine (index.html / app.js)</w:t>
      </w:r>
    </w:p>
    <w:p>
      <w:pPr>
        <w:spacing w:before="120" w:after="40"/>
        <w:jc w:val="center"/>
      </w:pPr>
    </w:p>
    <w:p>
      <w:pPr>
        <w:jc w:val="center"/>
      </w:pPr>
      <w:r>
        <w:drawing>
          <wp:inline xmlns:a="http://schemas.openxmlformats.org/drawingml/2006/main" xmlns:pic="http://schemas.openxmlformats.org/drawingml/2006/picture">
            <wp:extent cx="5852160" cy="2969898"/>
            <wp:docPr id="4" name="Picture 4"/>
            <wp:cNvGraphicFramePr>
              <a:graphicFrameLocks noChangeAspect="1"/>
            </wp:cNvGraphicFramePr>
            <a:graphic>
              <a:graphicData uri="http://schemas.openxmlformats.org/drawingml/2006/picture">
                <pic:pic>
                  <pic:nvPicPr>
                    <pic:cNvPr id="0" name="software_view1_interactive_map.png"/>
                    <pic:cNvPicPr/>
                  </pic:nvPicPr>
                  <pic:blipFill>
                    <a:blip r:embed="rId12"/>
                    <a:stretch>
                      <a:fillRect/>
                    </a:stretch>
                  </pic:blipFill>
                  <pic:spPr>
                    <a:xfrm>
                      <a:off x="0" y="0"/>
                      <a:ext cx="5852160" cy="2969898"/>
                    </a:xfrm>
                    <a:prstGeom prst="rect"/>
                  </pic:spPr>
                </pic:pic>
              </a:graphicData>
            </a:graphic>
          </wp:inline>
        </w:drawing>
      </w:r>
    </w:p>
    <w:p>
      <w:pPr>
        <w:spacing w:after="200"/>
        <w:jc w:val="center"/>
      </w:pPr>
      <w:r>
        <w:rPr>
          <w:rFonts w:ascii="Calibri" w:hAnsi="Calibri"/>
          <w:i/>
          <w:color w:val="475569"/>
          <w:sz w:val="19"/>
        </w:rPr>
        <w:t>Figure A1: VIT Vellore Campus Network Simulation Software (Live 3D Campus Map View) — Interactive 372-Acre Topology Visualizer, Clickable Building Hotspot Pins, Selected Node Inspector (Gandhi Block Admin-ABR / Area 30), Dynamic Routing Table (FIB), and Live Network Controls.</w:t>
      </w:r>
    </w:p>
    <w:p>
      <w:pPr>
        <w:keepNext/>
        <w:spacing w:before="240" w:after="60"/>
      </w:pPr>
      <w:r>
        <w:rPr>
          <w:rFonts w:ascii="Arial" w:hAnsi="Arial"/>
          <w:b/>
          <w:color w:val="006699"/>
          <w:sz w:val="24"/>
        </w:rPr>
        <w:t>Software Architecture &amp; Module Mapping (index.html Structure):</w:t>
      </w:r>
    </w:p>
    <w:p>
      <w:pPr>
        <w:spacing w:after="80" w:line="276" w:lineRule="auto"/>
      </w:pPr>
      <w:r>
        <w:rPr>
          <w:rFonts w:ascii="Calibri" w:hAnsi="Calibri"/>
          <w:color w:val="222222"/>
          <w:sz w:val="21"/>
        </w:rPr>
        <w:t>The simulation platform implements an enterprise multi-area OSPF routing environment structured into distinct modular components accessible via top-level navigation tabs in index.html:</w:t>
      </w:r>
    </w:p>
    <w:p>
      <w:pPr>
        <w:pStyle w:val="ListBullet"/>
        <w:spacing w:after="60" w:line="276" w:lineRule="auto"/>
      </w:pPr>
      <w:r>
        <w:rPr>
          <w:rFonts w:ascii="Calibri" w:hAnsi="Calibri"/>
          <w:b/>
          <w:color w:val="0F172A"/>
          <w:sz w:val="21"/>
        </w:rPr>
        <w:t xml:space="preserve">1. Live 3D Campus Map &amp; Node Inspector: </w:t>
      </w:r>
      <w:r>
        <w:rPr>
          <w:rFonts w:ascii="Calibri" w:hAnsi="Calibri"/>
          <w:color w:val="222222"/>
          <w:sz w:val="21"/>
        </w:rPr>
        <w:t>Navigation Tab 1 (data-tab='interactive-map', view container #view-interactive-map). Contains the 372-acre interactive campus visualization (#visual-viewport) with clickable hotspot pins for all 7 primary routing nodes (SJT Tower, Tech Tower, Gandhi Admin, Men's Hostels, Women's Hostels, Pearl Research, and CTS Core DC). Clicking any building dynamically populates the Selected Node Inspector (#inspector-content) in the right sidebar with its Router ID, Subnet CIDR, Area Type, active interfaces, and synthesized default routes. The right panel also renders the Active Routing Table FIB (#inspector-routes-tbody) computed via Dijkstra SPF. The left sidebar hosts Live Network Controls (.switches-list) allowing on-demand simulated optical trunk link cuts (links l1, l2, l3, l8), a real-time flow oscilloscope, and an end-to-end Test Packet Dispatcher (#btn-run-packet).</w:t>
      </w:r>
    </w:p>
    <w:p>
      <w:pPr>
        <w:pStyle w:val="ListBullet"/>
        <w:spacing w:after="60" w:line="276" w:lineRule="auto"/>
      </w:pPr>
      <w:r>
        <w:rPr>
          <w:rFonts w:ascii="Calibri" w:hAnsi="Calibri"/>
          <w:b/>
          <w:color w:val="0F172A"/>
          <w:sz w:val="21"/>
        </w:rPr>
        <w:t xml:space="preserve">2. Area Architecture Hierarchy View: </w:t>
      </w:r>
      <w:r>
        <w:rPr>
          <w:rFonts w:ascii="Calibri" w:hAnsi="Calibri"/>
          <w:color w:val="222222"/>
          <w:sz w:val="21"/>
        </w:rPr>
        <w:t>Navigation Tab 2 (data-tab='architecture-summary', view container #view-architecture-summary). Presents structured architectural breakdown cards detailing the multi-area hierarchy: Area 0 Backbone (CTS DC Core), Area 10 Academic Core (SJT &amp; Tech Tower), Area 20 Residential Hostels (35+ Men's &amp; Women's blocks), Area 30 Central Admin (Gandhi Block Totally Stubby Area), and Area 40 Research (Pearl Research Park NSSA). It also features an Algorithmic Performance Analysis card highlighting Dijkstra mathematical complexity savings.</w:t>
      </w:r>
    </w:p>
    <w:p>
      <w:pPr>
        <w:pStyle w:val="ListBullet"/>
        <w:spacing w:after="60" w:line="276" w:lineRule="auto"/>
      </w:pPr>
      <w:r>
        <w:rPr>
          <w:rFonts w:ascii="Calibri" w:hAnsi="Calibri"/>
          <w:b/>
          <w:color w:val="0F172A"/>
          <w:sz w:val="21"/>
        </w:rPr>
        <w:t xml:space="preserve">3. Addressing &amp; VLSM Route Aggregation Plan: </w:t>
      </w:r>
      <w:r>
        <w:rPr>
          <w:rFonts w:ascii="Calibri" w:hAnsi="Calibri"/>
          <w:color w:val="222222"/>
          <w:sz w:val="21"/>
        </w:rPr>
        <w:t>Navigation Tab 3 (data-tab='addressing-vlsm', view container #view-addressing-vlsm). Provides the comprehensive Class A Private 10.0.0.0/8 VLSM addressing and route aggregation table, detailing exact subnet prefixes, subnet masks, usable host capacities, and ABR summary routes advertised into the core.</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Multi-Area LSA Flooding Containment: </w:t>
      </w:r>
      <w:r>
        <w:rPr>
          <w:rFonts w:ascii="Calibri" w:hAnsi="Calibri"/>
          <w:color w:val="222222"/>
          <w:sz w:val="21"/>
        </w:rPr>
        <w:t>The software's Dijkstra SPF engine validated strict failure domain isolation between Area 0, Area 10, Area 20, Area 30, and Area 40. High-frequency access port flaps inside residential hostels (Area 20) generate Type-1 LSAs that are strictly contained within Area 20, producing zero SPF churn in the academic or administrative core.</w:t>
      </w:r>
    </w:p>
    <w:p>
      <w:pPr>
        <w:pStyle w:val="ListBullet"/>
        <w:spacing w:after="60" w:line="276" w:lineRule="auto"/>
      </w:pPr>
      <w:r>
        <w:rPr>
          <w:rFonts w:ascii="Calibri" w:hAnsi="Calibri"/>
          <w:b/>
          <w:color w:val="0F172A"/>
          <w:sz w:val="21"/>
        </w:rPr>
        <w:t xml:space="preserve">2. ABR VLSM Route Aggregation: </w:t>
      </w:r>
      <w:r>
        <w:rPr>
          <w:rFonts w:ascii="Calibri" w:hAnsi="Calibri"/>
          <w:color w:val="222222"/>
          <w:sz w:val="21"/>
        </w:rPr>
        <w:t>Area Border Routers (SJT-ABR, MH-ABR) successfully summarize 248 building VLANs into 4 CIDR prefixes (10.10.0.0/16, 10.20.0.0/16, 10.30.0.0/16, 10.40.0.0/16), verified in both the live FIB table inspector and the VLSM addressing module.</w:t>
      </w:r>
    </w:p>
    <w:p>
      <w:pPr>
        <w:pStyle w:val="ListBullet"/>
        <w:spacing w:after="60" w:line="276" w:lineRule="auto"/>
      </w:pPr>
      <w:r>
        <w:rPr>
          <w:rFonts w:ascii="Calibri" w:hAnsi="Calibri"/>
          <w:b/>
          <w:color w:val="0F172A"/>
          <w:sz w:val="21"/>
        </w:rPr>
        <w:t xml:space="preserve">3. Totally Stubby Area Route Shielding: </w:t>
      </w:r>
      <w:r>
        <w:rPr>
          <w:rFonts w:ascii="Calibri" w:hAnsi="Calibri"/>
          <w:color w:val="222222"/>
          <w:sz w:val="21"/>
        </w:rPr>
        <w:t>Gandhi Block Admin-ABR verified complete Type-3/5 LSA suppression inside Area 30. Internal administrative hosts forward outbound campus and internet traffic exclusively through an injected default route (0.0.0.0/0 via 10.0.0.21), shielding sensitive examination and finance databases.</w:t>
      </w:r>
    </w:p>
    <w:p>
      <w:pPr>
        <w:pStyle w:val="ListBullet"/>
        <w:spacing w:after="60" w:line="276" w:lineRule="auto"/>
      </w:pPr>
      <w:r>
        <w:rPr>
          <w:rFonts w:ascii="Calibri" w:hAnsi="Calibri"/>
          <w:b/>
          <w:color w:val="0F172A"/>
          <w:sz w:val="21"/>
        </w:rPr>
        <w:t xml:space="preserve">4. Redundant Link Failover &amp; Dynamic SPF: </w:t>
      </w:r>
      <w:r>
        <w:rPr>
          <w:rFonts w:ascii="Calibri" w:hAnsi="Calibri"/>
          <w:color w:val="222222"/>
          <w:sz w:val="21"/>
        </w:rPr>
        <w:t>Toggling the link l1 switch in the software's Live Network Controls panel simulates physical fiber severance between CTS-Core1 and SJT-ABR, causing the Dijkstra engine to instantaneously reroute flows through Tech Tower (TT-ABR) across secondary backup links with zero packet loss.</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