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003366"/>
          <w:sz w:val="44"/>
        </w:rPr>
        <w:t>VELLORE INSTITUTE OF TECHNOLOGY</w:t>
      </w:r>
    </w:p>
    <w:p>
      <w:pPr>
        <w:spacing w:before="0" w:after="280"/>
        <w:jc w:val="center"/>
      </w:pPr>
      <w:r>
        <w:rPr>
          <w:rFonts w:ascii="Arial" w:hAnsi="Arial"/>
          <w:color w:val="64748B"/>
          <w:sz w:val="24"/>
        </w:rPr>
        <w:t>School of Information Technology and Engineering (SITE)</w:t>
        <w:br/>
        <w:t>Department of Computer Communication and Networks</w:t>
        <w:br/>
        <w:t>Academic Year: 2025–2026</w:t>
      </w:r>
    </w:p>
    <w:p>
      <w:pPr>
        <w:spacing w:before="400" w:after="120"/>
        <w:jc w:val="center"/>
      </w:pPr>
      <w:r>
        <w:rPr>
          <w:rFonts w:ascii="Arial" w:hAnsi="Arial"/>
          <w:b/>
          <w:color w:val="006699"/>
          <w:sz w:val="30"/>
        </w:rPr>
        <w:t>ARCHITECTURAL SPECIFICATION, MATHEMATICAL SPF MODELING, AND PRODUCTION MULTI-AREA OSPFv2 ROUTING IMPLEMENTATION FOR A 40,000-STUDENT ENTERPRISE CAMPUS</w:t>
      </w:r>
    </w:p>
    <w:p>
      <w:pPr>
        <w:spacing w:after="480"/>
        <w:jc w:val="center"/>
      </w:pPr>
      <w:r>
        <w:rPr>
          <w:rFonts w:ascii="Calibri" w:hAnsi="Calibri"/>
          <w:i/>
          <w:color w:val="475569"/>
          <w:sz w:val="22"/>
        </w:rPr>
        <w:t>Course Title: Computer Communication Networks (BCSE308L / BITE308L)</w:t>
        <w:br/>
        <w:t>Capstone Laboratory Technical Design &amp; Verification Report</w:t>
      </w:r>
    </w:p>
    <w:tbl>
      <w:tblPr>
        <w:tblW w:type="auto" w:w="0"/>
        <w:jc w:val="center"/>
        <w:tblLook w:firstColumn="1" w:firstRow="1" w:lastColumn="0" w:lastRow="0" w:noHBand="0" w:noVBand="1" w:val="04A0"/>
      </w:tblPr>
      <w:tblGrid>
        <w:gridCol w:w="3312"/>
        <w:gridCol w:w="3312"/>
        <w:gridCol w:w="3312"/>
      </w:tblGrid>
      <w:tr>
        <w:tc>
          <w:tcPr>
            <w:tcW w:type="dxa" w:w="3600"/>
            <w:shd w:fill="003366"/>
          </w:tcPr>
          <w:p>
            <w:pPr>
              <w:jc w:val="center"/>
            </w:pPr>
            <w:r>
              <w:rPr>
                <w:rFonts w:ascii="Arial" w:hAnsi="Arial"/>
                <w:b/>
                <w:color w:val="FFFFFF"/>
                <w:sz w:val="18"/>
              </w:rPr>
              <w:t>Student Candidate Name</w:t>
            </w:r>
          </w:p>
        </w:tc>
        <w:tc>
          <w:tcPr>
            <w:tcW w:type="dxa" w:w="3168"/>
            <w:shd w:fill="003366"/>
          </w:tcPr>
          <w:p>
            <w:pPr>
              <w:jc w:val="center"/>
            </w:pPr>
            <w:r>
              <w:rPr>
                <w:rFonts w:ascii="Arial" w:hAnsi="Arial"/>
                <w:b/>
                <w:color w:val="FFFFFF"/>
                <w:sz w:val="18"/>
              </w:rPr>
              <w:t>University Registration Number</w:t>
            </w:r>
          </w:p>
        </w:tc>
        <w:tc>
          <w:tcPr>
            <w:tcW w:type="dxa" w:w="3600"/>
            <w:shd w:fill="003366"/>
          </w:tcPr>
          <w:p>
            <w:pPr>
              <w:jc w:val="center"/>
            </w:pPr>
            <w:r>
              <w:rPr>
                <w:rFonts w:ascii="Arial" w:hAnsi="Arial"/>
                <w:b/>
                <w:color w:val="FFFFFF"/>
                <w:sz w:val="18"/>
              </w:rPr>
              <w:t>Department &amp; Academic Program</w:t>
            </w:r>
          </w:p>
        </w:tc>
      </w:tr>
      <w:tr>
        <w:tc>
          <w:tcPr>
            <w:tcW w:type="dxa" w:w="3600"/>
            <w:shd w:fill="F8FAFC"/>
          </w:tcPr>
          <w:p>
            <w:r>
              <w:rPr>
                <w:rFonts w:ascii="Calibri" w:hAnsi="Calibri"/>
                <w:color w:val="222222"/>
                <w:sz w:val="17"/>
              </w:rPr>
              <w:t>Ansh Katiyar</w:t>
            </w:r>
          </w:p>
        </w:tc>
        <w:tc>
          <w:tcPr>
            <w:tcW w:type="dxa" w:w="3168"/>
            <w:shd w:fill="F8FAFC"/>
          </w:tcPr>
          <w:p>
            <w:r>
              <w:rPr>
                <w:rFonts w:ascii="Calibri" w:hAnsi="Calibri"/>
                <w:color w:val="222222"/>
                <w:sz w:val="17"/>
              </w:rPr>
              <w:t>25BIT0333</w:t>
            </w:r>
          </w:p>
        </w:tc>
        <w:tc>
          <w:tcPr>
            <w:tcW w:type="dxa" w:w="3600"/>
            <w:shd w:fill="F8FAFC"/>
          </w:tcPr>
          <w:p>
            <w:r>
              <w:rPr>
                <w:rFonts w:ascii="Calibri" w:hAnsi="Calibri"/>
                <w:color w:val="222222"/>
                <w:sz w:val="17"/>
              </w:rPr>
              <w:t>B.Tech Information Technology</w:t>
            </w:r>
          </w:p>
        </w:tc>
      </w:tr>
      <w:tr>
        <w:tc>
          <w:tcPr>
            <w:tcW w:type="dxa" w:w="3600"/>
            <w:shd w:fill="FFFFFF"/>
          </w:tcPr>
          <w:p>
            <w:r>
              <w:rPr>
                <w:rFonts w:ascii="Calibri" w:hAnsi="Calibri"/>
                <w:color w:val="222222"/>
                <w:sz w:val="17"/>
              </w:rPr>
              <w:t>Student Co-Author 1</w:t>
            </w:r>
          </w:p>
        </w:tc>
        <w:tc>
          <w:tcPr>
            <w:tcW w:type="dxa" w:w="3168"/>
            <w:shd w:fill="FFFFFF"/>
          </w:tcPr>
          <w:p>
            <w:r>
              <w:rPr>
                <w:rFonts w:ascii="Calibri" w:hAnsi="Calibri"/>
                <w:color w:val="222222"/>
                <w:sz w:val="17"/>
              </w:rPr>
              <w:t>25BIT0208</w:t>
            </w:r>
          </w:p>
        </w:tc>
        <w:tc>
          <w:tcPr>
            <w:tcW w:type="dxa" w:w="3600"/>
            <w:shd w:fill="FFFFFF"/>
          </w:tcPr>
          <w:p>
            <w:r>
              <w:rPr>
                <w:rFonts w:ascii="Calibri" w:hAnsi="Calibri"/>
                <w:color w:val="222222"/>
                <w:sz w:val="17"/>
              </w:rPr>
              <w:t>B.Tech Information Technology</w:t>
            </w:r>
          </w:p>
        </w:tc>
      </w:tr>
      <w:tr>
        <w:tc>
          <w:tcPr>
            <w:tcW w:type="dxa" w:w="3600"/>
            <w:shd w:fill="F8FAFC"/>
          </w:tcPr>
          <w:p>
            <w:r>
              <w:rPr>
                <w:rFonts w:ascii="Calibri" w:hAnsi="Calibri"/>
                <w:color w:val="222222"/>
                <w:sz w:val="17"/>
              </w:rPr>
              <w:t>Student Co-Author 2</w:t>
            </w:r>
          </w:p>
        </w:tc>
        <w:tc>
          <w:tcPr>
            <w:tcW w:type="dxa" w:w="3168"/>
            <w:shd w:fill="F8FAFC"/>
          </w:tcPr>
          <w:p>
            <w:r>
              <w:rPr>
                <w:rFonts w:ascii="Calibri" w:hAnsi="Calibri"/>
                <w:color w:val="222222"/>
                <w:sz w:val="17"/>
              </w:rPr>
              <w:t>25BIT0292</w:t>
            </w:r>
          </w:p>
        </w:tc>
        <w:tc>
          <w:tcPr>
            <w:tcW w:type="dxa" w:w="3600"/>
            <w:shd w:fill="F8FAFC"/>
          </w:tcPr>
          <w:p>
            <w:r>
              <w:rPr>
                <w:rFonts w:ascii="Calibri" w:hAnsi="Calibri"/>
                <w:color w:val="222222"/>
                <w:sz w:val="17"/>
              </w:rPr>
              <w:t>B.Tech Information Technology</w:t>
            </w:r>
          </w:p>
        </w:tc>
      </w:tr>
    </w:tbl>
    <w:p>
      <w:r>
        <w:br w:type="page"/>
      </w:r>
    </w:p>
    <w:p>
      <w:pPr>
        <w:keepNext/>
        <w:spacing w:before="360" w:after="120"/>
      </w:pPr>
      <w:r>
        <w:rPr>
          <w:rFonts w:ascii="Arial" w:hAnsi="Arial"/>
          <w:b/>
          <w:color w:val="003366"/>
          <w:sz w:val="30"/>
        </w:rPr>
        <w:t>1. EXECUTIVE SUMMARY &amp; PREDEFINED PROJECT OBJECTIVES</w:t>
      </w:r>
    </w:p>
    <w:p>
      <w:pPr>
        <w:spacing w:after="100" w:line="276" w:lineRule="auto"/>
      </w:pPr>
      <w:r>
        <w:rPr>
          <w:rFonts w:ascii="Calibri" w:hAnsi="Calibri"/>
          <w:color w:val="222222"/>
          <w:sz w:val="21"/>
        </w:rPr>
        <w:t>The Vellore Institute of Technology (VIT), Vellore campus is an internationally recognized higher-education institution encompassing an extensive contiguous land area of 372 acres. The campus infrastructure caters to a dense, heterogeneous population of over 40,000 enrolled undergraduate, postgraduate, and doctoral students, 3,500 full-time academic faculty members, 2,000 technical administrative staff, and an estimated concurrency of 75,000+ actively connected client endpoints (smartphones, engineering laptops, research IoT sensors, laboratory workstations, and biometric surveillance devices).</w:t>
      </w:r>
    </w:p>
    <w:p>
      <w:pPr>
        <w:spacing w:after="100" w:line="276" w:lineRule="auto"/>
      </w:pPr>
      <w:r>
        <w:rPr>
          <w:rFonts w:ascii="Calibri" w:hAnsi="Calibri"/>
          <w:color w:val="222222"/>
          <w:sz w:val="21"/>
        </w:rPr>
        <w:t>Modern campus operations depend decisively upon continuous, gigabit-speed, non-blocking Layer 3 network connectivity. Critical daily applications include high-definition video lecturing, multi-gigabit research file transfers, institutional cloud ERP portals (V-TOP), high-density wireless local area networks (Wi-Fi 6E/802.11ax), high-performance computing (HPC) testbeds, automated student attendance scanners, and campus-wide IP video surveillance. Under this operational load, network partitioning, packet loss, or routing convergence delay poses severe academic, logistical, and administrative risks.</w:t>
      </w:r>
    </w:p>
    <w:p>
      <w:pPr>
        <w:spacing w:after="100" w:line="276" w:lineRule="auto"/>
      </w:pPr>
      <w:r>
        <w:rPr>
          <w:rFonts w:ascii="Calibri" w:hAnsi="Calibri"/>
          <w:b/>
          <w:color w:val="0F172A"/>
          <w:sz w:val="21"/>
        </w:rPr>
        <w:t xml:space="preserve">Project Mandate: </w:t>
      </w:r>
      <w:r>
        <w:rPr>
          <w:rFonts w:ascii="Calibri" w:hAnsi="Calibri"/>
          <w:color w:val="222222"/>
          <w:sz w:val="21"/>
        </w:rPr>
        <w:t>Predefined Architectural Objectives:</w:t>
      </w:r>
    </w:p>
    <w:p>
      <w:pPr>
        <w:pStyle w:val="ListBullet"/>
        <w:spacing w:after="60" w:line="276" w:lineRule="auto"/>
      </w:pPr>
      <w:r>
        <w:rPr>
          <w:rFonts w:ascii="Calibri" w:hAnsi="Calibri"/>
          <w:b/>
          <w:color w:val="0F172A"/>
          <w:sz w:val="21"/>
        </w:rPr>
        <w:t>Objective 1 -</w:t>
      </w:r>
      <w:r>
        <w:rPr>
          <w:rFonts w:ascii="Calibri" w:hAnsi="Calibri"/>
          <w:color w:val="222222"/>
          <w:sz w:val="21"/>
        </w:rPr>
        <w:t xml:space="preserve"> Universal End-to-End Connectivity: Design and implement a scalable, deterministic Layer 3 routing fabric that unifies every academic tower, residential hostel block, administrative facility, and advanced research lab under an optimized Autonomous System.</w:t>
      </w:r>
    </w:p>
    <w:p>
      <w:pPr>
        <w:pStyle w:val="ListBullet"/>
        <w:spacing w:after="60" w:line="276" w:lineRule="auto"/>
      </w:pPr>
      <w:r>
        <w:rPr>
          <w:rFonts w:ascii="Calibri" w:hAnsi="Calibri"/>
          <w:b/>
          <w:color w:val="0F172A"/>
          <w:sz w:val="21"/>
        </w:rPr>
        <w:t>Objective 2 -</w:t>
      </w:r>
      <w:r>
        <w:rPr>
          <w:rFonts w:ascii="Calibri" w:hAnsi="Calibri"/>
          <w:color w:val="222222"/>
          <w:sz w:val="21"/>
        </w:rPr>
        <w:t xml:space="preserve"> Elimination of Single-Area Topological Churn: Resolve the systemic scalability bottlenecks of flat single-area link-state architectures by establishing a multi-area hierarchy anchored around a high-bandwidth optical core.</w:t>
      </w:r>
    </w:p>
    <w:p>
      <w:pPr>
        <w:pStyle w:val="ListBullet"/>
        <w:spacing w:after="60" w:line="276" w:lineRule="auto"/>
      </w:pPr>
      <w:r>
        <w:rPr>
          <w:rFonts w:ascii="Calibri" w:hAnsi="Calibri"/>
          <w:b/>
          <w:color w:val="0F172A"/>
          <w:sz w:val="21"/>
        </w:rPr>
        <w:t>Objective 3 -</w:t>
      </w:r>
      <w:r>
        <w:rPr>
          <w:rFonts w:ascii="Calibri" w:hAnsi="Calibri"/>
          <w:color w:val="222222"/>
          <w:sz w:val="21"/>
        </w:rPr>
        <w:t xml:space="preserve"> Fault Isolation and LSA Bounding: Guarantee that link flaps, access port state changes, or physical fiber cuts in high-churn student hostel blocks do not trigger campus-wide SPF recalculations or degrade core routing performance.</w:t>
      </w:r>
    </w:p>
    <w:p>
      <w:pPr>
        <w:pStyle w:val="ListBullet"/>
        <w:spacing w:after="60" w:line="276" w:lineRule="auto"/>
      </w:pPr>
      <w:r>
        <w:rPr>
          <w:rFonts w:ascii="Calibri" w:hAnsi="Calibri"/>
          <w:b/>
          <w:color w:val="0F172A"/>
          <w:sz w:val="21"/>
        </w:rPr>
        <w:t>Objective 4 -</w:t>
      </w:r>
      <w:r>
        <w:rPr>
          <w:rFonts w:ascii="Calibri" w:hAnsi="Calibri"/>
          <w:color w:val="222222"/>
          <w:sz w:val="21"/>
        </w:rPr>
        <w:t xml:space="preserve"> Sub-Second Autonomous Convergence: Deploy aggressive link-state protocol timers, bidirectional link sensing, and Equal-Cost Multi-Path (ECMP) routing to ensure automated route re-convergence within less than 3 milliseconds.</w:t>
      </w:r>
    </w:p>
    <w:p>
      <w:pPr>
        <w:pStyle w:val="ListBullet"/>
        <w:spacing w:after="60" w:line="276" w:lineRule="auto"/>
      </w:pPr>
      <w:r>
        <w:rPr>
          <w:rFonts w:ascii="Calibri" w:hAnsi="Calibri"/>
          <w:b/>
          <w:color w:val="0F172A"/>
          <w:sz w:val="21"/>
        </w:rPr>
        <w:t>Objective 5 -</w:t>
      </w:r>
      <w:r>
        <w:rPr>
          <w:rFonts w:ascii="Calibri" w:hAnsi="Calibri"/>
          <w:color w:val="222222"/>
          <w:sz w:val="21"/>
        </w:rPr>
        <w:t xml:space="preserve"> Deterministic Boundary Security &amp; TCAM Conservation: Isolate administrative, financial, and confidential university servers via Totally Stubby Area (TSA) route shielding, blocking external LSAs and condensing routing tables into a single default route.</w:t>
      </w:r>
    </w:p>
    <w:p>
      <w:pPr>
        <w:pStyle w:val="ListBullet"/>
        <w:spacing w:after="60" w:line="276" w:lineRule="auto"/>
      </w:pPr>
      <w:r>
        <w:rPr>
          <w:rFonts w:ascii="Calibri" w:hAnsi="Calibri"/>
          <w:b/>
          <w:color w:val="0F172A"/>
          <w:sz w:val="21"/>
        </w:rPr>
        <w:t>Objective 6 -</w:t>
      </w:r>
      <w:r>
        <w:rPr>
          <w:rFonts w:ascii="Calibri" w:hAnsi="Calibri"/>
          <w:color w:val="222222"/>
          <w:sz w:val="21"/>
        </w:rPr>
        <w:t xml:space="preserve"> RFC 2328 Standard Compliance Validation: Implement an automated programmatic test harness executing rigorous verification of adjacency formation, database synchronization, summarization, stub isolation, and dynamic failover.</w:t>
      </w:r>
    </w:p>
    <w:p>
      <w:pPr>
        <w:spacing w:before="120" w:after="160" w:line="264" w:lineRule="auto"/>
        <w:shd w:fill="F0F9FF"/>
      </w:pPr>
      <w:r>
        <w:rPr>
          <w:rFonts w:ascii="Arial" w:hAnsi="Arial"/>
          <w:b/>
          <w:color w:val="0284C7"/>
          <w:sz w:val="19"/>
        </w:rPr>
        <w:t>[FUNDAMENTAL ARCHITECTURAL PRINCIPLE]</w:t>
        <w:br/>
      </w:r>
      <w:r>
        <w:rPr>
          <w:rFonts w:ascii="Calibri" w:hAnsi="Calibri"/>
          <w:i/>
          <w:color w:val="0F172A"/>
          <w:sz w:val="20"/>
        </w:rPr>
        <w:t>RFC 2328 mandates that Open Shortest Path First (OSPFv2) creates an identical topological map across all routers within an area. In a massive enterprise like VIT Vellore (40,000 students), failing to partition the network into hierarchical areas inevitably causes CPU thrashing, memory exhaustion, and catastrophic route flaps.</w:t>
      </w:r>
    </w:p>
    <w:p>
      <w:pPr>
        <w:keepNext/>
        <w:spacing w:before="360" w:after="120"/>
      </w:pPr>
      <w:r>
        <w:rPr>
          <w:rFonts w:ascii="Arial" w:hAnsi="Arial"/>
          <w:b/>
          <w:color w:val="003366"/>
          <w:sz w:val="30"/>
        </w:rPr>
        <w:t>2. PROBLEM FORMULATION &amp; FAILURE ANALYSIS OF FLAT (SINGLE-AREA) TOPOLOGIES</w:t>
      </w:r>
    </w:p>
    <w:p>
      <w:pPr>
        <w:spacing w:after="100" w:line="276" w:lineRule="auto"/>
      </w:pPr>
      <w:r>
        <w:rPr>
          <w:rFonts w:ascii="Calibri" w:hAnsi="Calibri"/>
          <w:color w:val="222222"/>
          <w:sz w:val="21"/>
        </w:rPr>
        <w:t>To appreciate the engineering necessity of a hierarchical multi-area OSPF deployment, it is vital to mathematically analyze the failure mechanisms observed when large campus networks attempt to run a single flat OSPF area (Area 0 only) or legacy distance-vector protocols (RIPv2).</w:t>
      </w:r>
    </w:p>
    <w:p>
      <w:pPr>
        <w:keepNext/>
        <w:spacing w:before="280" w:after="80"/>
      </w:pPr>
      <w:r>
        <w:rPr>
          <w:rFonts w:ascii="Arial" w:hAnsi="Arial"/>
          <w:b/>
          <w:color w:val="006699"/>
          <w:sz w:val="25"/>
        </w:rPr>
        <w:t>2.1 Computational SPF CPU Thrashing Under Flat Topologies</w:t>
      </w:r>
    </w:p>
    <w:p>
      <w:pPr>
        <w:spacing w:after="100" w:line="276" w:lineRule="auto"/>
      </w:pPr>
      <w:r>
        <w:rPr>
          <w:rFonts w:ascii="Calibri" w:hAnsi="Calibri"/>
          <w:color w:val="222222"/>
          <w:sz w:val="21"/>
        </w:rPr>
        <w:t>In OSPF, every router executes Dijkstra's Shortest Path First (SPF) algorithm to calculate its local routing table. When utilizing a priority-queue min-heap implementation, Dijkstra's algorithmic time complexity is formally expressed as:</w:t>
      </w:r>
    </w:p>
    <w:p>
      <w:pPr>
        <w:spacing w:after="100" w:line="276" w:lineRule="auto"/>
      </w:pPr>
      <w:r>
        <w:rPr>
          <w:rFonts w:ascii="Calibri" w:hAnsi="Calibri"/>
          <w:b/>
          <w:color w:val="0F172A"/>
          <w:sz w:val="21"/>
        </w:rPr>
        <w:t xml:space="preserve">Mathematical Formulation: </w:t>
      </w:r>
      <w:r>
        <w:rPr>
          <w:rFonts w:ascii="Calibri" w:hAnsi="Calibri"/>
          <w:color w:val="222222"/>
          <w:sz w:val="21"/>
        </w:rPr>
        <w:t>T(V, E) = O(|E| + |V| log |V|)</w:t>
      </w:r>
    </w:p>
    <w:p>
      <w:pPr>
        <w:spacing w:after="100" w:line="276" w:lineRule="auto"/>
      </w:pPr>
      <w:r>
        <w:rPr>
          <w:rFonts w:ascii="Calibri" w:hAnsi="Calibri"/>
          <w:color w:val="222222"/>
          <w:sz w:val="21"/>
        </w:rPr>
        <w:t>Where |V| denotes the total number of vertices (routers and transit networks in the Link-State Database), and |E| denotes the total number of directional edges (operational physical links and neighbor adjacencies).</w:t>
      </w:r>
    </w:p>
    <w:p>
      <w:pPr>
        <w:spacing w:after="100" w:line="276" w:lineRule="auto"/>
      </w:pPr>
      <w:r>
        <w:rPr>
          <w:rFonts w:ascii="Calibri" w:hAnsi="Calibri"/>
          <w:color w:val="222222"/>
          <w:sz w:val="21"/>
        </w:rPr>
        <w:t>In a flat single-area campus design encompassing 100 aggregation/access routers and 350 redundant optical conduits, every router's LSDB contains the complete un-abstracted topological graph of the entire university. When an unstable access switch in Men's Hostel Block T experiences an intermittent link flap, the attached aggregation router originates an updated Type-1 Router LSA with an incremented sequence number. By RFC 2328 flooding rules, this LSA must be propagated across all 100 routers in the autonomous system, forcing every single supervisor engine across the campus—including core data center routers—to flush its Shortest Path Tree and re-execute Dijkstra's algorithm from scratch.</w:t>
      </w:r>
    </w:p>
    <w:p>
      <w:pPr>
        <w:keepNext/>
        <w:spacing w:before="280" w:after="80"/>
      </w:pPr>
      <w:r>
        <w:rPr>
          <w:rFonts w:ascii="Arial" w:hAnsi="Arial"/>
          <w:b/>
          <w:color w:val="006699"/>
          <w:sz w:val="25"/>
        </w:rPr>
        <w:t>2.2 TCAM and FIB Memory Exhaustion</w:t>
      </w:r>
    </w:p>
    <w:p>
      <w:pPr>
        <w:spacing w:after="100" w:line="276" w:lineRule="auto"/>
      </w:pPr>
      <w:r>
        <w:rPr>
          <w:rFonts w:ascii="Calibri" w:hAnsi="Calibri"/>
          <w:color w:val="222222"/>
          <w:sz w:val="21"/>
        </w:rPr>
        <w:t>Enterprise switches utilize Ternary Content-Addressable Memory (TCAM) to perform single-clock-cycle Layer 3 IP lookups in hardware. TCAM space is fixed, scarce, and expensive. In a flat design without route summarization, every individual /24, /26, and /28 subnet across 35+ hostel blocks, 4 academic towers, and hundreds of laboratory VLANs must be programmed directly into the Forwarding Information Base (FIB). If the routing table swells beyond 500+ un-summarized prefixes, TCAM overflow occurs. The switch is then forced to punt packet lookups to the software CPU, driving CPU utilization to 100% and introducing catastrophic packet drops and latency spikes across the campus backbone.</w:t>
      </w:r>
    </w:p>
    <w:p>
      <w:pPr>
        <w:keepNext/>
        <w:spacing w:before="280" w:after="80"/>
      </w:pPr>
      <w:r>
        <w:rPr>
          <w:rFonts w:ascii="Arial" w:hAnsi="Arial"/>
          <w:b/>
          <w:color w:val="006699"/>
          <w:sz w:val="25"/>
        </w:rPr>
        <w:t>2.3 Link Flapping Storms and Multicast Flooding Overhead</w:t>
      </w:r>
    </w:p>
    <w:p>
      <w:pPr>
        <w:spacing w:after="100" w:line="276" w:lineRule="auto"/>
      </w:pPr>
      <w:r>
        <w:rPr>
          <w:rFonts w:ascii="Calibri" w:hAnsi="Calibri"/>
          <w:color w:val="222222"/>
          <w:sz w:val="21"/>
        </w:rPr>
        <w:t>Student residential networks represent high-churn environments characterized by rogue access points, student laptop connects/disconnects, Wi-Fi 6 roaming transitions, and power-cycling dormitory switches. In a single flat area, each flap generates Link-State Update (LSU) and Link-State Acknowledgment (LSAck) multicast frames directed to 224.0.0.5 (AllSPFRouters) and 224.0.0.6 (AllDRouters). The cumulative control-plane traffic exhausts link bandwidth and starves time-sensitive academic voice and video traffic.</w:t>
      </w:r>
    </w:p>
    <w:tbl>
      <w:tblPr>
        <w:tblW w:type="auto" w:w="0"/>
        <w:jc w:val="center"/>
        <w:tblLook w:firstColumn="1" w:firstRow="1" w:lastColumn="0" w:lastRow="0" w:noHBand="0" w:noVBand="1" w:val="04A0"/>
      </w:tblPr>
      <w:tblGrid>
        <w:gridCol w:w="2484"/>
        <w:gridCol w:w="2484"/>
        <w:gridCol w:w="2484"/>
        <w:gridCol w:w="2484"/>
      </w:tblGrid>
      <w:tr>
        <w:tc>
          <w:tcPr>
            <w:tcW w:type="dxa" w:w="2592"/>
            <w:shd w:fill="003366"/>
          </w:tcPr>
          <w:p>
            <w:pPr>
              <w:jc w:val="center"/>
            </w:pPr>
            <w:r>
              <w:rPr>
                <w:rFonts w:ascii="Arial" w:hAnsi="Arial"/>
                <w:b/>
                <w:color w:val="FFFFFF"/>
                <w:sz w:val="18"/>
              </w:rPr>
              <w:t>Failure Metric / Scenario</w:t>
            </w:r>
          </w:p>
        </w:tc>
        <w:tc>
          <w:tcPr>
            <w:tcW w:type="dxa" w:w="2592"/>
            <w:shd w:fill="003366"/>
          </w:tcPr>
          <w:p>
            <w:pPr>
              <w:jc w:val="center"/>
            </w:pPr>
            <w:r>
              <w:rPr>
                <w:rFonts w:ascii="Arial" w:hAnsi="Arial"/>
                <w:b/>
                <w:color w:val="FFFFFF"/>
                <w:sz w:val="18"/>
              </w:rPr>
              <w:t>Flat Single-Area OSPF</w:t>
            </w:r>
          </w:p>
        </w:tc>
        <w:tc>
          <w:tcPr>
            <w:tcW w:type="dxa" w:w="2592"/>
            <w:shd w:fill="003366"/>
          </w:tcPr>
          <w:p>
            <w:pPr>
              <w:jc w:val="center"/>
            </w:pPr>
            <w:r>
              <w:rPr>
                <w:rFonts w:ascii="Arial" w:hAnsi="Arial"/>
                <w:b/>
                <w:color w:val="FFFFFF"/>
                <w:sz w:val="18"/>
              </w:rPr>
              <w:t>Distance-Vector (RIPv2)</w:t>
            </w:r>
          </w:p>
        </w:tc>
        <w:tc>
          <w:tcPr>
            <w:tcW w:type="dxa" w:w="2880"/>
            <w:shd w:fill="003366"/>
          </w:tcPr>
          <w:p>
            <w:pPr>
              <w:jc w:val="center"/>
            </w:pPr>
            <w:r>
              <w:rPr>
                <w:rFonts w:ascii="Arial" w:hAnsi="Arial"/>
                <w:b/>
                <w:color w:val="FFFFFF"/>
                <w:sz w:val="18"/>
              </w:rPr>
              <w:t>Hierarchical Multi-Area OSPF (Implemented)</w:t>
            </w:r>
          </w:p>
        </w:tc>
      </w:tr>
      <w:tr>
        <w:tc>
          <w:tcPr>
            <w:tcW w:type="dxa" w:w="2592"/>
            <w:shd w:fill="F8FAFC"/>
          </w:tcPr>
          <w:p>
            <w:r>
              <w:rPr>
                <w:rFonts w:ascii="Calibri" w:hAnsi="Calibri"/>
                <w:color w:val="222222"/>
                <w:sz w:val="17"/>
              </w:rPr>
              <w:t>SPF Recalculation Scope upon Link Flap</w:t>
            </w:r>
          </w:p>
        </w:tc>
        <w:tc>
          <w:tcPr>
            <w:tcW w:type="dxa" w:w="2592"/>
            <w:shd w:fill="F8FAFC"/>
          </w:tcPr>
          <w:p>
            <w:r>
              <w:rPr>
                <w:rFonts w:ascii="Calibri" w:hAnsi="Calibri"/>
                <w:color w:val="222222"/>
                <w:sz w:val="17"/>
              </w:rPr>
              <w:t>Global (All 100+ Campus Routers)</w:t>
            </w:r>
          </w:p>
        </w:tc>
        <w:tc>
          <w:tcPr>
            <w:tcW w:type="dxa" w:w="2592"/>
            <w:shd w:fill="F8FAFC"/>
          </w:tcPr>
          <w:p>
            <w:r>
              <w:rPr>
                <w:rFonts w:ascii="Calibri" w:hAnsi="Calibri"/>
                <w:color w:val="222222"/>
                <w:sz w:val="17"/>
              </w:rPr>
              <w:t>Periodic Timer Churn (30s delay)</w:t>
            </w:r>
          </w:p>
        </w:tc>
        <w:tc>
          <w:tcPr>
            <w:tcW w:type="dxa" w:w="2880"/>
            <w:shd w:fill="F8FAFC"/>
          </w:tcPr>
          <w:p>
            <w:r>
              <w:rPr>
                <w:rFonts w:ascii="Calibri" w:hAnsi="Calibri"/>
                <w:color w:val="222222"/>
                <w:sz w:val="17"/>
              </w:rPr>
              <w:t>Strictly Localized (Contained within originating area)</w:t>
            </w:r>
          </w:p>
        </w:tc>
      </w:tr>
      <w:tr>
        <w:tc>
          <w:tcPr>
            <w:tcW w:type="dxa" w:w="2592"/>
            <w:shd w:fill="FFFFFF"/>
          </w:tcPr>
          <w:p>
            <w:r>
              <w:rPr>
                <w:rFonts w:ascii="Calibri" w:hAnsi="Calibri"/>
                <w:color w:val="222222"/>
                <w:sz w:val="17"/>
              </w:rPr>
              <w:t>Core Routing Table Size (FIB TCAM)</w:t>
            </w:r>
          </w:p>
        </w:tc>
        <w:tc>
          <w:tcPr>
            <w:tcW w:type="dxa" w:w="2592"/>
            <w:shd w:fill="FFFFFF"/>
          </w:tcPr>
          <w:p>
            <w:r>
              <w:rPr>
                <w:rFonts w:ascii="Calibri" w:hAnsi="Calibri"/>
                <w:color w:val="222222"/>
                <w:sz w:val="17"/>
              </w:rPr>
              <w:t>500+ Un-summarized Subnets</w:t>
            </w:r>
          </w:p>
        </w:tc>
        <w:tc>
          <w:tcPr>
            <w:tcW w:type="dxa" w:w="2592"/>
            <w:shd w:fill="FFFFFF"/>
          </w:tcPr>
          <w:p>
            <w:r>
              <w:rPr>
                <w:rFonts w:ascii="Calibri" w:hAnsi="Calibri"/>
                <w:color w:val="222222"/>
                <w:sz w:val="17"/>
              </w:rPr>
              <w:t>Unbounded Flat Table</w:t>
            </w:r>
          </w:p>
        </w:tc>
        <w:tc>
          <w:tcPr>
            <w:tcW w:type="dxa" w:w="2880"/>
            <w:shd w:fill="FFFFFF"/>
          </w:tcPr>
          <w:p>
            <w:r>
              <w:rPr>
                <w:rFonts w:ascii="Calibri" w:hAnsi="Calibri"/>
                <w:color w:val="222222"/>
                <w:sz w:val="17"/>
              </w:rPr>
              <w:t>Condensed to 4 Summary CIDR Routes (&lt;25 entries)</w:t>
            </w:r>
          </w:p>
        </w:tc>
      </w:tr>
      <w:tr>
        <w:tc>
          <w:tcPr>
            <w:tcW w:type="dxa" w:w="2592"/>
            <w:shd w:fill="F8FAFC"/>
          </w:tcPr>
          <w:p>
            <w:r>
              <w:rPr>
                <w:rFonts w:ascii="Calibri" w:hAnsi="Calibri"/>
                <w:color w:val="222222"/>
                <w:sz w:val="17"/>
              </w:rPr>
              <w:t>Convergence Time after Fiber Cut</w:t>
            </w:r>
          </w:p>
        </w:tc>
        <w:tc>
          <w:tcPr>
            <w:tcW w:type="dxa" w:w="2592"/>
            <w:shd w:fill="F8FAFC"/>
          </w:tcPr>
          <w:p>
            <w:r>
              <w:rPr>
                <w:rFonts w:ascii="Calibri" w:hAnsi="Calibri"/>
                <w:color w:val="222222"/>
                <w:sz w:val="17"/>
              </w:rPr>
              <w:t>3,000 ms – 15,000 ms (High CPU load)</w:t>
            </w:r>
          </w:p>
        </w:tc>
        <w:tc>
          <w:tcPr>
            <w:tcW w:type="dxa" w:w="2592"/>
            <w:shd w:fill="F8FAFC"/>
          </w:tcPr>
          <w:p>
            <w:r>
              <w:rPr>
                <w:rFonts w:ascii="Calibri" w:hAnsi="Calibri"/>
                <w:color w:val="222222"/>
                <w:sz w:val="17"/>
              </w:rPr>
              <w:t>180,000 ms – 240,000 ms (Count-to-Infinity)</w:t>
            </w:r>
          </w:p>
        </w:tc>
        <w:tc>
          <w:tcPr>
            <w:tcW w:type="dxa" w:w="2880"/>
            <w:shd w:fill="F8FAFC"/>
          </w:tcPr>
          <w:p>
            <w:r>
              <w:rPr>
                <w:rFonts w:ascii="Calibri" w:hAnsi="Calibri"/>
                <w:color w:val="222222"/>
                <w:sz w:val="17"/>
              </w:rPr>
              <w:t>Sub-Second (&lt;3 ms via ECMP pre-computation)</w:t>
            </w:r>
          </w:p>
        </w:tc>
      </w:tr>
      <w:tr>
        <w:tc>
          <w:tcPr>
            <w:tcW w:type="dxa" w:w="2592"/>
            <w:shd w:fill="FFFFFF"/>
          </w:tcPr>
          <w:p>
            <w:r>
              <w:rPr>
                <w:rFonts w:ascii="Calibri" w:hAnsi="Calibri"/>
                <w:color w:val="222222"/>
                <w:sz w:val="17"/>
              </w:rPr>
              <w:t>Administrative Security Isolation</w:t>
            </w:r>
          </w:p>
        </w:tc>
        <w:tc>
          <w:tcPr>
            <w:tcW w:type="dxa" w:w="2592"/>
            <w:shd w:fill="FFFFFF"/>
          </w:tcPr>
          <w:p>
            <w:r>
              <w:rPr>
                <w:rFonts w:ascii="Calibri" w:hAnsi="Calibri"/>
                <w:color w:val="222222"/>
                <w:sz w:val="17"/>
              </w:rPr>
              <w:t>None; all subnets visible to student hosts</w:t>
            </w:r>
          </w:p>
        </w:tc>
        <w:tc>
          <w:tcPr>
            <w:tcW w:type="dxa" w:w="2592"/>
            <w:shd w:fill="FFFFFF"/>
          </w:tcPr>
          <w:p>
            <w:r>
              <w:rPr>
                <w:rFonts w:ascii="Calibri" w:hAnsi="Calibri"/>
                <w:color w:val="222222"/>
                <w:sz w:val="17"/>
              </w:rPr>
              <w:t>Hop-count metric; insecure</w:t>
            </w:r>
          </w:p>
        </w:tc>
        <w:tc>
          <w:tcPr>
            <w:tcW w:type="dxa" w:w="2880"/>
            <w:shd w:fill="FFFFFF"/>
          </w:tcPr>
          <w:p>
            <w:r>
              <w:rPr>
                <w:rFonts w:ascii="Calibri" w:hAnsi="Calibri"/>
                <w:color w:val="222222"/>
                <w:sz w:val="17"/>
              </w:rPr>
              <w:t>Totally Stubby Area 30; blocks all external route snooping</w:t>
            </w:r>
          </w:p>
        </w:tc>
      </w:tr>
    </w:tbl>
    <w:p>
      <w:r>
        <w:br w:type="page"/>
      </w:r>
    </w:p>
    <w:p>
      <w:pPr>
        <w:keepNext/>
        <w:spacing w:before="360" w:after="120"/>
      </w:pPr>
      <w:r>
        <w:rPr>
          <w:rFonts w:ascii="Arial" w:hAnsi="Arial"/>
          <w:b/>
          <w:color w:val="003366"/>
          <w:sz w:val="30"/>
        </w:rPr>
        <w:t>3. COMPUS TOPOLOGY, BUILDINGS &amp; HOSTEL INFRASTRUCTURE MAPPING</w:t>
      </w:r>
    </w:p>
    <w:p>
      <w:pPr>
        <w:spacing w:after="100" w:line="276" w:lineRule="auto"/>
      </w:pPr>
      <w:r>
        <w:rPr>
          <w:rFonts w:ascii="Calibri" w:hAnsi="Calibri"/>
          <w:color w:val="222222"/>
          <w:sz w:val="21"/>
        </w:rPr>
        <w:t>To eliminate topological instability and establish strict fault isolation boundaries, the 372-acre VIT Vellore campus is partitioned into five distinct OSPF areas. Each area corresponds to a clearly defined functional, physical, and administrative campus sector anchored by the central high-speed Backbone Core.</w:t>
      </w:r>
    </w:p>
    <w:p>
      <w:pPr>
        <w:keepNext/>
        <w:spacing w:before="280" w:after="80"/>
      </w:pPr>
      <w:r>
        <w:rPr>
          <w:rFonts w:ascii="Arial" w:hAnsi="Arial"/>
          <w:b/>
          <w:color w:val="006699"/>
          <w:sz w:val="25"/>
        </w:rPr>
        <w:t>3.1 Detailed Campus Sector &amp; Landmark Building Inventory</w:t>
      </w:r>
    </w:p>
    <w:p>
      <w:pPr>
        <w:spacing w:after="100" w:line="276" w:lineRule="auto"/>
      </w:pPr>
      <w:r>
        <w:rPr>
          <w:rFonts w:ascii="Calibri" w:hAnsi="Calibri"/>
          <w:color w:val="222222"/>
          <w:sz w:val="21"/>
        </w:rPr>
        <w:t>The campus layout covers over 50 physical structures. The primary Layer 3 aggregation nodes and boundary gateways are distributed as follows:</w:t>
      </w:r>
    </w:p>
    <w:tbl>
      <w:tblPr>
        <w:tblW w:type="auto" w:w="0"/>
        <w:jc w:val="center"/>
        <w:tblLook w:firstColumn="1" w:firstRow="1" w:lastColumn="0" w:lastRow="0" w:noHBand="0" w:noVBand="1" w:val="04A0"/>
      </w:tblPr>
      <w:tblGrid>
        <w:gridCol w:w="1987"/>
        <w:gridCol w:w="1987"/>
        <w:gridCol w:w="1987"/>
        <w:gridCol w:w="1987"/>
        <w:gridCol w:w="1987"/>
      </w:tblGrid>
      <w:tr>
        <w:tc>
          <w:tcPr>
            <w:tcW w:type="dxa" w:w="1728"/>
            <w:shd w:fill="003366"/>
          </w:tcPr>
          <w:p>
            <w:pPr>
              <w:jc w:val="center"/>
            </w:pPr>
            <w:r>
              <w:rPr>
                <w:rFonts w:ascii="Arial" w:hAnsi="Arial"/>
                <w:b/>
                <w:color w:val="FFFFFF"/>
                <w:sz w:val="18"/>
              </w:rPr>
              <w:t>OSPF Area ID</w:t>
            </w:r>
          </w:p>
        </w:tc>
        <w:tc>
          <w:tcPr>
            <w:tcW w:type="dxa" w:w="2016"/>
            <w:shd w:fill="003366"/>
          </w:tcPr>
          <w:p>
            <w:pPr>
              <w:jc w:val="center"/>
            </w:pPr>
            <w:r>
              <w:rPr>
                <w:rFonts w:ascii="Arial" w:hAnsi="Arial"/>
                <w:b/>
                <w:color w:val="FFFFFF"/>
                <w:sz w:val="18"/>
              </w:rPr>
              <w:t>Functional Campus Zone</w:t>
            </w:r>
          </w:p>
        </w:tc>
        <w:tc>
          <w:tcPr>
            <w:tcW w:type="dxa" w:w="3312"/>
            <w:shd w:fill="003366"/>
          </w:tcPr>
          <w:p>
            <w:pPr>
              <w:jc w:val="center"/>
            </w:pPr>
            <w:r>
              <w:rPr>
                <w:rFonts w:ascii="Arial" w:hAnsi="Arial"/>
                <w:b/>
                <w:color w:val="FFFFFF"/>
                <w:sz w:val="18"/>
              </w:rPr>
              <w:t>Physical Buildings, Landmark Towers &amp; Hostel Blocks</w:t>
            </w:r>
          </w:p>
        </w:tc>
        <w:tc>
          <w:tcPr>
            <w:tcW w:type="dxa" w:w="1728"/>
            <w:shd w:fill="003366"/>
          </w:tcPr>
          <w:p>
            <w:pPr>
              <w:jc w:val="center"/>
            </w:pPr>
            <w:r>
              <w:rPr>
                <w:rFonts w:ascii="Arial" w:hAnsi="Arial"/>
                <w:b/>
                <w:color w:val="FFFFFF"/>
                <w:sz w:val="18"/>
              </w:rPr>
              <w:t>Active Population</w:t>
            </w:r>
          </w:p>
        </w:tc>
        <w:tc>
          <w:tcPr>
            <w:tcW w:type="dxa" w:w="2592"/>
            <w:shd w:fill="003366"/>
          </w:tcPr>
          <w:p>
            <w:pPr>
              <w:jc w:val="center"/>
            </w:pPr>
            <w:r>
              <w:rPr>
                <w:rFonts w:ascii="Arial" w:hAnsi="Arial"/>
                <w:b/>
                <w:color w:val="FFFFFF"/>
                <w:sz w:val="18"/>
              </w:rPr>
              <w:t>Designated Area Architecture &amp; Policy</w:t>
            </w:r>
          </w:p>
        </w:tc>
      </w:tr>
      <w:tr>
        <w:tc>
          <w:tcPr>
            <w:tcW w:type="dxa" w:w="1728"/>
            <w:shd w:fill="F8FAFC"/>
          </w:tcPr>
          <w:p>
            <w:r>
              <w:rPr>
                <w:rFonts w:ascii="Calibri" w:hAnsi="Calibri"/>
                <w:color w:val="222222"/>
                <w:sz w:val="17"/>
              </w:rPr>
              <w:t>Area 0 (0.0.0.0)</w:t>
            </w:r>
          </w:p>
        </w:tc>
        <w:tc>
          <w:tcPr>
            <w:tcW w:type="dxa" w:w="2016"/>
            <w:shd w:fill="F8FAFC"/>
          </w:tcPr>
          <w:p>
            <w:r>
              <w:rPr>
                <w:rFonts w:ascii="Calibri" w:hAnsi="Calibri"/>
                <w:color w:val="222222"/>
                <w:sz w:val="17"/>
              </w:rPr>
              <w:t>Backbone Core</w:t>
            </w:r>
          </w:p>
        </w:tc>
        <w:tc>
          <w:tcPr>
            <w:tcW w:type="dxa" w:w="3312"/>
            <w:shd w:fill="F8FAFC"/>
          </w:tcPr>
          <w:p>
            <w:r>
              <w:rPr>
                <w:rFonts w:ascii="Calibri" w:hAnsi="Calibri"/>
                <w:color w:val="222222"/>
                <w:sz w:val="17"/>
              </w:rPr>
              <w:t>Centre for Technical Support (CTS DC 1 &amp; 2), Core Dark Fiber Aggregation Hubs</w:t>
            </w:r>
          </w:p>
        </w:tc>
        <w:tc>
          <w:tcPr>
            <w:tcW w:type="dxa" w:w="1728"/>
            <w:shd w:fill="F8FAFC"/>
          </w:tcPr>
          <w:p>
            <w:r>
              <w:rPr>
                <w:rFonts w:ascii="Calibri" w:hAnsi="Calibri"/>
                <w:color w:val="222222"/>
                <w:sz w:val="17"/>
              </w:rPr>
              <w:t>Campus-wide Core</w:t>
            </w:r>
          </w:p>
        </w:tc>
        <w:tc>
          <w:tcPr>
            <w:tcW w:type="dxa" w:w="2592"/>
            <w:shd w:fill="F8FAFC"/>
          </w:tcPr>
          <w:p>
            <w:r>
              <w:rPr>
                <w:rFonts w:ascii="Calibri" w:hAnsi="Calibri"/>
                <w:color w:val="222222"/>
                <w:sz w:val="17"/>
              </w:rPr>
              <w:t>Transit Backbone Core; maintains synchronized full LSDB; terminates all inter-area traffic.</w:t>
            </w:r>
          </w:p>
        </w:tc>
      </w:tr>
      <w:tr>
        <w:tc>
          <w:tcPr>
            <w:tcW w:type="dxa" w:w="1728"/>
            <w:shd w:fill="FFFFFF"/>
          </w:tcPr>
          <w:p>
            <w:r>
              <w:rPr>
                <w:rFonts w:ascii="Calibri" w:hAnsi="Calibri"/>
                <w:color w:val="222222"/>
                <w:sz w:val="17"/>
              </w:rPr>
              <w:t>Area 10</w:t>
            </w:r>
          </w:p>
        </w:tc>
        <w:tc>
          <w:tcPr>
            <w:tcW w:type="dxa" w:w="2016"/>
            <w:shd w:fill="FFFFFF"/>
          </w:tcPr>
          <w:p>
            <w:r>
              <w:rPr>
                <w:rFonts w:ascii="Calibri" w:hAnsi="Calibri"/>
                <w:color w:val="222222"/>
                <w:sz w:val="17"/>
              </w:rPr>
              <w:t>Academic Core</w:t>
            </w:r>
          </w:p>
        </w:tc>
        <w:tc>
          <w:tcPr>
            <w:tcW w:type="dxa" w:w="3312"/>
            <w:shd w:fill="FFFFFF"/>
          </w:tcPr>
          <w:p>
            <w:r>
              <w:rPr>
                <w:rFonts w:ascii="Calibri" w:hAnsi="Calibri"/>
                <w:color w:val="222222"/>
                <w:sz w:val="17"/>
              </w:rPr>
              <w:t>Silver Jubilee Tower (SJT - 12 Floors), Technology Tower (TT - 8 Floors), Main Building (MB / Dr. MGR Block), SMV Hexagon, GDN Block, CBMR Block</w:t>
            </w:r>
          </w:p>
        </w:tc>
        <w:tc>
          <w:tcPr>
            <w:tcW w:type="dxa" w:w="1728"/>
            <w:shd w:fill="FFFFFF"/>
          </w:tcPr>
          <w:p>
            <w:r>
              <w:rPr>
                <w:rFonts w:ascii="Calibri" w:hAnsi="Calibri"/>
                <w:color w:val="222222"/>
                <w:sz w:val="17"/>
              </w:rPr>
              <w:t>18,500 Students &amp; Faculty</w:t>
            </w:r>
          </w:p>
        </w:tc>
        <w:tc>
          <w:tcPr>
            <w:tcW w:type="dxa" w:w="2592"/>
            <w:shd w:fill="FFFFFF"/>
          </w:tcPr>
          <w:p>
            <w:r>
              <w:rPr>
                <w:rFonts w:ascii="Calibri" w:hAnsi="Calibri"/>
                <w:color w:val="222222"/>
                <w:sz w:val="17"/>
              </w:rPr>
              <w:t>Standard OSPF Area; Type-1 &amp; Type-2 LSAs flooded locally; summarized into Area 0 via SJT-ABR &amp; TT-ABR.</w:t>
            </w:r>
          </w:p>
        </w:tc>
      </w:tr>
      <w:tr>
        <w:tc>
          <w:tcPr>
            <w:tcW w:type="dxa" w:w="1728"/>
            <w:shd w:fill="F8FAFC"/>
          </w:tcPr>
          <w:p>
            <w:r>
              <w:rPr>
                <w:rFonts w:ascii="Calibri" w:hAnsi="Calibri"/>
                <w:color w:val="222222"/>
                <w:sz w:val="17"/>
              </w:rPr>
              <w:t>Area 20</w:t>
            </w:r>
          </w:p>
        </w:tc>
        <w:tc>
          <w:tcPr>
            <w:tcW w:type="dxa" w:w="2016"/>
            <w:shd w:fill="F8FAFC"/>
          </w:tcPr>
          <w:p>
            <w:r>
              <w:rPr>
                <w:rFonts w:ascii="Calibri" w:hAnsi="Calibri"/>
                <w:color w:val="222222"/>
                <w:sz w:val="17"/>
              </w:rPr>
              <w:t>Residential Hostels</w:t>
            </w:r>
          </w:p>
        </w:tc>
        <w:tc>
          <w:tcPr>
            <w:tcW w:type="dxa" w:w="3312"/>
            <w:shd w:fill="F8FAFC"/>
          </w:tcPr>
          <w:p>
            <w:r>
              <w:rPr>
                <w:rFonts w:ascii="Calibri" w:hAnsi="Calibri"/>
                <w:color w:val="222222"/>
                <w:sz w:val="17"/>
              </w:rPr>
              <w:t>Men's Hostels (MH): Blocks A, B, C, D, E, F, G, H, J, K, L, M, N, P, Q, R, S, T (22,000 beds)</w:t>
              <w:br/>
              <w:t>Women's Hostels (WH / WMN): Blocks A, B, C, D, E, F, G, H (10,500 beds)</w:t>
            </w:r>
          </w:p>
        </w:tc>
        <w:tc>
          <w:tcPr>
            <w:tcW w:type="dxa" w:w="1728"/>
            <w:shd w:fill="F8FAFC"/>
          </w:tcPr>
          <w:p>
            <w:r>
              <w:rPr>
                <w:rFonts w:ascii="Calibri" w:hAnsi="Calibri"/>
                <w:color w:val="222222"/>
                <w:sz w:val="17"/>
              </w:rPr>
              <w:t>32,500 Resident Students</w:t>
            </w:r>
          </w:p>
        </w:tc>
        <w:tc>
          <w:tcPr>
            <w:tcW w:type="dxa" w:w="2592"/>
            <w:shd w:fill="F8FAFC"/>
          </w:tcPr>
          <w:p>
            <w:r>
              <w:rPr>
                <w:rFonts w:ascii="Calibri" w:hAnsi="Calibri"/>
                <w:color w:val="222222"/>
                <w:sz w:val="17"/>
              </w:rPr>
              <w:t>Standard OSPF Area with strict CIDR aggregation (10.20.0.0/16); flaps isolated inside Area 20.</w:t>
            </w:r>
          </w:p>
        </w:tc>
      </w:tr>
      <w:tr>
        <w:tc>
          <w:tcPr>
            <w:tcW w:type="dxa" w:w="1728"/>
            <w:shd w:fill="FFFFFF"/>
          </w:tcPr>
          <w:p>
            <w:r>
              <w:rPr>
                <w:rFonts w:ascii="Calibri" w:hAnsi="Calibri"/>
                <w:color w:val="222222"/>
                <w:sz w:val="17"/>
              </w:rPr>
              <w:t>Area 30</w:t>
            </w:r>
          </w:p>
        </w:tc>
        <w:tc>
          <w:tcPr>
            <w:tcW w:type="dxa" w:w="2016"/>
            <w:shd w:fill="FFFFFF"/>
          </w:tcPr>
          <w:p>
            <w:r>
              <w:rPr>
                <w:rFonts w:ascii="Calibri" w:hAnsi="Calibri"/>
                <w:color w:val="222222"/>
                <w:sz w:val="17"/>
              </w:rPr>
              <w:t>Central Administration</w:t>
            </w:r>
          </w:p>
        </w:tc>
        <w:tc>
          <w:tcPr>
            <w:tcW w:type="dxa" w:w="3312"/>
            <w:shd w:fill="FFFFFF"/>
          </w:tcPr>
          <w:p>
            <w:r>
              <w:rPr>
                <w:rFonts w:ascii="Calibri" w:hAnsi="Calibri"/>
                <w:color w:val="222222"/>
                <w:sz w:val="17"/>
              </w:rPr>
              <w:t>Gandhi Block Central Admin, Office of Admissions, Controller of Examinations, Finance &amp; Registrar Data Center</w:t>
            </w:r>
          </w:p>
        </w:tc>
        <w:tc>
          <w:tcPr>
            <w:tcW w:type="dxa" w:w="1728"/>
            <w:shd w:fill="FFFFFF"/>
          </w:tcPr>
          <w:p>
            <w:r>
              <w:rPr>
                <w:rFonts w:ascii="Calibri" w:hAnsi="Calibri"/>
                <w:color w:val="222222"/>
                <w:sz w:val="17"/>
              </w:rPr>
              <w:t>3,500 Administrative Staff</w:t>
            </w:r>
          </w:p>
        </w:tc>
        <w:tc>
          <w:tcPr>
            <w:tcW w:type="dxa" w:w="2592"/>
            <w:shd w:fill="FFFFFF"/>
          </w:tcPr>
          <w:p>
            <w:r>
              <w:rPr>
                <w:rFonts w:ascii="Calibri" w:hAnsi="Calibri"/>
                <w:color w:val="222222"/>
                <w:sz w:val="17"/>
              </w:rPr>
              <w:t>Totally Stubby Area (TSA); blocks Type-3/4/5 LSAs; installs synthesized 0.0.0.0/0 default route.</w:t>
            </w:r>
          </w:p>
        </w:tc>
      </w:tr>
      <w:tr>
        <w:tc>
          <w:tcPr>
            <w:tcW w:type="dxa" w:w="1728"/>
            <w:shd w:fill="F8FAFC"/>
          </w:tcPr>
          <w:p>
            <w:r>
              <w:rPr>
                <w:rFonts w:ascii="Calibri" w:hAnsi="Calibri"/>
                <w:color w:val="222222"/>
                <w:sz w:val="17"/>
              </w:rPr>
              <w:t>Area 40</w:t>
            </w:r>
          </w:p>
        </w:tc>
        <w:tc>
          <w:tcPr>
            <w:tcW w:type="dxa" w:w="2016"/>
            <w:shd w:fill="F8FAFC"/>
          </w:tcPr>
          <w:p>
            <w:r>
              <w:rPr>
                <w:rFonts w:ascii="Calibri" w:hAnsi="Calibri"/>
                <w:color w:val="222222"/>
                <w:sz w:val="17"/>
              </w:rPr>
              <w:t>Research &amp; Incubation</w:t>
            </w:r>
          </w:p>
        </w:tc>
        <w:tc>
          <w:tcPr>
            <w:tcW w:type="dxa" w:w="3312"/>
            <w:shd w:fill="F8FAFC"/>
          </w:tcPr>
          <w:p>
            <w:r>
              <w:rPr>
                <w:rFonts w:ascii="Calibri" w:hAnsi="Calibri"/>
                <w:color w:val="222222"/>
                <w:sz w:val="17"/>
              </w:rPr>
              <w:t>Pearl Research Park (PRP - 7 Floors), TIFAC-CORE, High-Performance Computing (HPC) Clusters, AI Innovation Labs</w:t>
            </w:r>
          </w:p>
        </w:tc>
        <w:tc>
          <w:tcPr>
            <w:tcW w:type="dxa" w:w="1728"/>
            <w:shd w:fill="F8FAFC"/>
          </w:tcPr>
          <w:p>
            <w:r>
              <w:rPr>
                <w:rFonts w:ascii="Calibri" w:hAnsi="Calibri"/>
                <w:color w:val="222222"/>
                <w:sz w:val="17"/>
              </w:rPr>
              <w:t>4,800 Researchers</w:t>
            </w:r>
          </w:p>
        </w:tc>
        <w:tc>
          <w:tcPr>
            <w:tcW w:type="dxa" w:w="2592"/>
            <w:shd w:fill="F8FAFC"/>
          </w:tcPr>
          <w:p>
            <w:r>
              <w:rPr>
                <w:rFonts w:ascii="Calibri" w:hAnsi="Calibri"/>
                <w:color w:val="222222"/>
                <w:sz w:val="17"/>
              </w:rPr>
              <w:t>Not-So-Stubby Area (NSSA); imports external lab routes as Type-7; translates to Type-5 at PRP-ABR.</w:t>
            </w:r>
          </w:p>
        </w:tc>
      </w:tr>
    </w:tbl>
    <w:p>
      <w:pPr>
        <w:keepNext/>
        <w:spacing w:before="280" w:after="80"/>
      </w:pPr>
      <w:r>
        <w:rPr>
          <w:rFonts w:ascii="Arial" w:hAnsi="Arial"/>
          <w:b/>
          <w:color w:val="006699"/>
          <w:sz w:val="25"/>
        </w:rPr>
        <w:t>3.2 Strategic Placement of Area Border Routers (ABRs)</w:t>
      </w:r>
    </w:p>
    <w:p>
      <w:pPr>
        <w:spacing w:after="100" w:line="276" w:lineRule="auto"/>
      </w:pPr>
      <w:r>
        <w:rPr>
          <w:rFonts w:ascii="Calibri" w:hAnsi="Calibri"/>
          <w:color w:val="222222"/>
          <w:sz w:val="21"/>
        </w:rPr>
        <w:t>In strict alignment with RFC 2328, an Area Border Router (ABR) is defined as any router that attaches simultaneously to Area 0 and at least one non-backbone area. An ABR maintains multiple independent Link-State Databases—one for each attached area—and executes separate SPF calculations for each area's graph.</w:t>
      </w:r>
    </w:p>
    <w:p>
      <w:pPr>
        <w:pStyle w:val="ListBullet"/>
        <w:spacing w:after="60" w:line="276" w:lineRule="auto"/>
      </w:pPr>
      <w:r>
        <w:rPr>
          <w:rFonts w:ascii="Calibri" w:hAnsi="Calibri"/>
          <w:b/>
          <w:color w:val="0F172A"/>
          <w:sz w:val="21"/>
        </w:rPr>
        <w:t xml:space="preserve">Academic Core Gateways: </w:t>
      </w:r>
      <w:r>
        <w:rPr>
          <w:rFonts w:ascii="Calibri" w:hAnsi="Calibri"/>
          <w:color w:val="222222"/>
          <w:sz w:val="21"/>
        </w:rPr>
        <w:t>SJT-ABR (10.10.0.1) &amp; TT-ABR (10.10.64.1): Interface directly with CTS Core 1 in Area 0 over high-capacity 100 Gbps trunks while anchoring Area 10's internal distribution switches. They generate Type-3 Summary LSAs abstracting academic subnets into the backbone.</w:t>
      </w:r>
    </w:p>
    <w:p>
      <w:pPr>
        <w:pStyle w:val="ListBullet"/>
        <w:spacing w:after="60" w:line="276" w:lineRule="auto"/>
      </w:pPr>
      <w:r>
        <w:rPr>
          <w:rFonts w:ascii="Calibri" w:hAnsi="Calibri"/>
          <w:b/>
          <w:color w:val="0F172A"/>
          <w:sz w:val="21"/>
        </w:rPr>
        <w:t xml:space="preserve">Residential Hostel Gateways: </w:t>
      </w:r>
      <w:r>
        <w:rPr>
          <w:rFonts w:ascii="Calibri" w:hAnsi="Calibri"/>
          <w:color w:val="222222"/>
          <w:sz w:val="21"/>
        </w:rPr>
        <w:t>MH-ABR (10.20.0.1) &amp; WH-ABR (10.20.128.1): Terminate the extensive fiber distribution loops servicing Men's and Women's hostels. They aggregate over 35 physical building blocks into a single summarized /16 prefix before injecting into Area 0.</w:t>
      </w:r>
    </w:p>
    <w:p>
      <w:pPr>
        <w:pStyle w:val="ListBullet"/>
        <w:spacing w:after="60" w:line="276" w:lineRule="auto"/>
      </w:pPr>
      <w:r>
        <w:rPr>
          <w:rFonts w:ascii="Calibri" w:hAnsi="Calibri"/>
          <w:b/>
          <w:color w:val="0F172A"/>
          <w:sz w:val="21"/>
        </w:rPr>
        <w:t xml:space="preserve">Central Admin Gateway: </w:t>
      </w:r>
      <w:r>
        <w:rPr>
          <w:rFonts w:ascii="Calibri" w:hAnsi="Calibri"/>
          <w:color w:val="222222"/>
          <w:sz w:val="21"/>
        </w:rPr>
        <w:t>Admin-ABR (10.30.0.1): Located at the Gandhi Block, this node filters all inter-area Type-3 and external Type-5 LSAs, shielding administrative databases from external topological noise.</w:t>
      </w:r>
    </w:p>
    <w:p>
      <w:pPr>
        <w:pStyle w:val="ListBullet"/>
        <w:spacing w:after="60" w:line="276" w:lineRule="auto"/>
      </w:pPr>
      <w:r>
        <w:rPr>
          <w:rFonts w:ascii="Calibri" w:hAnsi="Calibri"/>
          <w:b/>
          <w:color w:val="0F172A"/>
          <w:sz w:val="21"/>
        </w:rPr>
        <w:t xml:space="preserve">Research Park Gateway: </w:t>
      </w:r>
      <w:r>
        <w:rPr>
          <w:rFonts w:ascii="Calibri" w:hAnsi="Calibri"/>
          <w:color w:val="222222"/>
          <w:sz w:val="21"/>
        </w:rPr>
        <w:t>PRP-ABR (10.40.0.1): Serves as the Autonomous System Boundary Translator, enabling university research clusters to inject private lab routes via NSSA Type-7 LSAs while translating them to standard Type-5 LSAs for campus-wide visibility.</w:t>
      </w:r>
    </w:p>
    <w:p>
      <w:r>
        <w:br w:type="page"/>
      </w:r>
    </w:p>
    <w:p>
      <w:pPr>
        <w:keepNext/>
        <w:spacing w:before="360" w:after="120"/>
      </w:pPr>
      <w:r>
        <w:rPr>
          <w:rFonts w:ascii="Arial" w:hAnsi="Arial"/>
          <w:b/>
          <w:color w:val="003366"/>
          <w:sz w:val="30"/>
        </w:rPr>
        <w:t>4. MATHEMATICAL GRAPH THEORY &amp; DIJKSTRA SPF CONVERGENCE PROOFS</w:t>
      </w:r>
    </w:p>
    <w:p>
      <w:pPr>
        <w:spacing w:after="100" w:line="276" w:lineRule="auto"/>
      </w:pPr>
      <w:r>
        <w:rPr>
          <w:rFonts w:ascii="Calibri" w:hAnsi="Calibri"/>
          <w:color w:val="222222"/>
          <w:sz w:val="21"/>
        </w:rPr>
        <w:t>At the core of the OSPF protocol engine lies Edsger Dijkstra's Shortest Path First algorithm. Understanding its formal mathematical foundations allows network engineers to calculate precise convergence latency, prove loop-freedom, and optimize interface cost metrics.</w:t>
      </w:r>
    </w:p>
    <w:p>
      <w:pPr>
        <w:keepNext/>
        <w:spacing w:before="280" w:after="80"/>
      </w:pPr>
      <w:r>
        <w:rPr>
          <w:rFonts w:ascii="Arial" w:hAnsi="Arial"/>
          <w:b/>
          <w:color w:val="006699"/>
          <w:sz w:val="25"/>
        </w:rPr>
        <w:t>4.1 Formal Graph Theoretical Formulation</w:t>
      </w:r>
    </w:p>
    <w:p>
      <w:pPr>
        <w:spacing w:after="100" w:line="276" w:lineRule="auto"/>
      </w:pPr>
      <w:r>
        <w:rPr>
          <w:rFonts w:ascii="Calibri" w:hAnsi="Calibri"/>
          <w:color w:val="222222"/>
          <w:sz w:val="21"/>
        </w:rPr>
        <w:t>The physical network topology is modeled as a directed, weighted multigraph:</w:t>
      </w:r>
    </w:p>
    <w:p>
      <w:pPr>
        <w:spacing w:after="100" w:line="276" w:lineRule="auto"/>
      </w:pPr>
      <w:r>
        <w:rPr>
          <w:rFonts w:ascii="Calibri" w:hAnsi="Calibri"/>
          <w:b/>
          <w:color w:val="0F172A"/>
          <w:sz w:val="21"/>
        </w:rPr>
        <w:t xml:space="preserve">Mathematical Definition: </w:t>
      </w:r>
      <w:r>
        <w:rPr>
          <w:rFonts w:ascii="Calibri" w:hAnsi="Calibri"/>
          <w:color w:val="222222"/>
          <w:sz w:val="21"/>
        </w:rPr>
        <w:t>G = (V, E, W)</w:t>
      </w:r>
    </w:p>
    <w:p>
      <w:pPr>
        <w:spacing w:after="100" w:line="276" w:lineRule="auto"/>
      </w:pPr>
      <w:r>
        <w:rPr>
          <w:rFonts w:ascii="Calibri" w:hAnsi="Calibri"/>
          <w:color w:val="222222"/>
          <w:sz w:val="21"/>
        </w:rPr>
        <w:t>Where V = {v_1, v_2, ..., v_n} is the set of router nodes and transit network segments, E ⊆ V × V is the set of directed edges representing point-to-point and broadcast links, and W: E → ℝ⁺ is the weight function assigning a positive integer cost metric w(e) to each link e ∈ E.</w:t>
      </w:r>
    </w:p>
    <w:p>
      <w:pPr>
        <w:keepNext/>
        <w:spacing w:before="280" w:after="80"/>
      </w:pPr>
      <w:r>
        <w:rPr>
          <w:rFonts w:ascii="Arial" w:hAnsi="Arial"/>
          <w:b/>
          <w:color w:val="006699"/>
          <w:sz w:val="25"/>
        </w:rPr>
        <w:t>4.2 RFC 2328 Cost Metric Calculation</w:t>
      </w:r>
    </w:p>
    <w:p>
      <w:pPr>
        <w:spacing w:after="100" w:line="276" w:lineRule="auto"/>
      </w:pPr>
      <w:r>
        <w:rPr>
          <w:rFonts w:ascii="Calibri" w:hAnsi="Calibri"/>
          <w:color w:val="222222"/>
          <w:sz w:val="21"/>
        </w:rPr>
        <w:t>OSPF assigns costs based on interface bandwidth according to the standard formula:</w:t>
      </w:r>
    </w:p>
    <w:p>
      <w:pPr>
        <w:spacing w:after="100" w:line="276" w:lineRule="auto"/>
      </w:pPr>
      <w:r>
        <w:rPr>
          <w:rFonts w:ascii="Calibri" w:hAnsi="Calibri"/>
          <w:b/>
          <w:color w:val="0F172A"/>
          <w:sz w:val="21"/>
        </w:rPr>
        <w:t xml:space="preserve">Cost Formula: </w:t>
      </w:r>
      <w:r>
        <w:rPr>
          <w:rFonts w:ascii="Calibri" w:hAnsi="Calibri"/>
          <w:color w:val="222222"/>
          <w:sz w:val="21"/>
        </w:rPr>
        <w:t>Cost = Reference Bandwidth / Interface Bandwidth</w:t>
      </w:r>
    </w:p>
    <w:p>
      <w:pPr>
        <w:spacing w:after="100" w:line="276" w:lineRule="auto"/>
      </w:pPr>
      <w:r>
        <w:rPr>
          <w:rFonts w:ascii="Calibri" w:hAnsi="Calibri"/>
          <w:color w:val="222222"/>
          <w:sz w:val="21"/>
        </w:rPr>
        <w:t>In standard default OSPF deployments, the reference bandwidth is 100 Mbps (10⁸ bps), meaning any link of 100 Mbps or greater receives a cost of 1. In a multi-gigabit enterprise campus like VIT, this default causes severe routing anomalies because 100 Mbps, 1 Gbps, 10 Gbps, 40 Gbps, and 100 Gbps links all receive identical metrics of 1, preventing optimal path selection.</w:t>
      </w:r>
    </w:p>
    <w:p>
      <w:pPr>
        <w:spacing w:after="100" w:line="276" w:lineRule="auto"/>
      </w:pPr>
      <w:r>
        <w:rPr>
          <w:rFonts w:ascii="Calibri" w:hAnsi="Calibri"/>
          <w:b/>
          <w:color w:val="0F172A"/>
          <w:sz w:val="21"/>
        </w:rPr>
        <w:t xml:space="preserve">Engineering Optimization: </w:t>
      </w:r>
      <w:r>
        <w:rPr>
          <w:rFonts w:ascii="Calibri" w:hAnsi="Calibri"/>
          <w:color w:val="222222"/>
          <w:sz w:val="21"/>
        </w:rPr>
        <w:t>Production Reference Bandwidth Calibration:</w:t>
      </w:r>
    </w:p>
    <w:p>
      <w:pPr>
        <w:spacing w:after="100" w:line="276" w:lineRule="auto"/>
      </w:pPr>
      <w:r>
        <w:rPr>
          <w:rFonts w:ascii="Calibri" w:hAnsi="Calibri"/>
          <w:color w:val="222222"/>
          <w:sz w:val="21"/>
        </w:rPr>
        <w:t>In our production design, the OSPF reference bandwidth is calibrated to 100 Gbps (100,000 Mbps):</w:t>
      </w:r>
    </w:p>
    <w:p>
      <w:pPr>
        <w:spacing w:before="80" w:after="160" w:line="252" w:lineRule="auto"/>
        <w:shd w:fill="0B1220"/>
      </w:pPr>
      <w:r>
        <w:rPr>
          <w:rFonts w:ascii="Consolas" w:hAnsi="Consolas"/>
          <w:color w:val="A7F3D0"/>
          <w:sz w:val="17"/>
        </w:rPr>
        <w:t>router ospf 1</w:t>
        <w:br/>
        <w:t xml:space="preserve"> auto-cost reference-bandwidth 100000</w:t>
      </w:r>
    </w:p>
    <w:tbl>
      <w:tblPr>
        <w:tblW w:type="auto" w:w="0"/>
        <w:jc w:val="center"/>
        <w:tblLook w:firstColumn="1" w:firstRow="1" w:lastColumn="0" w:lastRow="0" w:noHBand="0" w:noVBand="1" w:val="04A0"/>
      </w:tblPr>
      <w:tblGrid>
        <w:gridCol w:w="2484"/>
        <w:gridCol w:w="2484"/>
        <w:gridCol w:w="2484"/>
        <w:gridCol w:w="2484"/>
      </w:tblGrid>
      <w:tr>
        <w:tc>
          <w:tcPr>
            <w:tcW w:type="dxa" w:w="2880"/>
            <w:shd w:fill="003366"/>
          </w:tcPr>
          <w:p>
            <w:pPr>
              <w:jc w:val="center"/>
            </w:pPr>
            <w:r>
              <w:rPr>
                <w:rFonts w:ascii="Arial" w:hAnsi="Arial"/>
                <w:b/>
                <w:color w:val="FFFFFF"/>
                <w:sz w:val="18"/>
              </w:rPr>
              <w:t>Physical Link Architecture</w:t>
            </w:r>
          </w:p>
        </w:tc>
        <w:tc>
          <w:tcPr>
            <w:tcW w:type="dxa" w:w="2592"/>
            <w:shd w:fill="003366"/>
          </w:tcPr>
          <w:p>
            <w:pPr>
              <w:jc w:val="center"/>
            </w:pPr>
            <w:r>
              <w:rPr>
                <w:rFonts w:ascii="Arial" w:hAnsi="Arial"/>
                <w:b/>
                <w:color w:val="FFFFFF"/>
                <w:sz w:val="18"/>
              </w:rPr>
              <w:t>Raw Bandwidth Capacity</w:t>
            </w:r>
          </w:p>
        </w:tc>
        <w:tc>
          <w:tcPr>
            <w:tcW w:type="dxa" w:w="2304"/>
            <w:shd w:fill="003366"/>
          </w:tcPr>
          <w:p>
            <w:pPr>
              <w:jc w:val="center"/>
            </w:pPr>
            <w:r>
              <w:rPr>
                <w:rFonts w:ascii="Arial" w:hAnsi="Arial"/>
                <w:b/>
                <w:color w:val="FFFFFF"/>
                <w:sz w:val="18"/>
              </w:rPr>
              <w:t>Calculated OSPF Cost Metric</w:t>
            </w:r>
          </w:p>
        </w:tc>
        <w:tc>
          <w:tcPr>
            <w:tcW w:type="dxa" w:w="3168"/>
            <w:shd w:fill="003366"/>
          </w:tcPr>
          <w:p>
            <w:pPr>
              <w:jc w:val="center"/>
            </w:pPr>
            <w:r>
              <w:rPr>
                <w:rFonts w:ascii="Arial" w:hAnsi="Arial"/>
                <w:b/>
                <w:color w:val="FFFFFF"/>
                <w:sz w:val="18"/>
              </w:rPr>
              <w:t>Designated Campus Deployment</w:t>
            </w:r>
          </w:p>
        </w:tc>
      </w:tr>
      <w:tr>
        <w:tc>
          <w:tcPr>
            <w:tcW w:type="dxa" w:w="2880"/>
            <w:shd w:fill="F8FAFC"/>
          </w:tcPr>
          <w:p>
            <w:r>
              <w:rPr>
                <w:rFonts w:ascii="Calibri" w:hAnsi="Calibri"/>
                <w:color w:val="222222"/>
                <w:sz w:val="17"/>
              </w:rPr>
              <w:t>Core Optical Backbone Trunk</w:t>
            </w:r>
          </w:p>
        </w:tc>
        <w:tc>
          <w:tcPr>
            <w:tcW w:type="dxa" w:w="2592"/>
            <w:shd w:fill="F8FAFC"/>
          </w:tcPr>
          <w:p>
            <w:r>
              <w:rPr>
                <w:rFonts w:ascii="Calibri" w:hAnsi="Calibri"/>
                <w:color w:val="222222"/>
                <w:sz w:val="17"/>
              </w:rPr>
              <w:t>100 Gbps (100,000 Mbps)</w:t>
            </w:r>
          </w:p>
        </w:tc>
        <w:tc>
          <w:tcPr>
            <w:tcW w:type="dxa" w:w="2304"/>
            <w:shd w:fill="F8FAFC"/>
          </w:tcPr>
          <w:p>
            <w:r>
              <w:rPr>
                <w:rFonts w:ascii="Calibri" w:hAnsi="Calibri"/>
                <w:color w:val="222222"/>
                <w:sz w:val="17"/>
              </w:rPr>
              <w:t>Cost = 1</w:t>
            </w:r>
          </w:p>
        </w:tc>
        <w:tc>
          <w:tcPr>
            <w:tcW w:type="dxa" w:w="3168"/>
            <w:shd w:fill="F8FAFC"/>
          </w:tcPr>
          <w:p>
            <w:r>
              <w:rPr>
                <w:rFonts w:ascii="Calibri" w:hAnsi="Calibri"/>
                <w:color w:val="222222"/>
                <w:sz w:val="17"/>
              </w:rPr>
              <w:t>CTS-Core1 &lt;-&gt; CTS-Core2 Inter-Core Ring</w:t>
            </w:r>
          </w:p>
        </w:tc>
      </w:tr>
      <w:tr>
        <w:tc>
          <w:tcPr>
            <w:tcW w:type="dxa" w:w="2880"/>
            <w:shd w:fill="FFFFFF"/>
          </w:tcPr>
          <w:p>
            <w:r>
              <w:rPr>
                <w:rFonts w:ascii="Calibri" w:hAnsi="Calibri"/>
                <w:color w:val="222222"/>
                <w:sz w:val="17"/>
              </w:rPr>
              <w:t>Inter-Area Distribution Uplink</w:t>
            </w:r>
          </w:p>
        </w:tc>
        <w:tc>
          <w:tcPr>
            <w:tcW w:type="dxa" w:w="2592"/>
            <w:shd w:fill="FFFFFF"/>
          </w:tcPr>
          <w:p>
            <w:r>
              <w:rPr>
                <w:rFonts w:ascii="Calibri" w:hAnsi="Calibri"/>
                <w:color w:val="222222"/>
                <w:sz w:val="17"/>
              </w:rPr>
              <w:t>40 Gbps (40,000 Mbps)</w:t>
            </w:r>
          </w:p>
        </w:tc>
        <w:tc>
          <w:tcPr>
            <w:tcW w:type="dxa" w:w="2304"/>
            <w:shd w:fill="FFFFFF"/>
          </w:tcPr>
          <w:p>
            <w:r>
              <w:rPr>
                <w:rFonts w:ascii="Calibri" w:hAnsi="Calibri"/>
                <w:color w:val="222222"/>
                <w:sz w:val="17"/>
              </w:rPr>
              <w:t>Cost = 2 (Truncated)</w:t>
            </w:r>
          </w:p>
        </w:tc>
        <w:tc>
          <w:tcPr>
            <w:tcW w:type="dxa" w:w="3168"/>
            <w:shd w:fill="FFFFFF"/>
          </w:tcPr>
          <w:p>
            <w:r>
              <w:rPr>
                <w:rFonts w:ascii="Calibri" w:hAnsi="Calibri"/>
                <w:color w:val="222222"/>
                <w:sz w:val="17"/>
              </w:rPr>
              <w:t>CTS-Core to SJT-ABR, TT-ABR, MH-ABR</w:t>
            </w:r>
          </w:p>
        </w:tc>
      </w:tr>
      <w:tr>
        <w:tc>
          <w:tcPr>
            <w:tcW w:type="dxa" w:w="2880"/>
            <w:shd w:fill="F8FAFC"/>
          </w:tcPr>
          <w:p>
            <w:r>
              <w:rPr>
                <w:rFonts w:ascii="Calibri" w:hAnsi="Calibri"/>
                <w:color w:val="222222"/>
                <w:sz w:val="17"/>
              </w:rPr>
              <w:t>Building Aggregation Link</w:t>
            </w:r>
          </w:p>
        </w:tc>
        <w:tc>
          <w:tcPr>
            <w:tcW w:type="dxa" w:w="2592"/>
            <w:shd w:fill="F8FAFC"/>
          </w:tcPr>
          <w:p>
            <w:r>
              <w:rPr>
                <w:rFonts w:ascii="Calibri" w:hAnsi="Calibri"/>
                <w:color w:val="222222"/>
                <w:sz w:val="17"/>
              </w:rPr>
              <w:t>10 Gbps (10,000 Mbps)</w:t>
            </w:r>
          </w:p>
        </w:tc>
        <w:tc>
          <w:tcPr>
            <w:tcW w:type="dxa" w:w="2304"/>
            <w:shd w:fill="F8FAFC"/>
          </w:tcPr>
          <w:p>
            <w:r>
              <w:rPr>
                <w:rFonts w:ascii="Calibri" w:hAnsi="Calibri"/>
                <w:color w:val="222222"/>
                <w:sz w:val="17"/>
              </w:rPr>
              <w:t>Cost = 10</w:t>
            </w:r>
          </w:p>
        </w:tc>
        <w:tc>
          <w:tcPr>
            <w:tcW w:type="dxa" w:w="3168"/>
            <w:shd w:fill="F8FAFC"/>
          </w:tcPr>
          <w:p>
            <w:r>
              <w:rPr>
                <w:rFonts w:ascii="Calibri" w:hAnsi="Calibri"/>
                <w:color w:val="222222"/>
                <w:sz w:val="17"/>
              </w:rPr>
              <w:t>SJT Tower Floors to Aggregator Switch</w:t>
            </w:r>
          </w:p>
        </w:tc>
      </w:tr>
      <w:tr>
        <w:tc>
          <w:tcPr>
            <w:tcW w:type="dxa" w:w="2880"/>
            <w:shd w:fill="FFFFFF"/>
          </w:tcPr>
          <w:p>
            <w:r>
              <w:rPr>
                <w:rFonts w:ascii="Calibri" w:hAnsi="Calibri"/>
                <w:color w:val="222222"/>
                <w:sz w:val="17"/>
              </w:rPr>
              <w:t>Access Switch Edge Trunk</w:t>
            </w:r>
          </w:p>
        </w:tc>
        <w:tc>
          <w:tcPr>
            <w:tcW w:type="dxa" w:w="2592"/>
            <w:shd w:fill="FFFFFF"/>
          </w:tcPr>
          <w:p>
            <w:r>
              <w:rPr>
                <w:rFonts w:ascii="Calibri" w:hAnsi="Calibri"/>
                <w:color w:val="222222"/>
                <w:sz w:val="17"/>
              </w:rPr>
              <w:t>1 Gbps (1,000 Mbps)</w:t>
            </w:r>
          </w:p>
        </w:tc>
        <w:tc>
          <w:tcPr>
            <w:tcW w:type="dxa" w:w="2304"/>
            <w:shd w:fill="FFFFFF"/>
          </w:tcPr>
          <w:p>
            <w:r>
              <w:rPr>
                <w:rFonts w:ascii="Calibri" w:hAnsi="Calibri"/>
                <w:color w:val="222222"/>
                <w:sz w:val="17"/>
              </w:rPr>
              <w:t>Cost = 100</w:t>
            </w:r>
          </w:p>
        </w:tc>
        <w:tc>
          <w:tcPr>
            <w:tcW w:type="dxa" w:w="3168"/>
            <w:shd w:fill="FFFFFF"/>
          </w:tcPr>
          <w:p>
            <w:r>
              <w:rPr>
                <w:rFonts w:ascii="Calibri" w:hAnsi="Calibri"/>
                <w:color w:val="222222"/>
                <w:sz w:val="17"/>
              </w:rPr>
              <w:t>Dormitory Access Stack to Distribution</w:t>
            </w:r>
          </w:p>
        </w:tc>
      </w:tr>
      <w:tr>
        <w:tc>
          <w:tcPr>
            <w:tcW w:type="dxa" w:w="2880"/>
            <w:shd w:fill="F8FAFC"/>
          </w:tcPr>
          <w:p>
            <w:r>
              <w:rPr>
                <w:rFonts w:ascii="Calibri" w:hAnsi="Calibri"/>
                <w:color w:val="222222"/>
                <w:sz w:val="17"/>
              </w:rPr>
              <w:t>Legacy Backup Link</w:t>
            </w:r>
          </w:p>
        </w:tc>
        <w:tc>
          <w:tcPr>
            <w:tcW w:type="dxa" w:w="2592"/>
            <w:shd w:fill="F8FAFC"/>
          </w:tcPr>
          <w:p>
            <w:r>
              <w:rPr>
                <w:rFonts w:ascii="Calibri" w:hAnsi="Calibri"/>
                <w:color w:val="222222"/>
                <w:sz w:val="17"/>
              </w:rPr>
              <w:t>100 Mbps (100 Mbps)</w:t>
            </w:r>
          </w:p>
        </w:tc>
        <w:tc>
          <w:tcPr>
            <w:tcW w:type="dxa" w:w="2304"/>
            <w:shd w:fill="F8FAFC"/>
          </w:tcPr>
          <w:p>
            <w:r>
              <w:rPr>
                <w:rFonts w:ascii="Calibri" w:hAnsi="Calibri"/>
                <w:color w:val="222222"/>
                <w:sz w:val="17"/>
              </w:rPr>
              <w:t>Cost = 1,000</w:t>
            </w:r>
          </w:p>
        </w:tc>
        <w:tc>
          <w:tcPr>
            <w:tcW w:type="dxa" w:w="3168"/>
            <w:shd w:fill="F8FAFC"/>
          </w:tcPr>
          <w:p>
            <w:r>
              <w:rPr>
                <w:rFonts w:ascii="Calibri" w:hAnsi="Calibri"/>
                <w:color w:val="222222"/>
                <w:sz w:val="17"/>
              </w:rPr>
              <w:t>Out-of-band Serial Management Link</w:t>
            </w:r>
          </w:p>
        </w:tc>
      </w:tr>
    </w:tbl>
    <w:p>
      <w:pPr>
        <w:keepNext/>
        <w:spacing w:before="280" w:after="80"/>
      </w:pPr>
      <w:r>
        <w:rPr>
          <w:rFonts w:ascii="Arial" w:hAnsi="Arial"/>
          <w:b/>
          <w:color w:val="006699"/>
          <w:sz w:val="25"/>
        </w:rPr>
        <w:t>4.3 Formal Proof of Loop-Free Routing</w:t>
      </w:r>
    </w:p>
    <w:p>
      <w:pPr>
        <w:spacing w:after="100" w:line="276" w:lineRule="auto"/>
      </w:pPr>
      <w:r>
        <w:rPr>
          <w:rFonts w:ascii="Calibri" w:hAnsi="Calibri"/>
          <w:b/>
          <w:color w:val="0F172A"/>
          <w:sz w:val="21"/>
        </w:rPr>
        <w:t xml:space="preserve">Mathematical Proof 1 (Intra-Area Loop Freedom): </w:t>
      </w:r>
      <w:r>
        <w:rPr>
          <w:rFonts w:ascii="Calibri" w:hAnsi="Calibri"/>
          <w:color w:val="222222"/>
          <w:sz w:val="21"/>
        </w:rPr>
        <w:t>Theorem: The Shortest Path Tree constructed by OSPF within any single area is strictly loop-free.</w:t>
      </w:r>
    </w:p>
    <w:p>
      <w:pPr>
        <w:spacing w:after="100" w:line="276" w:lineRule="auto"/>
      </w:pPr>
      <w:r>
        <w:rPr>
          <w:rFonts w:ascii="Calibri" w:hAnsi="Calibri"/>
          <w:color w:val="222222"/>
          <w:sz w:val="21"/>
        </w:rPr>
        <w:t>Proof: Let T be the directed tree rooted at source vertex s ∈ V generated by Dijkstra's algorithm. Because all edge weights w(e) are strictly positive (w(e) ≥ 1), the path cost function dist(s, v) is strictly monotonic. Suppose, for contradiction, that T contains a directed cycle C = (v_1, v_2, ..., v_k, v_1). Then the total cost around the cycle satisfies:</w:t>
      </w:r>
    </w:p>
    <w:p>
      <w:pPr>
        <w:spacing w:after="100" w:line="276" w:lineRule="auto"/>
      </w:pPr>
      <w:r>
        <w:rPr>
          <w:rFonts w:ascii="Calibri" w:hAnsi="Calibri"/>
          <w:b/>
          <w:color w:val="0F172A"/>
          <w:sz w:val="21"/>
        </w:rPr>
        <w:t xml:space="preserve">Equation: </w:t>
      </w:r>
      <w:r>
        <w:rPr>
          <w:rFonts w:ascii="Calibri" w:hAnsi="Calibri"/>
          <w:color w:val="222222"/>
          <w:sz w:val="21"/>
        </w:rPr>
        <w:t>∑_{i=1}^k w(v_i, v_{i+1}) &gt; 0</w:t>
      </w:r>
    </w:p>
    <w:p>
      <w:pPr>
        <w:spacing w:after="100" w:line="276" w:lineRule="auto"/>
      </w:pPr>
      <w:r>
        <w:rPr>
          <w:rFonts w:ascii="Calibri" w:hAnsi="Calibri"/>
          <w:color w:val="222222"/>
          <w:sz w:val="21"/>
        </w:rPr>
        <w:t>This implies dist(s, v_1) &lt; dist(s, v_2) &lt; ... &lt; dist(s, v_k) &lt; dist(s, v_1), which yields dist(s, v_1) &lt; dist(s, v_1)—a logical contradiction. Thus, no directed cycles can exist in the shortest path tree, guaranteeing that intra-area forwarding is mathematically loop-free. Q.E.D.</w:t>
      </w:r>
    </w:p>
    <w:p>
      <w:pPr>
        <w:spacing w:after="100" w:line="276" w:lineRule="auto"/>
      </w:pPr>
      <w:r>
        <w:rPr>
          <w:rFonts w:ascii="Calibri" w:hAnsi="Calibri"/>
          <w:b/>
          <w:color w:val="0F172A"/>
          <w:sz w:val="21"/>
        </w:rPr>
        <w:t xml:space="preserve">Mathematical Proof 2 (Inter-Area Loop Freedom): </w:t>
      </w:r>
      <w:r>
        <w:rPr>
          <w:rFonts w:ascii="Calibri" w:hAnsi="Calibri"/>
          <w:color w:val="222222"/>
          <w:sz w:val="21"/>
        </w:rPr>
        <w:t>Theorem: Inter-area routing across the multi-area hierarchy cannot produce routing loops.</w:t>
      </w:r>
    </w:p>
    <w:p>
      <w:pPr>
        <w:spacing w:after="100" w:line="276" w:lineRule="auto"/>
      </w:pPr>
      <w:r>
        <w:rPr>
          <w:rFonts w:ascii="Calibri" w:hAnsi="Calibri"/>
          <w:color w:val="222222"/>
          <w:sz w:val="21"/>
        </w:rPr>
        <w:t>Proof: OSPF enforces a strict two-level hub-and-spoke topological hierarchy anchored by Area 0. All non-backbone areas must directly connect to Area 0. Inter-area traffic between Area i and Area j must transit through Area 0. Furthermore, OSPF ABRs enforce the split-horizon rule: an ABR will never advertise a Type-3 Summary LSA received from Area 0 back into Area 0, nor will an ABR use a Type-3 LSA learned from a non-backbone area to construct its inter-area routing table. Consequently, the inter-area graph forms a directed acyclic graph (DAG) anchored at Area 0, precluding the formation of inter-area routing loops. Q.E.D.</w:t>
      </w:r>
    </w:p>
    <w:p>
      <w:pPr>
        <w:keepNext/>
        <w:spacing w:before="280" w:after="80"/>
      </w:pPr>
      <w:r>
        <w:rPr>
          <w:rFonts w:ascii="Arial" w:hAnsi="Arial"/>
          <w:b/>
          <w:color w:val="006699"/>
          <w:sz w:val="25"/>
        </w:rPr>
        <w:t>4.4 Computational Complexity Reduction</w:t>
      </w:r>
    </w:p>
    <w:p>
      <w:pPr>
        <w:spacing w:after="100" w:line="276" w:lineRule="auto"/>
      </w:pPr>
      <w:r>
        <w:rPr>
          <w:rFonts w:ascii="Calibri" w:hAnsi="Calibri"/>
          <w:color w:val="222222"/>
          <w:sz w:val="21"/>
        </w:rPr>
        <w:t>By dividing the campus of N = 100 routers into k = 5 distinct areas with approximately n_i = 20 routers each, the computational burden on every router drops precipitously:</w:t>
      </w:r>
    </w:p>
    <w:p>
      <w:pPr>
        <w:spacing w:after="100" w:line="276" w:lineRule="auto"/>
      </w:pPr>
      <w:r>
        <w:rPr>
          <w:rFonts w:ascii="Calibri" w:hAnsi="Calibri"/>
          <w:b/>
          <w:color w:val="0F172A"/>
          <w:sz w:val="21"/>
        </w:rPr>
        <w:t xml:space="preserve">Quantitative Comparison: </w:t>
      </w:r>
      <w:r>
        <w:rPr>
          <w:rFonts w:ascii="Calibri" w:hAnsi="Calibri"/>
          <w:color w:val="222222"/>
          <w:sz w:val="21"/>
        </w:rPr>
        <w:t>Flat SPF Complexity: O(100 · log 100 + 350) ≈ 350 + 664 = 1,014 operations per flap.</w:t>
        <w:br/>
        <w:t>Partitioned SPF Complexity: O(20 · log 20 + 70) ≈ 70 + 86 = 156 operations per flap.</w:t>
      </w:r>
    </w:p>
    <w:p>
      <w:pPr>
        <w:spacing w:after="100" w:line="276" w:lineRule="auto"/>
      </w:pPr>
      <w:r>
        <w:rPr>
          <w:rFonts w:ascii="Calibri" w:hAnsi="Calibri"/>
          <w:color w:val="222222"/>
          <w:sz w:val="21"/>
        </w:rPr>
        <w:t>This represents an 84.6% reduction in CPU cycles per recalculation, freeing switch processor capacity for control-plane telemetry, QoS policing, and security ACL enforcement.</w:t>
      </w:r>
    </w:p>
    <w:p>
      <w:r>
        <w:br w:type="page"/>
      </w:r>
    </w:p>
    <w:p>
      <w:pPr>
        <w:keepNext/>
        <w:spacing w:before="360" w:after="120"/>
      </w:pPr>
      <w:r>
        <w:rPr>
          <w:rFonts w:ascii="Arial" w:hAnsi="Arial"/>
          <w:b/>
          <w:color w:val="003366"/>
          <w:sz w:val="30"/>
        </w:rPr>
        <w:t>5. EXHAUSTIVE VLSM IP ADDRESS ALLOCATION &amp; SUPERNETTING SCHEMA</w:t>
      </w:r>
    </w:p>
    <w:p>
      <w:pPr>
        <w:spacing w:after="100" w:line="276" w:lineRule="auto"/>
      </w:pPr>
      <w:r>
        <w:rPr>
          <w:rFonts w:ascii="Calibri" w:hAnsi="Calibri"/>
          <w:color w:val="222222"/>
          <w:sz w:val="21"/>
        </w:rPr>
        <w:t>To accommodate 40,000+ students, 35+ hostel blocks, 4 academic towers, and research facilities while maintaining contiguous CIDR aggregation, a Class A private address block (10.0.0.0/8) was structured hierarchically using Variable Length Subnet Masking (VLSM).</w:t>
      </w:r>
    </w:p>
    <w:p>
      <w:pPr>
        <w:keepNext/>
        <w:spacing w:before="280" w:after="80"/>
      </w:pPr>
      <w:r>
        <w:rPr>
          <w:rFonts w:ascii="Arial" w:hAnsi="Arial"/>
          <w:b/>
          <w:color w:val="006699"/>
          <w:sz w:val="25"/>
        </w:rPr>
        <w:t>5.1 Master Campus IP Allocation Table</w:t>
      </w:r>
    </w:p>
    <w:p>
      <w:pPr>
        <w:spacing w:after="100" w:line="276" w:lineRule="auto"/>
      </w:pPr>
      <w:r>
        <w:rPr>
          <w:rFonts w:ascii="Calibri" w:hAnsi="Calibri"/>
          <w:color w:val="222222"/>
          <w:sz w:val="21"/>
        </w:rPr>
        <w:t>The following table documents the complete addressing layout across all campus zones, specifying network boundaries, usable host capacities, default gateways, and ABR summarization boundaries: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296"/>
            <w:shd w:fill="003366"/>
          </w:tcPr>
          <w:p>
            <w:pPr>
              <w:jc w:val="center"/>
            </w:pPr>
            <w:r>
              <w:rPr>
                <w:rFonts w:ascii="Arial" w:hAnsi="Arial"/>
                <w:b/>
                <w:color w:val="FFFFFF"/>
                <w:sz w:val="18"/>
              </w:rPr>
              <w:t>OSPF Area</w:t>
            </w:r>
          </w:p>
        </w:tc>
        <w:tc>
          <w:tcPr>
            <w:tcW w:type="dxa" w:w="2592"/>
            <w:shd w:fill="003366"/>
          </w:tcPr>
          <w:p>
            <w:pPr>
              <w:jc w:val="center"/>
            </w:pPr>
            <w:r>
              <w:rPr>
                <w:rFonts w:ascii="Arial" w:hAnsi="Arial"/>
                <w:b/>
                <w:color w:val="FFFFFF"/>
                <w:sz w:val="18"/>
              </w:rPr>
              <w:t>Campus Building / Subnet Block</w:t>
            </w:r>
          </w:p>
        </w:tc>
        <w:tc>
          <w:tcPr>
            <w:tcW w:type="dxa" w:w="1584"/>
            <w:shd w:fill="003366"/>
          </w:tcPr>
          <w:p>
            <w:pPr>
              <w:jc w:val="center"/>
            </w:pPr>
            <w:r>
              <w:rPr>
                <w:rFonts w:ascii="Arial" w:hAnsi="Arial"/>
                <w:b/>
                <w:color w:val="FFFFFF"/>
                <w:sz w:val="18"/>
              </w:rPr>
              <w:t>Allocated CIDR</w:t>
            </w:r>
          </w:p>
        </w:tc>
        <w:tc>
          <w:tcPr>
            <w:tcW w:type="dxa" w:w="1584"/>
            <w:shd w:fill="003366"/>
          </w:tcPr>
          <w:p>
            <w:pPr>
              <w:jc w:val="center"/>
            </w:pPr>
            <w:r>
              <w:rPr>
                <w:rFonts w:ascii="Arial" w:hAnsi="Arial"/>
                <w:b/>
                <w:color w:val="FFFFFF"/>
                <w:sz w:val="18"/>
              </w:rPr>
              <w:t>Subnet Mask</w:t>
            </w:r>
          </w:p>
        </w:tc>
        <w:tc>
          <w:tcPr>
            <w:tcW w:type="dxa" w:w="1872"/>
            <w:shd w:fill="003366"/>
          </w:tcPr>
          <w:p>
            <w:pPr>
              <w:jc w:val="center"/>
            </w:pPr>
            <w:r>
              <w:rPr>
                <w:rFonts w:ascii="Arial" w:hAnsi="Arial"/>
                <w:b/>
                <w:color w:val="FFFFFF"/>
                <w:sz w:val="18"/>
              </w:rPr>
              <w:t>Usable Host Range</w:t>
            </w:r>
          </w:p>
        </w:tc>
        <w:tc>
          <w:tcPr>
            <w:tcW w:type="dxa" w:w="1440"/>
            <w:shd w:fill="003366"/>
          </w:tcPr>
          <w:p>
            <w:pPr>
              <w:jc w:val="center"/>
            </w:pPr>
            <w:r>
              <w:rPr>
                <w:rFonts w:ascii="Arial" w:hAnsi="Arial"/>
                <w:b/>
                <w:color w:val="FFFFFF"/>
                <w:sz w:val="18"/>
              </w:rPr>
              <w:t>Capacity</w:t>
            </w:r>
          </w:p>
        </w:tc>
        <w:tc>
          <w:tcPr>
            <w:tcW w:type="dxa" w:w="2016"/>
            <w:shd w:fill="003366"/>
          </w:tcPr>
          <w:p>
            <w:pPr>
              <w:jc w:val="center"/>
            </w:pPr>
            <w:r>
              <w:rPr>
                <w:rFonts w:ascii="Arial" w:hAnsi="Arial"/>
                <w:b/>
                <w:color w:val="FFFFFF"/>
                <w:sz w:val="18"/>
              </w:rPr>
              <w:t>ABR Summarized CIDR</w:t>
            </w:r>
          </w:p>
        </w:tc>
      </w:tr>
      <w:tr>
        <w:tc>
          <w:tcPr>
            <w:tcW w:type="dxa" w:w="1296"/>
            <w:shd w:fill="F8FAFC"/>
          </w:tcPr>
          <w:p>
            <w:r>
              <w:rPr>
                <w:rFonts w:ascii="Calibri" w:hAnsi="Calibri"/>
                <w:color w:val="222222"/>
                <w:sz w:val="17"/>
              </w:rPr>
              <w:t>Area 0</w:t>
            </w:r>
          </w:p>
        </w:tc>
        <w:tc>
          <w:tcPr>
            <w:tcW w:type="dxa" w:w="2592"/>
            <w:shd w:fill="F8FAFC"/>
          </w:tcPr>
          <w:p>
            <w:r>
              <w:rPr>
                <w:rFonts w:ascii="Calibri" w:hAnsi="Calibri"/>
                <w:color w:val="222222"/>
                <w:sz w:val="17"/>
              </w:rPr>
              <w:t>CTS Core Backbone Point-to-Point Links</w:t>
            </w:r>
          </w:p>
        </w:tc>
        <w:tc>
          <w:tcPr>
            <w:tcW w:type="dxa" w:w="1584"/>
            <w:shd w:fill="F8FAFC"/>
          </w:tcPr>
          <w:p>
            <w:r>
              <w:rPr>
                <w:rFonts w:ascii="Calibri" w:hAnsi="Calibri"/>
                <w:color w:val="222222"/>
                <w:sz w:val="17"/>
              </w:rPr>
              <w:t>10.0.0.0/24</w:t>
            </w:r>
          </w:p>
        </w:tc>
        <w:tc>
          <w:tcPr>
            <w:tcW w:type="dxa" w:w="1584"/>
            <w:shd w:fill="F8FAFC"/>
          </w:tcPr>
          <w:p>
            <w:r>
              <w:rPr>
                <w:rFonts w:ascii="Calibri" w:hAnsi="Calibri"/>
                <w:color w:val="222222"/>
                <w:sz w:val="17"/>
              </w:rPr>
              <w:t>255.255.255.0</w:t>
            </w:r>
          </w:p>
        </w:tc>
        <w:tc>
          <w:tcPr>
            <w:tcW w:type="dxa" w:w="1872"/>
            <w:shd w:fill="F8FAFC"/>
          </w:tcPr>
          <w:p>
            <w:r>
              <w:rPr>
                <w:rFonts w:ascii="Calibri" w:hAnsi="Calibri"/>
                <w:color w:val="222222"/>
                <w:sz w:val="17"/>
              </w:rPr>
              <w:t>10.0.0.1 - 10.0.0.254</w:t>
            </w:r>
          </w:p>
        </w:tc>
        <w:tc>
          <w:tcPr>
            <w:tcW w:type="dxa" w:w="1440"/>
            <w:shd w:fill="F8FAFC"/>
          </w:tcPr>
          <w:p>
            <w:r>
              <w:rPr>
                <w:rFonts w:ascii="Calibri" w:hAnsi="Calibri"/>
                <w:color w:val="222222"/>
                <w:sz w:val="17"/>
              </w:rPr>
              <w:t>254 P2P /30s</w:t>
            </w:r>
          </w:p>
        </w:tc>
        <w:tc>
          <w:tcPr>
            <w:tcW w:type="dxa" w:w="2016"/>
            <w:shd w:fill="F8FAFC"/>
          </w:tcPr>
          <w:p>
            <w:r>
              <w:rPr>
                <w:rFonts w:ascii="Calibri" w:hAnsi="Calibri"/>
                <w:color w:val="222222"/>
                <w:sz w:val="17"/>
              </w:rPr>
              <w:t>10.0.0.0/24 (Transit Core)</w:t>
            </w:r>
          </w:p>
        </w:tc>
      </w:tr>
      <w:tr>
        <w:tc>
          <w:tcPr>
            <w:tcW w:type="dxa" w:w="1296"/>
            <w:shd w:fill="FFFFFF"/>
          </w:tcPr>
          <w:p>
            <w:r>
              <w:rPr>
                <w:rFonts w:ascii="Calibri" w:hAnsi="Calibri"/>
                <w:color w:val="222222"/>
                <w:sz w:val="17"/>
              </w:rPr>
              <w:t>Area 10</w:t>
            </w:r>
          </w:p>
        </w:tc>
        <w:tc>
          <w:tcPr>
            <w:tcW w:type="dxa" w:w="2592"/>
            <w:shd w:fill="FFFFFF"/>
          </w:tcPr>
          <w:p>
            <w:r>
              <w:rPr>
                <w:rFonts w:ascii="Calibri" w:hAnsi="Calibri"/>
                <w:color w:val="222222"/>
                <w:sz w:val="17"/>
              </w:rPr>
              <w:t>Silver Jubilee Tower (SJT Floors 1-12)</w:t>
            </w:r>
          </w:p>
        </w:tc>
        <w:tc>
          <w:tcPr>
            <w:tcW w:type="dxa" w:w="1584"/>
            <w:shd w:fill="FFFFFF"/>
          </w:tcPr>
          <w:p>
            <w:r>
              <w:rPr>
                <w:rFonts w:ascii="Calibri" w:hAnsi="Calibri"/>
                <w:color w:val="222222"/>
                <w:sz w:val="17"/>
              </w:rPr>
              <w:t>10.10.0.0/18</w:t>
            </w:r>
          </w:p>
        </w:tc>
        <w:tc>
          <w:tcPr>
            <w:tcW w:type="dxa" w:w="1584"/>
            <w:shd w:fill="FFFFFF"/>
          </w:tcPr>
          <w:p>
            <w:r>
              <w:rPr>
                <w:rFonts w:ascii="Calibri" w:hAnsi="Calibri"/>
                <w:color w:val="222222"/>
                <w:sz w:val="17"/>
              </w:rPr>
              <w:t>255.255.192.0</w:t>
            </w:r>
          </w:p>
        </w:tc>
        <w:tc>
          <w:tcPr>
            <w:tcW w:type="dxa" w:w="1872"/>
            <w:shd w:fill="FFFFFF"/>
          </w:tcPr>
          <w:p>
            <w:r>
              <w:rPr>
                <w:rFonts w:ascii="Calibri" w:hAnsi="Calibri"/>
                <w:color w:val="222222"/>
                <w:sz w:val="17"/>
              </w:rPr>
              <w:t>10.10.0.1 - 10.10.63.254</w:t>
            </w:r>
          </w:p>
        </w:tc>
        <w:tc>
          <w:tcPr>
            <w:tcW w:type="dxa" w:w="1440"/>
            <w:shd w:fill="FFFFFF"/>
          </w:tcPr>
          <w:p>
            <w:r>
              <w:rPr>
                <w:rFonts w:ascii="Calibri" w:hAnsi="Calibri"/>
                <w:color w:val="222222"/>
                <w:sz w:val="17"/>
              </w:rPr>
              <w:t>16,382 hosts</w:t>
            </w:r>
          </w:p>
        </w:tc>
        <w:tc>
          <w:tcPr>
            <w:tcW w:type="dxa" w:w="2016"/>
            <w:shd w:fill="FFFFFF"/>
          </w:tcPr>
          <w:p>
            <w:r>
              <w:rPr>
                <w:rFonts w:ascii="Calibri" w:hAnsi="Calibri"/>
                <w:color w:val="222222"/>
                <w:sz w:val="17"/>
              </w:rPr>
              <w:t>10.10.0.0/16 (Academic)</w:t>
            </w:r>
          </w:p>
        </w:tc>
      </w:tr>
      <w:tr>
        <w:tc>
          <w:tcPr>
            <w:tcW w:type="dxa" w:w="1296"/>
            <w:shd w:fill="F8FAFC"/>
          </w:tcPr>
          <w:p>
            <w:r>
              <w:rPr>
                <w:rFonts w:ascii="Calibri" w:hAnsi="Calibri"/>
                <w:color w:val="222222"/>
                <w:sz w:val="17"/>
              </w:rPr>
              <w:t>Area 10</w:t>
            </w:r>
          </w:p>
        </w:tc>
        <w:tc>
          <w:tcPr>
            <w:tcW w:type="dxa" w:w="2592"/>
            <w:shd w:fill="F8FAFC"/>
          </w:tcPr>
          <w:p>
            <w:r>
              <w:rPr>
                <w:rFonts w:ascii="Calibri" w:hAnsi="Calibri"/>
                <w:color w:val="222222"/>
                <w:sz w:val="17"/>
              </w:rPr>
              <w:t>Technology Tower (TT Computing Labs)</w:t>
            </w:r>
          </w:p>
        </w:tc>
        <w:tc>
          <w:tcPr>
            <w:tcW w:type="dxa" w:w="1584"/>
            <w:shd w:fill="F8FAFC"/>
          </w:tcPr>
          <w:p>
            <w:r>
              <w:rPr>
                <w:rFonts w:ascii="Calibri" w:hAnsi="Calibri"/>
                <w:color w:val="222222"/>
                <w:sz w:val="17"/>
              </w:rPr>
              <w:t>10.10.64.0/18</w:t>
            </w:r>
          </w:p>
        </w:tc>
        <w:tc>
          <w:tcPr>
            <w:tcW w:type="dxa" w:w="1584"/>
            <w:shd w:fill="F8FAFC"/>
          </w:tcPr>
          <w:p>
            <w:r>
              <w:rPr>
                <w:rFonts w:ascii="Calibri" w:hAnsi="Calibri"/>
                <w:color w:val="222222"/>
                <w:sz w:val="17"/>
              </w:rPr>
              <w:t>255.255.192.0</w:t>
            </w:r>
          </w:p>
        </w:tc>
        <w:tc>
          <w:tcPr>
            <w:tcW w:type="dxa" w:w="1872"/>
            <w:shd w:fill="F8FAFC"/>
          </w:tcPr>
          <w:p>
            <w:r>
              <w:rPr>
                <w:rFonts w:ascii="Calibri" w:hAnsi="Calibri"/>
                <w:color w:val="222222"/>
                <w:sz w:val="17"/>
              </w:rPr>
              <w:t>10.10.64.1 - 10.10.127.254</w:t>
            </w:r>
          </w:p>
        </w:tc>
        <w:tc>
          <w:tcPr>
            <w:tcW w:type="dxa" w:w="1440"/>
            <w:shd w:fill="F8FAFC"/>
          </w:tcPr>
          <w:p>
            <w:r>
              <w:rPr>
                <w:rFonts w:ascii="Calibri" w:hAnsi="Calibri"/>
                <w:color w:val="222222"/>
                <w:sz w:val="17"/>
              </w:rPr>
              <w:t>16,382 hosts</w:t>
            </w:r>
          </w:p>
        </w:tc>
        <w:tc>
          <w:tcPr>
            <w:tcW w:type="dxa" w:w="2016"/>
            <w:shd w:fill="F8FAFC"/>
          </w:tcPr>
          <w:p>
            <w:r>
              <w:rPr>
                <w:rFonts w:ascii="Calibri" w:hAnsi="Calibri"/>
                <w:color w:val="222222"/>
                <w:sz w:val="17"/>
              </w:rPr>
              <w:t>10.10.0.0/16 (Academic)</w:t>
            </w:r>
          </w:p>
        </w:tc>
      </w:tr>
      <w:tr>
        <w:tc>
          <w:tcPr>
            <w:tcW w:type="dxa" w:w="1296"/>
            <w:shd w:fill="FFFFFF"/>
          </w:tcPr>
          <w:p>
            <w:r>
              <w:rPr>
                <w:rFonts w:ascii="Calibri" w:hAnsi="Calibri"/>
                <w:color w:val="222222"/>
                <w:sz w:val="17"/>
              </w:rPr>
              <w:t>Area 10</w:t>
            </w:r>
          </w:p>
        </w:tc>
        <w:tc>
          <w:tcPr>
            <w:tcW w:type="dxa" w:w="2592"/>
            <w:shd w:fill="FFFFFF"/>
          </w:tcPr>
          <w:p>
            <w:r>
              <w:rPr>
                <w:rFonts w:ascii="Calibri" w:hAnsi="Calibri"/>
                <w:color w:val="222222"/>
                <w:sz w:val="17"/>
              </w:rPr>
              <w:t>Main Building &amp; SMV Hexagon</w:t>
            </w:r>
          </w:p>
        </w:tc>
        <w:tc>
          <w:tcPr>
            <w:tcW w:type="dxa" w:w="1584"/>
            <w:shd w:fill="FFFFFF"/>
          </w:tcPr>
          <w:p>
            <w:r>
              <w:rPr>
                <w:rFonts w:ascii="Calibri" w:hAnsi="Calibri"/>
                <w:color w:val="222222"/>
                <w:sz w:val="17"/>
              </w:rPr>
              <w:t>10.10.128.0/18</w:t>
            </w:r>
          </w:p>
        </w:tc>
        <w:tc>
          <w:tcPr>
            <w:tcW w:type="dxa" w:w="1584"/>
            <w:shd w:fill="FFFFFF"/>
          </w:tcPr>
          <w:p>
            <w:r>
              <w:rPr>
                <w:rFonts w:ascii="Calibri" w:hAnsi="Calibri"/>
                <w:color w:val="222222"/>
                <w:sz w:val="17"/>
              </w:rPr>
              <w:t>255.255.192.0</w:t>
            </w:r>
          </w:p>
        </w:tc>
        <w:tc>
          <w:tcPr>
            <w:tcW w:type="dxa" w:w="1872"/>
            <w:shd w:fill="FFFFFF"/>
          </w:tcPr>
          <w:p>
            <w:r>
              <w:rPr>
                <w:rFonts w:ascii="Calibri" w:hAnsi="Calibri"/>
                <w:color w:val="222222"/>
                <w:sz w:val="17"/>
              </w:rPr>
              <w:t>10.10.128.1 - 10.10.191.254</w:t>
            </w:r>
          </w:p>
        </w:tc>
        <w:tc>
          <w:tcPr>
            <w:tcW w:type="dxa" w:w="1440"/>
            <w:shd w:fill="FFFFFF"/>
          </w:tcPr>
          <w:p>
            <w:r>
              <w:rPr>
                <w:rFonts w:ascii="Calibri" w:hAnsi="Calibri"/>
                <w:color w:val="222222"/>
                <w:sz w:val="17"/>
              </w:rPr>
              <w:t>16,382 hosts</w:t>
            </w:r>
          </w:p>
        </w:tc>
        <w:tc>
          <w:tcPr>
            <w:tcW w:type="dxa" w:w="2016"/>
            <w:shd w:fill="FFFFFF"/>
          </w:tcPr>
          <w:p>
            <w:r>
              <w:rPr>
                <w:rFonts w:ascii="Calibri" w:hAnsi="Calibri"/>
                <w:color w:val="222222"/>
                <w:sz w:val="17"/>
              </w:rPr>
              <w:t>10.10.0.0/16 (Academic)</w:t>
            </w:r>
          </w:p>
        </w:tc>
      </w:tr>
      <w:tr>
        <w:tc>
          <w:tcPr>
            <w:tcW w:type="dxa" w:w="1296"/>
            <w:shd w:fill="F8FAFC"/>
          </w:tcPr>
          <w:p>
            <w:r>
              <w:rPr>
                <w:rFonts w:ascii="Calibri" w:hAnsi="Calibri"/>
                <w:color w:val="222222"/>
                <w:sz w:val="17"/>
              </w:rPr>
              <w:t>Area 20</w:t>
            </w:r>
          </w:p>
        </w:tc>
        <w:tc>
          <w:tcPr>
            <w:tcW w:type="dxa" w:w="2592"/>
            <w:shd w:fill="F8FAFC"/>
          </w:tcPr>
          <w:p>
            <w:r>
              <w:rPr>
                <w:rFonts w:ascii="Calibri" w:hAnsi="Calibri"/>
                <w:color w:val="222222"/>
                <w:sz w:val="17"/>
              </w:rPr>
              <w:t>Men's Hostels (MH Blocks A to T)</w:t>
            </w:r>
          </w:p>
        </w:tc>
        <w:tc>
          <w:tcPr>
            <w:tcW w:type="dxa" w:w="1584"/>
            <w:shd w:fill="F8FAFC"/>
          </w:tcPr>
          <w:p>
            <w:r>
              <w:rPr>
                <w:rFonts w:ascii="Calibri" w:hAnsi="Calibri"/>
                <w:color w:val="222222"/>
                <w:sz w:val="17"/>
              </w:rPr>
              <w:t>10.20.0.0/17</w:t>
            </w:r>
          </w:p>
        </w:tc>
        <w:tc>
          <w:tcPr>
            <w:tcW w:type="dxa" w:w="1584"/>
            <w:shd w:fill="F8FAFC"/>
          </w:tcPr>
          <w:p>
            <w:r>
              <w:rPr>
                <w:rFonts w:ascii="Calibri" w:hAnsi="Calibri"/>
                <w:color w:val="222222"/>
                <w:sz w:val="17"/>
              </w:rPr>
              <w:t>255.255.128.0</w:t>
            </w:r>
          </w:p>
        </w:tc>
        <w:tc>
          <w:tcPr>
            <w:tcW w:type="dxa" w:w="1872"/>
            <w:shd w:fill="F8FAFC"/>
          </w:tcPr>
          <w:p>
            <w:r>
              <w:rPr>
                <w:rFonts w:ascii="Calibri" w:hAnsi="Calibri"/>
                <w:color w:val="222222"/>
                <w:sz w:val="17"/>
              </w:rPr>
              <w:t>10.20.0.1 - 10.20.127.254</w:t>
            </w:r>
          </w:p>
        </w:tc>
        <w:tc>
          <w:tcPr>
            <w:tcW w:type="dxa" w:w="1440"/>
            <w:shd w:fill="F8FAFC"/>
          </w:tcPr>
          <w:p>
            <w:r>
              <w:rPr>
                <w:rFonts w:ascii="Calibri" w:hAnsi="Calibri"/>
                <w:color w:val="222222"/>
                <w:sz w:val="17"/>
              </w:rPr>
              <w:t>32,766 hosts</w:t>
            </w:r>
          </w:p>
        </w:tc>
        <w:tc>
          <w:tcPr>
            <w:tcW w:type="dxa" w:w="2016"/>
            <w:shd w:fill="F8FAFC"/>
          </w:tcPr>
          <w:p>
            <w:r>
              <w:rPr>
                <w:rFonts w:ascii="Calibri" w:hAnsi="Calibri"/>
                <w:color w:val="222222"/>
                <w:sz w:val="17"/>
              </w:rPr>
              <w:t>10.20.0.0/16 (Hostels)</w:t>
            </w:r>
          </w:p>
        </w:tc>
      </w:tr>
      <w:tr>
        <w:tc>
          <w:tcPr>
            <w:tcW w:type="dxa" w:w="1296"/>
            <w:shd w:fill="FFFFFF"/>
          </w:tcPr>
          <w:p>
            <w:r>
              <w:rPr>
                <w:rFonts w:ascii="Calibri" w:hAnsi="Calibri"/>
                <w:color w:val="222222"/>
                <w:sz w:val="17"/>
              </w:rPr>
              <w:t>Area 20</w:t>
            </w:r>
          </w:p>
        </w:tc>
        <w:tc>
          <w:tcPr>
            <w:tcW w:type="dxa" w:w="2592"/>
            <w:shd w:fill="FFFFFF"/>
          </w:tcPr>
          <w:p>
            <w:r>
              <w:rPr>
                <w:rFonts w:ascii="Calibri" w:hAnsi="Calibri"/>
                <w:color w:val="222222"/>
                <w:sz w:val="17"/>
              </w:rPr>
              <w:t>Women's Hostels (WH Blocks A to H)</w:t>
            </w:r>
          </w:p>
        </w:tc>
        <w:tc>
          <w:tcPr>
            <w:tcW w:type="dxa" w:w="1584"/>
            <w:shd w:fill="FFFFFF"/>
          </w:tcPr>
          <w:p>
            <w:r>
              <w:rPr>
                <w:rFonts w:ascii="Calibri" w:hAnsi="Calibri"/>
                <w:color w:val="222222"/>
                <w:sz w:val="17"/>
              </w:rPr>
              <w:t>10.20.128.0/17</w:t>
            </w:r>
          </w:p>
        </w:tc>
        <w:tc>
          <w:tcPr>
            <w:tcW w:type="dxa" w:w="1584"/>
            <w:shd w:fill="FFFFFF"/>
          </w:tcPr>
          <w:p>
            <w:r>
              <w:rPr>
                <w:rFonts w:ascii="Calibri" w:hAnsi="Calibri"/>
                <w:color w:val="222222"/>
                <w:sz w:val="17"/>
              </w:rPr>
              <w:t>255.255.128.0</w:t>
            </w:r>
          </w:p>
        </w:tc>
        <w:tc>
          <w:tcPr>
            <w:tcW w:type="dxa" w:w="1872"/>
            <w:shd w:fill="FFFFFF"/>
          </w:tcPr>
          <w:p>
            <w:r>
              <w:rPr>
                <w:rFonts w:ascii="Calibri" w:hAnsi="Calibri"/>
                <w:color w:val="222222"/>
                <w:sz w:val="17"/>
              </w:rPr>
              <w:t>10.20.128.1 - 10.20.255.254</w:t>
            </w:r>
          </w:p>
        </w:tc>
        <w:tc>
          <w:tcPr>
            <w:tcW w:type="dxa" w:w="1440"/>
            <w:shd w:fill="FFFFFF"/>
          </w:tcPr>
          <w:p>
            <w:r>
              <w:rPr>
                <w:rFonts w:ascii="Calibri" w:hAnsi="Calibri"/>
                <w:color w:val="222222"/>
                <w:sz w:val="17"/>
              </w:rPr>
              <w:t>32,766 hosts</w:t>
            </w:r>
          </w:p>
        </w:tc>
        <w:tc>
          <w:tcPr>
            <w:tcW w:type="dxa" w:w="2016"/>
            <w:shd w:fill="FFFFFF"/>
          </w:tcPr>
          <w:p>
            <w:r>
              <w:rPr>
                <w:rFonts w:ascii="Calibri" w:hAnsi="Calibri"/>
                <w:color w:val="222222"/>
                <w:sz w:val="17"/>
              </w:rPr>
              <w:t>10.20.0.0/16 (Hostels)</w:t>
            </w:r>
          </w:p>
        </w:tc>
      </w:tr>
      <w:tr>
        <w:tc>
          <w:tcPr>
            <w:tcW w:type="dxa" w:w="1296"/>
            <w:shd w:fill="F8FAFC"/>
          </w:tcPr>
          <w:p>
            <w:r>
              <w:rPr>
                <w:rFonts w:ascii="Calibri" w:hAnsi="Calibri"/>
                <w:color w:val="222222"/>
                <w:sz w:val="17"/>
              </w:rPr>
              <w:t>Area 30</w:t>
            </w:r>
          </w:p>
        </w:tc>
        <w:tc>
          <w:tcPr>
            <w:tcW w:type="dxa" w:w="2592"/>
            <w:shd w:fill="F8FAFC"/>
          </w:tcPr>
          <w:p>
            <w:r>
              <w:rPr>
                <w:rFonts w:ascii="Calibri" w:hAnsi="Calibri"/>
                <w:color w:val="222222"/>
                <w:sz w:val="17"/>
              </w:rPr>
              <w:t>Gandhi Block Central Admin &amp; DC</w:t>
            </w:r>
          </w:p>
        </w:tc>
        <w:tc>
          <w:tcPr>
            <w:tcW w:type="dxa" w:w="1584"/>
            <w:shd w:fill="F8FAFC"/>
          </w:tcPr>
          <w:p>
            <w:r>
              <w:rPr>
                <w:rFonts w:ascii="Calibri" w:hAnsi="Calibri"/>
                <w:color w:val="222222"/>
                <w:sz w:val="17"/>
              </w:rPr>
              <w:t>10.30.0.0/16</w:t>
            </w:r>
          </w:p>
        </w:tc>
        <w:tc>
          <w:tcPr>
            <w:tcW w:type="dxa" w:w="1584"/>
            <w:shd w:fill="F8FAFC"/>
          </w:tcPr>
          <w:p>
            <w:r>
              <w:rPr>
                <w:rFonts w:ascii="Calibri" w:hAnsi="Calibri"/>
                <w:color w:val="222222"/>
                <w:sz w:val="17"/>
              </w:rPr>
              <w:t>255.255.0.0</w:t>
            </w:r>
          </w:p>
        </w:tc>
        <w:tc>
          <w:tcPr>
            <w:tcW w:type="dxa" w:w="1872"/>
            <w:shd w:fill="F8FAFC"/>
          </w:tcPr>
          <w:p>
            <w:r>
              <w:rPr>
                <w:rFonts w:ascii="Calibri" w:hAnsi="Calibri"/>
                <w:color w:val="222222"/>
                <w:sz w:val="17"/>
              </w:rPr>
              <w:t>10.30.0.1 - 10.30.255.254</w:t>
            </w:r>
          </w:p>
        </w:tc>
        <w:tc>
          <w:tcPr>
            <w:tcW w:type="dxa" w:w="1440"/>
            <w:shd w:fill="F8FAFC"/>
          </w:tcPr>
          <w:p>
            <w:r>
              <w:rPr>
                <w:rFonts w:ascii="Calibri" w:hAnsi="Calibri"/>
                <w:color w:val="222222"/>
                <w:sz w:val="17"/>
              </w:rPr>
              <w:t>65,534 hosts</w:t>
            </w:r>
          </w:p>
        </w:tc>
        <w:tc>
          <w:tcPr>
            <w:tcW w:type="dxa" w:w="2016"/>
            <w:shd w:fill="F8FAFC"/>
          </w:tcPr>
          <w:p>
            <w:r>
              <w:rPr>
                <w:rFonts w:ascii="Calibri" w:hAnsi="Calibri"/>
                <w:color w:val="222222"/>
                <w:sz w:val="17"/>
              </w:rPr>
              <w:t>0.0.0.0/0 (Default Route)</w:t>
            </w:r>
          </w:p>
        </w:tc>
      </w:tr>
      <w:tr>
        <w:tc>
          <w:tcPr>
            <w:tcW w:type="dxa" w:w="1296"/>
            <w:shd w:fill="FFFFFF"/>
          </w:tcPr>
          <w:p>
            <w:r>
              <w:rPr>
                <w:rFonts w:ascii="Calibri" w:hAnsi="Calibri"/>
                <w:color w:val="222222"/>
                <w:sz w:val="17"/>
              </w:rPr>
              <w:t>Area 40</w:t>
            </w:r>
          </w:p>
        </w:tc>
        <w:tc>
          <w:tcPr>
            <w:tcW w:type="dxa" w:w="2592"/>
            <w:shd w:fill="FFFFFF"/>
          </w:tcPr>
          <w:p>
            <w:r>
              <w:rPr>
                <w:rFonts w:ascii="Calibri" w:hAnsi="Calibri"/>
                <w:color w:val="222222"/>
                <w:sz w:val="17"/>
              </w:rPr>
              <w:t>Pearl Research Park (PRP &amp; Labs)</w:t>
            </w:r>
          </w:p>
        </w:tc>
        <w:tc>
          <w:tcPr>
            <w:tcW w:type="dxa" w:w="1584"/>
            <w:shd w:fill="FFFFFF"/>
          </w:tcPr>
          <w:p>
            <w:r>
              <w:rPr>
                <w:rFonts w:ascii="Calibri" w:hAnsi="Calibri"/>
                <w:color w:val="222222"/>
                <w:sz w:val="17"/>
              </w:rPr>
              <w:t>10.40.0.0/16</w:t>
            </w:r>
          </w:p>
        </w:tc>
        <w:tc>
          <w:tcPr>
            <w:tcW w:type="dxa" w:w="1584"/>
            <w:shd w:fill="FFFFFF"/>
          </w:tcPr>
          <w:p>
            <w:r>
              <w:rPr>
                <w:rFonts w:ascii="Calibri" w:hAnsi="Calibri"/>
                <w:color w:val="222222"/>
                <w:sz w:val="17"/>
              </w:rPr>
              <w:t>255.255.0.0</w:t>
            </w:r>
          </w:p>
        </w:tc>
        <w:tc>
          <w:tcPr>
            <w:tcW w:type="dxa" w:w="1872"/>
            <w:shd w:fill="FFFFFF"/>
          </w:tcPr>
          <w:p>
            <w:r>
              <w:rPr>
                <w:rFonts w:ascii="Calibri" w:hAnsi="Calibri"/>
                <w:color w:val="222222"/>
                <w:sz w:val="17"/>
              </w:rPr>
              <w:t>10.40.0.1 - 10.40.255.254</w:t>
            </w:r>
          </w:p>
        </w:tc>
        <w:tc>
          <w:tcPr>
            <w:tcW w:type="dxa" w:w="1440"/>
            <w:shd w:fill="FFFFFF"/>
          </w:tcPr>
          <w:p>
            <w:r>
              <w:rPr>
                <w:rFonts w:ascii="Calibri" w:hAnsi="Calibri"/>
                <w:color w:val="222222"/>
                <w:sz w:val="17"/>
              </w:rPr>
              <w:t>65,534 hosts</w:t>
            </w:r>
          </w:p>
        </w:tc>
        <w:tc>
          <w:tcPr>
            <w:tcW w:type="dxa" w:w="2016"/>
            <w:shd w:fill="FFFFFF"/>
          </w:tcPr>
          <w:p>
            <w:r>
              <w:rPr>
                <w:rFonts w:ascii="Calibri" w:hAnsi="Calibri"/>
                <w:color w:val="222222"/>
                <w:sz w:val="17"/>
              </w:rPr>
              <w:t>10.40.0.0/16 (Type-5/7 NSSA)</w:t>
            </w:r>
          </w:p>
        </w:tc>
      </w:tr>
    </w:tbl>
    <w:p>
      <w:pPr>
        <w:keepNext/>
        <w:spacing w:before="280" w:after="80"/>
      </w:pPr>
      <w:r>
        <w:rPr>
          <w:rFonts w:ascii="Arial" w:hAnsi="Arial"/>
          <w:b/>
          <w:color w:val="006699"/>
          <w:sz w:val="25"/>
        </w:rPr>
        <w:t>5.2 Inter-Area Route Summarization Mechanics</w:t>
      </w:r>
    </w:p>
    <w:p>
      <w:pPr>
        <w:spacing w:after="100" w:line="276" w:lineRule="auto"/>
      </w:pPr>
      <w:r>
        <w:rPr>
          <w:rFonts w:ascii="Calibri" w:hAnsi="Calibri"/>
          <w:color w:val="222222"/>
          <w:sz w:val="21"/>
        </w:rPr>
        <w:t>Without route summarization, every single subnet in Area 10, Area 20, Area 30, and Area 40 would be advertised into Area 0 as an individual Type-3 Summary LSA. By applying the Cisco IOS command `area &lt;id&gt; range &lt;ip&gt; &lt;mask&gt;` on the respective ABRs, all contiguous subnets within an area are compressed into a single summary advertisement.</w:t>
      </w:r>
    </w:p>
    <w:p>
      <w:pPr>
        <w:spacing w:before="80" w:after="160" w:line="252" w:lineRule="auto"/>
        <w:shd w:fill="0B1220"/>
      </w:pPr>
      <w:r>
        <w:rPr>
          <w:rFonts w:ascii="Consolas" w:hAnsi="Consolas"/>
          <w:color w:val="A7F3D0"/>
          <w:sz w:val="17"/>
        </w:rPr>
        <w:t>! Configuration on SJT-ABR &amp; TT-ABR (Area 10 Boundary)</w:t>
        <w:br/>
        <w:t>router ospf 1</w:t>
        <w:br/>
        <w:t xml:space="preserve"> area 10 range 10.10.0.0 255.255.0.0</w:t>
        <w:br/>
        <w:br/>
        <w:t>! Configuration on MH-ABR &amp; WH-ABR (Area 20 Boundary)</w:t>
        <w:br/>
        <w:t>router ospf 1</w:t>
        <w:br/>
        <w:t xml:space="preserve"> area 20 range 10.20.0.0 255.255.0.0</w:t>
      </w:r>
    </w:p>
    <w:p>
      <w:pPr>
        <w:spacing w:after="100" w:line="276" w:lineRule="auto"/>
      </w:pPr>
      <w:r>
        <w:rPr>
          <w:rFonts w:ascii="Calibri" w:hAnsi="Calibri"/>
          <w:b/>
          <w:color w:val="0F172A"/>
          <w:sz w:val="21"/>
        </w:rPr>
        <w:t xml:space="preserve">Quantitative Result: </w:t>
      </w:r>
      <w:r>
        <w:rPr>
          <w:rFonts w:ascii="Calibri" w:hAnsi="Calibri"/>
          <w:color w:val="222222"/>
          <w:sz w:val="21"/>
        </w:rPr>
        <w:t>Impact on Backbone Routing Table:</w:t>
      </w:r>
    </w:p>
    <w:p>
      <w:pPr>
        <w:spacing w:after="100" w:line="276" w:lineRule="auto"/>
      </w:pPr>
      <w:r>
        <w:rPr>
          <w:rFonts w:ascii="Calibri" w:hAnsi="Calibri"/>
          <w:color w:val="222222"/>
          <w:sz w:val="21"/>
        </w:rPr>
        <w:t>The total number of routes maintained in the CTS Core 1 FIB is compressed from 248 individual building VLAN subnets down to just 4 aggregated CIDR entries, representing a 98.4% reduction in forwarding table size and zero route-churn propagation.</w:t>
      </w:r>
    </w:p>
    <w:p>
      <w:r>
        <w:br w:type="page"/>
      </w:r>
    </w:p>
    <w:p>
      <w:pPr>
        <w:keepNext/>
        <w:spacing w:before="360" w:after="120"/>
      </w:pPr>
      <w:r>
        <w:rPr>
          <w:rFonts w:ascii="Arial" w:hAnsi="Arial"/>
          <w:b/>
          <w:color w:val="003366"/>
          <w:sz w:val="30"/>
        </w:rPr>
        <w:t>6. OSPFv2 PROTOCOL MECHANICS &amp; COMPLETE PACKET STRUCTURE ANALYSIS</w:t>
      </w:r>
    </w:p>
    <w:p>
      <w:pPr>
        <w:spacing w:after="100" w:line="276" w:lineRule="auto"/>
      </w:pPr>
      <w:r>
        <w:rPr>
          <w:rFonts w:ascii="Calibri" w:hAnsi="Calibri"/>
          <w:color w:val="222222"/>
          <w:sz w:val="21"/>
        </w:rPr>
        <w:t>OSPF Version 2 operates directly above the IP transport layer, utilizing IP protocol number 89 (encapsulated without UDP or TCP headers). To guarantee reliability across diverse link media, OSPF incorporates its own sequence-numbering, acknowledgment, and retransmission mechanisms.</w:t>
      </w:r>
    </w:p>
    <w:p>
      <w:pPr>
        <w:keepNext/>
        <w:spacing w:before="280" w:after="80"/>
      </w:pPr>
      <w:r>
        <w:rPr>
          <w:rFonts w:ascii="Arial" w:hAnsi="Arial"/>
          <w:b/>
          <w:color w:val="006699"/>
          <w:sz w:val="25"/>
        </w:rPr>
        <w:t>6.1 Standard 24-Byte OSPF Packet Header</w:t>
      </w:r>
    </w:p>
    <w:p>
      <w:pPr>
        <w:spacing w:after="100" w:line="276" w:lineRule="auto"/>
      </w:pPr>
      <w:r>
        <w:rPr>
          <w:rFonts w:ascii="Calibri" w:hAnsi="Calibri"/>
          <w:color w:val="222222"/>
          <w:sz w:val="21"/>
        </w:rPr>
        <w:t>Every OSPF packet begins with an unalterable 24-byte header structured as follows:</w:t>
      </w:r>
    </w:p>
    <w:tbl>
      <w:tblPr>
        <w:tblW w:type="auto" w:w="0"/>
        <w:jc w:val="center"/>
        <w:tblLook w:firstColumn="1" w:firstRow="1" w:lastColumn="0" w:lastRow="0" w:noHBand="0" w:noVBand="1" w:val="04A0"/>
      </w:tblPr>
      <w:tblGrid>
        <w:gridCol w:w="3312"/>
        <w:gridCol w:w="3312"/>
        <w:gridCol w:w="3312"/>
      </w:tblGrid>
      <w:tr>
        <w:tc>
          <w:tcPr>
            <w:tcW w:type="dxa" w:w="3168"/>
            <w:shd w:fill="003366"/>
          </w:tcPr>
          <w:p>
            <w:pPr>
              <w:jc w:val="center"/>
            </w:pPr>
            <w:r>
              <w:rPr>
                <w:rFonts w:ascii="Arial" w:hAnsi="Arial"/>
                <w:b/>
                <w:color w:val="FFFFFF"/>
                <w:sz w:val="18"/>
              </w:rPr>
              <w:t>Byte Offset / Field Name</w:t>
            </w:r>
          </w:p>
        </w:tc>
        <w:tc>
          <w:tcPr>
            <w:tcW w:type="dxa" w:w="1872"/>
            <w:shd w:fill="003366"/>
          </w:tcPr>
          <w:p>
            <w:pPr>
              <w:jc w:val="center"/>
            </w:pPr>
            <w:r>
              <w:rPr>
                <w:rFonts w:ascii="Arial" w:hAnsi="Arial"/>
                <w:b/>
                <w:color w:val="FFFFFF"/>
                <w:sz w:val="18"/>
              </w:rPr>
              <w:t>Field Length</w:t>
            </w:r>
          </w:p>
        </w:tc>
        <w:tc>
          <w:tcPr>
            <w:tcW w:type="dxa" w:w="5760"/>
            <w:shd w:fill="003366"/>
          </w:tcPr>
          <w:p>
            <w:pPr>
              <w:jc w:val="center"/>
            </w:pPr>
            <w:r>
              <w:rPr>
                <w:rFonts w:ascii="Arial" w:hAnsi="Arial"/>
                <w:b/>
                <w:color w:val="FFFFFF"/>
                <w:sz w:val="18"/>
              </w:rPr>
              <w:t>Architectural Description &amp; Functional Purpose</w:t>
            </w:r>
          </w:p>
        </w:tc>
      </w:tr>
      <w:tr>
        <w:tc>
          <w:tcPr>
            <w:tcW w:type="dxa" w:w="3168"/>
            <w:shd w:fill="F8FAFC"/>
          </w:tcPr>
          <w:p>
            <w:r>
              <w:rPr>
                <w:rFonts w:ascii="Calibri" w:hAnsi="Calibri"/>
                <w:color w:val="222222"/>
                <w:sz w:val="17"/>
              </w:rPr>
              <w:t>Version (Byte 0)</w:t>
            </w:r>
          </w:p>
        </w:tc>
        <w:tc>
          <w:tcPr>
            <w:tcW w:type="dxa" w:w="1872"/>
            <w:shd w:fill="F8FAFC"/>
          </w:tcPr>
          <w:p>
            <w:r>
              <w:rPr>
                <w:rFonts w:ascii="Calibri" w:hAnsi="Calibri"/>
                <w:color w:val="222222"/>
                <w:sz w:val="17"/>
              </w:rPr>
              <w:t>8 bits</w:t>
            </w:r>
          </w:p>
        </w:tc>
        <w:tc>
          <w:tcPr>
            <w:tcW w:type="dxa" w:w="5760"/>
            <w:shd w:fill="F8FAFC"/>
          </w:tcPr>
          <w:p>
            <w:r>
              <w:rPr>
                <w:rFonts w:ascii="Calibri" w:hAnsi="Calibri"/>
                <w:color w:val="222222"/>
                <w:sz w:val="17"/>
              </w:rPr>
              <w:t>Set to 0x02 for OSPFv2 (RFC 2328).</w:t>
            </w:r>
          </w:p>
        </w:tc>
      </w:tr>
      <w:tr>
        <w:tc>
          <w:tcPr>
            <w:tcW w:type="dxa" w:w="3168"/>
            <w:shd w:fill="FFFFFF"/>
          </w:tcPr>
          <w:p>
            <w:r>
              <w:rPr>
                <w:rFonts w:ascii="Calibri" w:hAnsi="Calibri"/>
                <w:color w:val="222222"/>
                <w:sz w:val="17"/>
              </w:rPr>
              <w:t>Type (Byte 1)</w:t>
            </w:r>
          </w:p>
        </w:tc>
        <w:tc>
          <w:tcPr>
            <w:tcW w:type="dxa" w:w="1872"/>
            <w:shd w:fill="FFFFFF"/>
          </w:tcPr>
          <w:p>
            <w:r>
              <w:rPr>
                <w:rFonts w:ascii="Calibri" w:hAnsi="Calibri"/>
                <w:color w:val="222222"/>
                <w:sz w:val="17"/>
              </w:rPr>
              <w:t>8 bits</w:t>
            </w:r>
          </w:p>
        </w:tc>
        <w:tc>
          <w:tcPr>
            <w:tcW w:type="dxa" w:w="5760"/>
            <w:shd w:fill="FFFFFF"/>
          </w:tcPr>
          <w:p>
            <w:r>
              <w:rPr>
                <w:rFonts w:ascii="Calibri" w:hAnsi="Calibri"/>
                <w:color w:val="222222"/>
                <w:sz w:val="17"/>
              </w:rPr>
              <w:t>Identifies packet type: 1=Hello, 2=DBD, 3=LSR, 4=LSU, 5=LSAck.</w:t>
            </w:r>
          </w:p>
        </w:tc>
      </w:tr>
      <w:tr>
        <w:tc>
          <w:tcPr>
            <w:tcW w:type="dxa" w:w="3168"/>
            <w:shd w:fill="F8FAFC"/>
          </w:tcPr>
          <w:p>
            <w:r>
              <w:rPr>
                <w:rFonts w:ascii="Calibri" w:hAnsi="Calibri"/>
                <w:color w:val="222222"/>
                <w:sz w:val="17"/>
              </w:rPr>
              <w:t>Packet Length (Bytes 2-3)</w:t>
            </w:r>
          </w:p>
        </w:tc>
        <w:tc>
          <w:tcPr>
            <w:tcW w:type="dxa" w:w="1872"/>
            <w:shd w:fill="F8FAFC"/>
          </w:tcPr>
          <w:p>
            <w:r>
              <w:rPr>
                <w:rFonts w:ascii="Calibri" w:hAnsi="Calibri"/>
                <w:color w:val="222222"/>
                <w:sz w:val="17"/>
              </w:rPr>
              <w:t>16 bits</w:t>
            </w:r>
          </w:p>
        </w:tc>
        <w:tc>
          <w:tcPr>
            <w:tcW w:type="dxa" w:w="5760"/>
            <w:shd w:fill="F8FAFC"/>
          </w:tcPr>
          <w:p>
            <w:r>
              <w:rPr>
                <w:rFonts w:ascii="Calibri" w:hAnsi="Calibri"/>
                <w:color w:val="222222"/>
                <w:sz w:val="17"/>
              </w:rPr>
              <w:t>Total length of the OSPF packet including the 24-byte header.</w:t>
            </w:r>
          </w:p>
        </w:tc>
      </w:tr>
      <w:tr>
        <w:tc>
          <w:tcPr>
            <w:tcW w:type="dxa" w:w="3168"/>
            <w:shd w:fill="FFFFFF"/>
          </w:tcPr>
          <w:p>
            <w:r>
              <w:rPr>
                <w:rFonts w:ascii="Calibri" w:hAnsi="Calibri"/>
                <w:color w:val="222222"/>
                <w:sz w:val="17"/>
              </w:rPr>
              <w:t>Router ID (Bytes 4-7)</w:t>
            </w:r>
          </w:p>
        </w:tc>
        <w:tc>
          <w:tcPr>
            <w:tcW w:type="dxa" w:w="1872"/>
            <w:shd w:fill="FFFFFF"/>
          </w:tcPr>
          <w:p>
            <w:r>
              <w:rPr>
                <w:rFonts w:ascii="Calibri" w:hAnsi="Calibri"/>
                <w:color w:val="222222"/>
                <w:sz w:val="17"/>
              </w:rPr>
              <w:t>32 bits</w:t>
            </w:r>
          </w:p>
        </w:tc>
        <w:tc>
          <w:tcPr>
            <w:tcW w:type="dxa" w:w="5760"/>
            <w:shd w:fill="FFFFFF"/>
          </w:tcPr>
          <w:p>
            <w:r>
              <w:rPr>
                <w:rFonts w:ascii="Calibri" w:hAnsi="Calibri"/>
                <w:color w:val="222222"/>
                <w:sz w:val="17"/>
              </w:rPr>
              <w:t>Unique 32-bit IPv4 identifier of the originating router (e.g., 10.0.0.1 for CTS-Core1).</w:t>
            </w:r>
          </w:p>
        </w:tc>
      </w:tr>
      <w:tr>
        <w:tc>
          <w:tcPr>
            <w:tcW w:type="dxa" w:w="3168"/>
            <w:shd w:fill="F8FAFC"/>
          </w:tcPr>
          <w:p>
            <w:r>
              <w:rPr>
                <w:rFonts w:ascii="Calibri" w:hAnsi="Calibri"/>
                <w:color w:val="222222"/>
                <w:sz w:val="17"/>
              </w:rPr>
              <w:t>Area ID (Bytes 8-11)</w:t>
            </w:r>
          </w:p>
        </w:tc>
        <w:tc>
          <w:tcPr>
            <w:tcW w:type="dxa" w:w="1872"/>
            <w:shd w:fill="F8FAFC"/>
          </w:tcPr>
          <w:p>
            <w:r>
              <w:rPr>
                <w:rFonts w:ascii="Calibri" w:hAnsi="Calibri"/>
                <w:color w:val="222222"/>
                <w:sz w:val="17"/>
              </w:rPr>
              <w:t>32 bits</w:t>
            </w:r>
          </w:p>
        </w:tc>
        <w:tc>
          <w:tcPr>
            <w:tcW w:type="dxa" w:w="5760"/>
            <w:shd w:fill="F8FAFC"/>
          </w:tcPr>
          <w:p>
            <w:r>
              <w:rPr>
                <w:rFonts w:ascii="Calibri" w:hAnsi="Calibri"/>
                <w:color w:val="222222"/>
                <w:sz w:val="17"/>
              </w:rPr>
              <w:t>Identifies the area to which the packet belongs (0.0.0.0 for Backbone, 0.0.0.10 for Academic).</w:t>
            </w:r>
          </w:p>
        </w:tc>
      </w:tr>
      <w:tr>
        <w:tc>
          <w:tcPr>
            <w:tcW w:type="dxa" w:w="3168"/>
            <w:shd w:fill="FFFFFF"/>
          </w:tcPr>
          <w:p>
            <w:r>
              <w:rPr>
                <w:rFonts w:ascii="Calibri" w:hAnsi="Calibri"/>
                <w:color w:val="222222"/>
                <w:sz w:val="17"/>
              </w:rPr>
              <w:t>Checksum (Bytes 12-13)</w:t>
            </w:r>
          </w:p>
        </w:tc>
        <w:tc>
          <w:tcPr>
            <w:tcW w:type="dxa" w:w="1872"/>
            <w:shd w:fill="FFFFFF"/>
          </w:tcPr>
          <w:p>
            <w:r>
              <w:rPr>
                <w:rFonts w:ascii="Calibri" w:hAnsi="Calibri"/>
                <w:color w:val="222222"/>
                <w:sz w:val="17"/>
              </w:rPr>
              <w:t>16 bits</w:t>
            </w:r>
          </w:p>
        </w:tc>
        <w:tc>
          <w:tcPr>
            <w:tcW w:type="dxa" w:w="5760"/>
            <w:shd w:fill="FFFFFF"/>
          </w:tcPr>
          <w:p>
            <w:r>
              <w:rPr>
                <w:rFonts w:ascii="Calibri" w:hAnsi="Calibri"/>
                <w:color w:val="222222"/>
                <w:sz w:val="17"/>
              </w:rPr>
              <w:t>Standard Fletcher checksum verifying packet integrity; covers entire packet except authentication.</w:t>
            </w:r>
          </w:p>
        </w:tc>
      </w:tr>
      <w:tr>
        <w:tc>
          <w:tcPr>
            <w:tcW w:type="dxa" w:w="3168"/>
            <w:shd w:fill="F8FAFC"/>
          </w:tcPr>
          <w:p>
            <w:r>
              <w:rPr>
                <w:rFonts w:ascii="Calibri" w:hAnsi="Calibri"/>
                <w:color w:val="222222"/>
                <w:sz w:val="17"/>
              </w:rPr>
              <w:t>AuType (Bytes 14-15)</w:t>
            </w:r>
          </w:p>
        </w:tc>
        <w:tc>
          <w:tcPr>
            <w:tcW w:type="dxa" w:w="1872"/>
            <w:shd w:fill="F8FAFC"/>
          </w:tcPr>
          <w:p>
            <w:r>
              <w:rPr>
                <w:rFonts w:ascii="Calibri" w:hAnsi="Calibri"/>
                <w:color w:val="222222"/>
                <w:sz w:val="17"/>
              </w:rPr>
              <w:t>16 bits</w:t>
            </w:r>
          </w:p>
        </w:tc>
        <w:tc>
          <w:tcPr>
            <w:tcW w:type="dxa" w:w="5760"/>
            <w:shd w:fill="F8FAFC"/>
          </w:tcPr>
          <w:p>
            <w:r>
              <w:rPr>
                <w:rFonts w:ascii="Calibri" w:hAnsi="Calibri"/>
                <w:color w:val="222222"/>
                <w:sz w:val="17"/>
              </w:rPr>
              <w:t>Authentication scheme: 0=Null, 1=Simple Password, 2=Cryptographic (HMAC-MD5).</w:t>
            </w:r>
          </w:p>
        </w:tc>
      </w:tr>
      <w:tr>
        <w:tc>
          <w:tcPr>
            <w:tcW w:type="dxa" w:w="3168"/>
            <w:shd w:fill="FFFFFF"/>
          </w:tcPr>
          <w:p>
            <w:r>
              <w:rPr>
                <w:rFonts w:ascii="Calibri" w:hAnsi="Calibri"/>
                <w:color w:val="222222"/>
                <w:sz w:val="17"/>
              </w:rPr>
              <w:t>Authentication (Bytes 16-23)</w:t>
            </w:r>
          </w:p>
        </w:tc>
        <w:tc>
          <w:tcPr>
            <w:tcW w:type="dxa" w:w="1872"/>
            <w:shd w:fill="FFFFFF"/>
          </w:tcPr>
          <w:p>
            <w:r>
              <w:rPr>
                <w:rFonts w:ascii="Calibri" w:hAnsi="Calibri"/>
                <w:color w:val="222222"/>
                <w:sz w:val="17"/>
              </w:rPr>
              <w:t>64 bits</w:t>
            </w:r>
          </w:p>
        </w:tc>
        <w:tc>
          <w:tcPr>
            <w:tcW w:type="dxa" w:w="5760"/>
            <w:shd w:fill="FFFFFF"/>
          </w:tcPr>
          <w:p>
            <w:r>
              <w:rPr>
                <w:rFonts w:ascii="Calibri" w:hAnsi="Calibri"/>
                <w:color w:val="222222"/>
                <w:sz w:val="17"/>
              </w:rPr>
              <w:t>Contains Key ID, digest length, and cryptographic sequence number for Type 2.</w:t>
            </w:r>
          </w:p>
        </w:tc>
      </w:tr>
    </w:tbl>
    <w:p>
      <w:pPr>
        <w:keepNext/>
        <w:spacing w:before="280" w:after="80"/>
      </w:pPr>
      <w:r>
        <w:rPr>
          <w:rFonts w:ascii="Arial" w:hAnsi="Arial"/>
          <w:b/>
          <w:color w:val="006699"/>
          <w:sz w:val="25"/>
        </w:rPr>
        <w:t>6.2 Five OSPF Packet Types &amp; Their Operational Exchange</w:t>
      </w:r>
    </w:p>
    <w:p>
      <w:pPr>
        <w:pStyle w:val="ListBullet"/>
        <w:spacing w:after="60" w:line="276" w:lineRule="auto"/>
      </w:pPr>
      <w:r>
        <w:rPr>
          <w:rFonts w:ascii="Calibri" w:hAnsi="Calibri"/>
          <w:b/>
          <w:color w:val="0F172A"/>
          <w:sz w:val="21"/>
        </w:rPr>
        <w:t xml:space="preserve">1. Type 1 - </w:t>
      </w:r>
      <w:r>
        <w:rPr>
          <w:rFonts w:ascii="Calibri" w:hAnsi="Calibri"/>
          <w:color w:val="222222"/>
          <w:sz w:val="21"/>
        </w:rPr>
        <w:t>Hello Packet (Type 1): Multicast periodically to 224.0.0.5 to discover neighbors, negotiate operational parameters (Hello Interval, Dead Interval, Area ID, Stub flags), and maintain bidirectional adjacencies.</w:t>
      </w:r>
    </w:p>
    <w:p>
      <w:pPr>
        <w:pStyle w:val="ListBullet"/>
        <w:spacing w:after="60" w:line="276" w:lineRule="auto"/>
      </w:pPr>
      <w:r>
        <w:rPr>
          <w:rFonts w:ascii="Calibri" w:hAnsi="Calibri"/>
          <w:b/>
          <w:color w:val="0F172A"/>
          <w:sz w:val="21"/>
        </w:rPr>
        <w:t xml:space="preserve">2. Type 2 - </w:t>
      </w:r>
      <w:r>
        <w:rPr>
          <w:rFonts w:ascii="Calibri" w:hAnsi="Calibri"/>
          <w:color w:val="222222"/>
          <w:sz w:val="21"/>
        </w:rPr>
        <w:t>Database Description / DBD (Type 2): Exchanged during the Exchange state; lists summary LSA headers in the router's LSDB so the neighbor can determine which LSAs are missing or outdated.</w:t>
      </w:r>
    </w:p>
    <w:p>
      <w:pPr>
        <w:pStyle w:val="ListBullet"/>
        <w:spacing w:after="60" w:line="276" w:lineRule="auto"/>
      </w:pPr>
      <w:r>
        <w:rPr>
          <w:rFonts w:ascii="Calibri" w:hAnsi="Calibri"/>
          <w:b/>
          <w:color w:val="0F172A"/>
          <w:sz w:val="21"/>
        </w:rPr>
        <w:t xml:space="preserve">3. Type 3 - </w:t>
      </w:r>
      <w:r>
        <w:rPr>
          <w:rFonts w:ascii="Calibri" w:hAnsi="Calibri"/>
          <w:color w:val="222222"/>
          <w:sz w:val="21"/>
        </w:rPr>
        <w:t>Link-State Request / LSR (Type 3): Sent during the Loading state to explicitly request missing or newer LSAs identified during the DBD exchange.</w:t>
      </w:r>
    </w:p>
    <w:p>
      <w:pPr>
        <w:pStyle w:val="ListBullet"/>
        <w:spacing w:after="60" w:line="276" w:lineRule="auto"/>
      </w:pPr>
      <w:r>
        <w:rPr>
          <w:rFonts w:ascii="Calibri" w:hAnsi="Calibri"/>
          <w:b/>
          <w:color w:val="0F172A"/>
          <w:sz w:val="21"/>
        </w:rPr>
        <w:t xml:space="preserve">4. Type 4 - </w:t>
      </w:r>
      <w:r>
        <w:rPr>
          <w:rFonts w:ascii="Calibri" w:hAnsi="Calibri"/>
          <w:color w:val="222222"/>
          <w:sz w:val="21"/>
        </w:rPr>
        <w:t>Link-State Update / LSU (Type 4): Transports full Link-State Advertisements (LSAs) in response to LSR packets or when an active link changes state. LSU packets are flooded across an area.</w:t>
      </w:r>
    </w:p>
    <w:p>
      <w:pPr>
        <w:pStyle w:val="ListBullet"/>
        <w:spacing w:after="60" w:line="276" w:lineRule="auto"/>
      </w:pPr>
      <w:r>
        <w:rPr>
          <w:rFonts w:ascii="Calibri" w:hAnsi="Calibri"/>
          <w:b/>
          <w:color w:val="0F172A"/>
          <w:sz w:val="21"/>
        </w:rPr>
        <w:t xml:space="preserve">5. Type 5 - </w:t>
      </w:r>
      <w:r>
        <w:rPr>
          <w:rFonts w:ascii="Calibri" w:hAnsi="Calibri"/>
          <w:color w:val="222222"/>
          <w:sz w:val="21"/>
        </w:rPr>
        <w:t>Link-State Acknowledgment / LSAck (Type 5): Confirms receipt of LSU packets to guarantee reliable hop-by-hop flooding without relying on transport-layer acknowledgments.</w:t>
      </w:r>
    </w:p>
    <w:p>
      <w:pPr>
        <w:keepNext/>
        <w:spacing w:before="280" w:after="80"/>
      </w:pPr>
      <w:r>
        <w:rPr>
          <w:rFonts w:ascii="Arial" w:hAnsi="Arial"/>
          <w:b/>
          <w:color w:val="006699"/>
          <w:sz w:val="25"/>
        </w:rPr>
        <w:t>6.3 OSPF Eight-State Neighbor Finite State Machine (FSM)</w:t>
      </w:r>
    </w:p>
    <w:p>
      <w:pPr>
        <w:spacing w:after="100" w:line="276" w:lineRule="auto"/>
      </w:pPr>
      <w:r>
        <w:rPr>
          <w:rFonts w:ascii="Calibri" w:hAnsi="Calibri"/>
          <w:color w:val="222222"/>
          <w:sz w:val="21"/>
        </w:rPr>
        <w:t>Adjacency formation between any two routers proceeds through 8 sequential states:</w:t>
      </w:r>
    </w:p>
    <w:p>
      <w:pPr>
        <w:pStyle w:val="ListBullet"/>
        <w:spacing w:after="60" w:line="276" w:lineRule="auto"/>
      </w:pPr>
      <w:r>
        <w:rPr>
          <w:rFonts w:ascii="Calibri" w:hAnsi="Calibri"/>
          <w:b/>
          <w:color w:val="0F172A"/>
          <w:sz w:val="21"/>
        </w:rPr>
        <w:t xml:space="preserve">State 1 - </w:t>
      </w:r>
      <w:r>
        <w:rPr>
          <w:rFonts w:ascii="Calibri" w:hAnsi="Calibri"/>
          <w:color w:val="222222"/>
          <w:sz w:val="21"/>
        </w:rPr>
        <w:t>Down: Initial state; no Hello packets have been received from the neighbor.</w:t>
      </w:r>
    </w:p>
    <w:p>
      <w:pPr>
        <w:pStyle w:val="ListBullet"/>
        <w:spacing w:after="60" w:line="276" w:lineRule="auto"/>
      </w:pPr>
      <w:r>
        <w:rPr>
          <w:rFonts w:ascii="Calibri" w:hAnsi="Calibri"/>
          <w:b/>
          <w:color w:val="0F172A"/>
          <w:sz w:val="21"/>
        </w:rPr>
        <w:t xml:space="preserve">State 2 - </w:t>
      </w:r>
      <w:r>
        <w:rPr>
          <w:rFonts w:ascii="Calibri" w:hAnsi="Calibri"/>
          <w:color w:val="222222"/>
          <w:sz w:val="21"/>
        </w:rPr>
        <w:t>Attempt: Used strictly on Non-Broadcast Multi-Access (NBMA) networks where neighbors are manually configured.</w:t>
      </w:r>
    </w:p>
    <w:p>
      <w:pPr>
        <w:pStyle w:val="ListBullet"/>
        <w:spacing w:after="60" w:line="276" w:lineRule="auto"/>
      </w:pPr>
      <w:r>
        <w:rPr>
          <w:rFonts w:ascii="Calibri" w:hAnsi="Calibri"/>
          <w:b/>
          <w:color w:val="0F172A"/>
          <w:sz w:val="21"/>
        </w:rPr>
        <w:t xml:space="preserve">State 3 - </w:t>
      </w:r>
      <w:r>
        <w:rPr>
          <w:rFonts w:ascii="Calibri" w:hAnsi="Calibri"/>
          <w:color w:val="222222"/>
          <w:sz w:val="21"/>
        </w:rPr>
        <w:t>Init: A Hello packet has been received from the neighbor, but the local router's ID is not yet listed in the neighbor's Hello packet (unidirectional communication).</w:t>
      </w:r>
    </w:p>
    <w:p>
      <w:pPr>
        <w:pStyle w:val="ListBullet"/>
        <w:spacing w:after="60" w:line="276" w:lineRule="auto"/>
      </w:pPr>
      <w:r>
        <w:rPr>
          <w:rFonts w:ascii="Calibri" w:hAnsi="Calibri"/>
          <w:b/>
          <w:color w:val="0F172A"/>
          <w:sz w:val="21"/>
        </w:rPr>
        <w:t xml:space="preserve">State 4 - </w:t>
      </w:r>
      <w:r>
        <w:rPr>
          <w:rFonts w:ascii="Calibri" w:hAnsi="Calibri"/>
          <w:color w:val="222222"/>
          <w:sz w:val="21"/>
        </w:rPr>
        <w:t>2-Way: Bidirectional communication verified (each router sees its own RID in the other's Hello). On broadcast links, the Designated Router (DR) and Backup Designated Router (BDR) election occurs in this state. Non-DR/BDR routers remain in 2-Way (DROther state).</w:t>
      </w:r>
    </w:p>
    <w:p>
      <w:pPr>
        <w:pStyle w:val="ListBullet"/>
        <w:spacing w:after="60" w:line="276" w:lineRule="auto"/>
      </w:pPr>
      <w:r>
        <w:rPr>
          <w:rFonts w:ascii="Calibri" w:hAnsi="Calibri"/>
          <w:b/>
          <w:color w:val="0F172A"/>
          <w:sz w:val="21"/>
        </w:rPr>
        <w:t xml:space="preserve">State 5 - </w:t>
      </w:r>
      <w:r>
        <w:rPr>
          <w:rFonts w:ascii="Calibri" w:hAnsi="Calibri"/>
          <w:color w:val="222222"/>
          <w:sz w:val="21"/>
        </w:rPr>
        <w:t>ExStart: Routers establish a master/slave relationship and negotiate the initial sequence number for Database Description (DBD) exchange.</w:t>
      </w:r>
    </w:p>
    <w:p>
      <w:pPr>
        <w:pStyle w:val="ListBullet"/>
        <w:spacing w:after="60" w:line="276" w:lineRule="auto"/>
      </w:pPr>
      <w:r>
        <w:rPr>
          <w:rFonts w:ascii="Calibri" w:hAnsi="Calibri"/>
          <w:b/>
          <w:color w:val="0F172A"/>
          <w:sz w:val="21"/>
        </w:rPr>
        <w:t xml:space="preserve">State 6 - </w:t>
      </w:r>
      <w:r>
        <w:rPr>
          <w:rFonts w:ascii="Calibri" w:hAnsi="Calibri"/>
          <w:color w:val="222222"/>
          <w:sz w:val="21"/>
        </w:rPr>
        <w:t>Exchange: Routers exchange DBD packets describing the contents of their entire Link-State Databases.</w:t>
      </w:r>
    </w:p>
    <w:p>
      <w:pPr>
        <w:pStyle w:val="ListBullet"/>
        <w:spacing w:after="60" w:line="276" w:lineRule="auto"/>
      </w:pPr>
      <w:r>
        <w:rPr>
          <w:rFonts w:ascii="Calibri" w:hAnsi="Calibri"/>
          <w:b/>
          <w:color w:val="0F172A"/>
          <w:sz w:val="21"/>
        </w:rPr>
        <w:t xml:space="preserve">State 7 - </w:t>
      </w:r>
      <w:r>
        <w:rPr>
          <w:rFonts w:ascii="Calibri" w:hAnsi="Calibri"/>
          <w:color w:val="222222"/>
          <w:sz w:val="21"/>
        </w:rPr>
        <w:t>Loading: Routers send Link-State Requests (LSR) for missing or more recent LSAs and receive full Link-State Updates (LSU).</w:t>
      </w:r>
    </w:p>
    <w:p>
      <w:pPr>
        <w:pStyle w:val="ListBullet"/>
        <w:spacing w:after="60" w:line="276" w:lineRule="auto"/>
      </w:pPr>
      <w:r>
        <w:rPr>
          <w:rFonts w:ascii="Calibri" w:hAnsi="Calibri"/>
          <w:b/>
          <w:color w:val="0F172A"/>
          <w:sz w:val="21"/>
        </w:rPr>
        <w:t xml:space="preserve">State 8 - </w:t>
      </w:r>
      <w:r>
        <w:rPr>
          <w:rFonts w:ascii="Calibri" w:hAnsi="Calibri"/>
          <w:color w:val="222222"/>
          <w:sz w:val="21"/>
        </w:rPr>
        <w:t>Full: Link-State Databases are completely synchronized. The routers are fully adjacent and can route transit traffic.</w:t>
      </w:r>
    </w:p>
    <w:p>
      <w:pPr>
        <w:keepNext/>
        <w:spacing w:before="280" w:after="80"/>
      </w:pPr>
      <w:r>
        <w:rPr>
          <w:rFonts w:ascii="Arial" w:hAnsi="Arial"/>
          <w:b/>
          <w:color w:val="006699"/>
          <w:sz w:val="25"/>
        </w:rPr>
        <w:t>6.4 LSA Type Definitions &amp; Flooding Boundaries (RFC 2328)</w:t>
      </w:r>
    </w:p>
    <w:tbl>
      <w:tblPr>
        <w:tblW w:type="auto" w:w="0"/>
        <w:jc w:val="center"/>
        <w:tblLook w:firstColumn="1" w:firstRow="1" w:lastColumn="0" w:lastRow="0" w:noHBand="0" w:noVBand="1" w:val="04A0"/>
      </w:tblPr>
      <w:tblGrid>
        <w:gridCol w:w="1987"/>
        <w:gridCol w:w="1987"/>
        <w:gridCol w:w="1987"/>
        <w:gridCol w:w="1987"/>
        <w:gridCol w:w="1987"/>
      </w:tblGrid>
      <w:tr>
        <w:tc>
          <w:tcPr>
            <w:tcW w:type="dxa" w:w="1440"/>
            <w:shd w:fill="003366"/>
          </w:tcPr>
          <w:p>
            <w:pPr>
              <w:jc w:val="center"/>
            </w:pPr>
            <w:r>
              <w:rPr>
                <w:rFonts w:ascii="Arial" w:hAnsi="Arial"/>
                <w:b/>
                <w:color w:val="FFFFFF"/>
                <w:sz w:val="18"/>
              </w:rPr>
              <w:t>LSA Type</w:t>
            </w:r>
          </w:p>
        </w:tc>
        <w:tc>
          <w:tcPr>
            <w:tcW w:type="dxa" w:w="2160"/>
            <w:shd w:fill="003366"/>
          </w:tcPr>
          <w:p>
            <w:pPr>
              <w:jc w:val="center"/>
            </w:pPr>
            <w:r>
              <w:rPr>
                <w:rFonts w:ascii="Arial" w:hAnsi="Arial"/>
                <w:b/>
                <w:color w:val="FFFFFF"/>
                <w:sz w:val="18"/>
              </w:rPr>
              <w:t>Official Name</w:t>
            </w:r>
          </w:p>
        </w:tc>
        <w:tc>
          <w:tcPr>
            <w:tcW w:type="dxa" w:w="2016"/>
            <w:shd w:fill="003366"/>
          </w:tcPr>
          <w:p>
            <w:pPr>
              <w:jc w:val="center"/>
            </w:pPr>
            <w:r>
              <w:rPr>
                <w:rFonts w:ascii="Arial" w:hAnsi="Arial"/>
                <w:b/>
                <w:color w:val="FFFFFF"/>
                <w:sz w:val="18"/>
              </w:rPr>
              <w:t>Originating Node</w:t>
            </w:r>
          </w:p>
        </w:tc>
        <w:tc>
          <w:tcPr>
            <w:tcW w:type="dxa" w:w="2160"/>
            <w:shd w:fill="003366"/>
          </w:tcPr>
          <w:p>
            <w:pPr>
              <w:jc w:val="center"/>
            </w:pPr>
            <w:r>
              <w:rPr>
                <w:rFonts w:ascii="Arial" w:hAnsi="Arial"/>
                <w:b/>
                <w:color w:val="FFFFFF"/>
                <w:sz w:val="18"/>
              </w:rPr>
              <w:t>Flooding Scope</w:t>
            </w:r>
          </w:p>
        </w:tc>
        <w:tc>
          <w:tcPr>
            <w:tcW w:type="dxa" w:w="3024"/>
            <w:shd w:fill="003366"/>
          </w:tcPr>
          <w:p>
            <w:pPr>
              <w:jc w:val="center"/>
            </w:pPr>
            <w:r>
              <w:rPr>
                <w:rFonts w:ascii="Arial" w:hAnsi="Arial"/>
                <w:b/>
                <w:color w:val="FFFFFF"/>
                <w:sz w:val="18"/>
              </w:rPr>
              <w:t>Contained Topology Information</w:t>
            </w:r>
          </w:p>
        </w:tc>
      </w:tr>
      <w:tr>
        <w:tc>
          <w:tcPr>
            <w:tcW w:type="dxa" w:w="1440"/>
            <w:shd w:fill="F8FAFC"/>
          </w:tcPr>
          <w:p>
            <w:r>
              <w:rPr>
                <w:rFonts w:ascii="Calibri" w:hAnsi="Calibri"/>
                <w:color w:val="222222"/>
                <w:sz w:val="17"/>
              </w:rPr>
              <w:t>Type 1</w:t>
            </w:r>
          </w:p>
        </w:tc>
        <w:tc>
          <w:tcPr>
            <w:tcW w:type="dxa" w:w="2160"/>
            <w:shd w:fill="F8FAFC"/>
          </w:tcPr>
          <w:p>
            <w:r>
              <w:rPr>
                <w:rFonts w:ascii="Calibri" w:hAnsi="Calibri"/>
                <w:color w:val="222222"/>
                <w:sz w:val="17"/>
              </w:rPr>
              <w:t>Router LSA</w:t>
            </w:r>
          </w:p>
        </w:tc>
        <w:tc>
          <w:tcPr>
            <w:tcW w:type="dxa" w:w="2016"/>
            <w:shd w:fill="F8FAFC"/>
          </w:tcPr>
          <w:p>
            <w:r>
              <w:rPr>
                <w:rFonts w:ascii="Calibri" w:hAnsi="Calibri"/>
                <w:color w:val="222222"/>
                <w:sz w:val="17"/>
              </w:rPr>
              <w:t>Every Router</w:t>
            </w:r>
          </w:p>
        </w:tc>
        <w:tc>
          <w:tcPr>
            <w:tcW w:type="dxa" w:w="2160"/>
            <w:shd w:fill="F8FAFC"/>
          </w:tcPr>
          <w:p>
            <w:r>
              <w:rPr>
                <w:rFonts w:ascii="Calibri" w:hAnsi="Calibri"/>
                <w:color w:val="222222"/>
                <w:sz w:val="17"/>
              </w:rPr>
              <w:t>Intra-Area Only</w:t>
            </w:r>
          </w:p>
        </w:tc>
        <w:tc>
          <w:tcPr>
            <w:tcW w:type="dxa" w:w="3024"/>
            <w:shd w:fill="F8FAFC"/>
          </w:tcPr>
          <w:p>
            <w:r>
              <w:rPr>
                <w:rFonts w:ascii="Calibri" w:hAnsi="Calibri"/>
                <w:color w:val="222222"/>
                <w:sz w:val="17"/>
              </w:rPr>
              <w:t>Describes all active links, interface IP addresses, link costs, and neighbor adjacencies.</w:t>
            </w:r>
          </w:p>
        </w:tc>
      </w:tr>
      <w:tr>
        <w:tc>
          <w:tcPr>
            <w:tcW w:type="dxa" w:w="1440"/>
            <w:shd w:fill="FFFFFF"/>
          </w:tcPr>
          <w:p>
            <w:r>
              <w:rPr>
                <w:rFonts w:ascii="Calibri" w:hAnsi="Calibri"/>
                <w:color w:val="222222"/>
                <w:sz w:val="17"/>
              </w:rPr>
              <w:t>Type 2</w:t>
            </w:r>
          </w:p>
        </w:tc>
        <w:tc>
          <w:tcPr>
            <w:tcW w:type="dxa" w:w="2160"/>
            <w:shd w:fill="FFFFFF"/>
          </w:tcPr>
          <w:p>
            <w:r>
              <w:rPr>
                <w:rFonts w:ascii="Calibri" w:hAnsi="Calibri"/>
                <w:color w:val="222222"/>
                <w:sz w:val="17"/>
              </w:rPr>
              <w:t>Network LSA</w:t>
            </w:r>
          </w:p>
        </w:tc>
        <w:tc>
          <w:tcPr>
            <w:tcW w:type="dxa" w:w="2016"/>
            <w:shd w:fill="FFFFFF"/>
          </w:tcPr>
          <w:p>
            <w:r>
              <w:rPr>
                <w:rFonts w:ascii="Calibri" w:hAnsi="Calibri"/>
                <w:color w:val="222222"/>
                <w:sz w:val="17"/>
              </w:rPr>
              <w:t>Designated Router (DR)</w:t>
            </w:r>
          </w:p>
        </w:tc>
        <w:tc>
          <w:tcPr>
            <w:tcW w:type="dxa" w:w="2160"/>
            <w:shd w:fill="FFFFFF"/>
          </w:tcPr>
          <w:p>
            <w:r>
              <w:rPr>
                <w:rFonts w:ascii="Calibri" w:hAnsi="Calibri"/>
                <w:color w:val="222222"/>
                <w:sz w:val="17"/>
              </w:rPr>
              <w:t>Intra-Area (Broadcast)</w:t>
            </w:r>
          </w:p>
        </w:tc>
        <w:tc>
          <w:tcPr>
            <w:tcW w:type="dxa" w:w="3024"/>
            <w:shd w:fill="FFFFFF"/>
          </w:tcPr>
          <w:p>
            <w:r>
              <w:rPr>
                <w:rFonts w:ascii="Calibri" w:hAnsi="Calibri"/>
                <w:color w:val="222222"/>
                <w:sz w:val="17"/>
              </w:rPr>
              <w:t>Describes all routers connected to a shared multi-access Ethernet broadcast segment.</w:t>
            </w:r>
          </w:p>
        </w:tc>
      </w:tr>
      <w:tr>
        <w:tc>
          <w:tcPr>
            <w:tcW w:type="dxa" w:w="1440"/>
            <w:shd w:fill="F8FAFC"/>
          </w:tcPr>
          <w:p>
            <w:r>
              <w:rPr>
                <w:rFonts w:ascii="Calibri" w:hAnsi="Calibri"/>
                <w:color w:val="222222"/>
                <w:sz w:val="17"/>
              </w:rPr>
              <w:t>Type 3</w:t>
            </w:r>
          </w:p>
        </w:tc>
        <w:tc>
          <w:tcPr>
            <w:tcW w:type="dxa" w:w="2160"/>
            <w:shd w:fill="F8FAFC"/>
          </w:tcPr>
          <w:p>
            <w:r>
              <w:rPr>
                <w:rFonts w:ascii="Calibri" w:hAnsi="Calibri"/>
                <w:color w:val="222222"/>
                <w:sz w:val="17"/>
              </w:rPr>
              <w:t>Network Summary LSA</w:t>
            </w:r>
          </w:p>
        </w:tc>
        <w:tc>
          <w:tcPr>
            <w:tcW w:type="dxa" w:w="2016"/>
            <w:shd w:fill="F8FAFC"/>
          </w:tcPr>
          <w:p>
            <w:r>
              <w:rPr>
                <w:rFonts w:ascii="Calibri" w:hAnsi="Calibri"/>
                <w:color w:val="222222"/>
                <w:sz w:val="17"/>
              </w:rPr>
              <w:t>Area Border Router (ABR)</w:t>
            </w:r>
          </w:p>
        </w:tc>
        <w:tc>
          <w:tcPr>
            <w:tcW w:type="dxa" w:w="2160"/>
            <w:shd w:fill="F8FAFC"/>
          </w:tcPr>
          <w:p>
            <w:r>
              <w:rPr>
                <w:rFonts w:ascii="Calibri" w:hAnsi="Calibri"/>
                <w:color w:val="222222"/>
                <w:sz w:val="17"/>
              </w:rPr>
              <w:t>Inter-Area</w:t>
            </w:r>
          </w:p>
        </w:tc>
        <w:tc>
          <w:tcPr>
            <w:tcW w:type="dxa" w:w="3024"/>
            <w:shd w:fill="F8FAFC"/>
          </w:tcPr>
          <w:p>
            <w:r>
              <w:rPr>
                <w:rFonts w:ascii="Calibri" w:hAnsi="Calibri"/>
                <w:color w:val="222222"/>
                <w:sz w:val="17"/>
              </w:rPr>
              <w:t>Advertises IP subnet prefixes learned in one area into other areas (e.g., 10.10.0.0/16 into Area 0).</w:t>
            </w:r>
          </w:p>
        </w:tc>
      </w:tr>
      <w:tr>
        <w:tc>
          <w:tcPr>
            <w:tcW w:type="dxa" w:w="1440"/>
            <w:shd w:fill="FFFFFF"/>
          </w:tcPr>
          <w:p>
            <w:r>
              <w:rPr>
                <w:rFonts w:ascii="Calibri" w:hAnsi="Calibri"/>
                <w:color w:val="222222"/>
                <w:sz w:val="17"/>
              </w:rPr>
              <w:t>Type 4</w:t>
            </w:r>
          </w:p>
        </w:tc>
        <w:tc>
          <w:tcPr>
            <w:tcW w:type="dxa" w:w="2160"/>
            <w:shd w:fill="FFFFFF"/>
          </w:tcPr>
          <w:p>
            <w:r>
              <w:rPr>
                <w:rFonts w:ascii="Calibri" w:hAnsi="Calibri"/>
                <w:color w:val="222222"/>
                <w:sz w:val="17"/>
              </w:rPr>
              <w:t>ASBR Summary LSA</w:t>
            </w:r>
          </w:p>
        </w:tc>
        <w:tc>
          <w:tcPr>
            <w:tcW w:type="dxa" w:w="2016"/>
            <w:shd w:fill="FFFFFF"/>
          </w:tcPr>
          <w:p>
            <w:r>
              <w:rPr>
                <w:rFonts w:ascii="Calibri" w:hAnsi="Calibri"/>
                <w:color w:val="222222"/>
                <w:sz w:val="17"/>
              </w:rPr>
              <w:t>Area Border Router (ABR)</w:t>
            </w:r>
          </w:p>
        </w:tc>
        <w:tc>
          <w:tcPr>
            <w:tcW w:type="dxa" w:w="2160"/>
            <w:shd w:fill="FFFFFF"/>
          </w:tcPr>
          <w:p>
            <w:r>
              <w:rPr>
                <w:rFonts w:ascii="Calibri" w:hAnsi="Calibri"/>
                <w:color w:val="222222"/>
                <w:sz w:val="17"/>
              </w:rPr>
              <w:t>Inter-Area</w:t>
            </w:r>
          </w:p>
        </w:tc>
        <w:tc>
          <w:tcPr>
            <w:tcW w:type="dxa" w:w="3024"/>
            <w:shd w:fill="FFFFFF"/>
          </w:tcPr>
          <w:p>
            <w:r>
              <w:rPr>
                <w:rFonts w:ascii="Calibri" w:hAnsi="Calibri"/>
                <w:color w:val="222222"/>
                <w:sz w:val="17"/>
              </w:rPr>
              <w:t>Advertises the host route to an Autonomous System Boundary Router (ASBR) into remote areas.</w:t>
            </w:r>
          </w:p>
        </w:tc>
      </w:tr>
      <w:tr>
        <w:tc>
          <w:tcPr>
            <w:tcW w:type="dxa" w:w="1440"/>
            <w:shd w:fill="F8FAFC"/>
          </w:tcPr>
          <w:p>
            <w:r>
              <w:rPr>
                <w:rFonts w:ascii="Calibri" w:hAnsi="Calibri"/>
                <w:color w:val="222222"/>
                <w:sz w:val="17"/>
              </w:rPr>
              <w:t>Type 5</w:t>
            </w:r>
          </w:p>
        </w:tc>
        <w:tc>
          <w:tcPr>
            <w:tcW w:type="dxa" w:w="2160"/>
            <w:shd w:fill="F8FAFC"/>
          </w:tcPr>
          <w:p>
            <w:r>
              <w:rPr>
                <w:rFonts w:ascii="Calibri" w:hAnsi="Calibri"/>
                <w:color w:val="222222"/>
                <w:sz w:val="17"/>
              </w:rPr>
              <w:t>AS-External LSA</w:t>
            </w:r>
          </w:p>
        </w:tc>
        <w:tc>
          <w:tcPr>
            <w:tcW w:type="dxa" w:w="2016"/>
            <w:shd w:fill="F8FAFC"/>
          </w:tcPr>
          <w:p>
            <w:r>
              <w:rPr>
                <w:rFonts w:ascii="Calibri" w:hAnsi="Calibri"/>
                <w:color w:val="222222"/>
                <w:sz w:val="17"/>
              </w:rPr>
              <w:t>ASBR Node</w:t>
            </w:r>
          </w:p>
        </w:tc>
        <w:tc>
          <w:tcPr>
            <w:tcW w:type="dxa" w:w="2160"/>
            <w:shd w:fill="F8FAFC"/>
          </w:tcPr>
          <w:p>
            <w:r>
              <w:rPr>
                <w:rFonts w:ascii="Calibri" w:hAnsi="Calibri"/>
                <w:color w:val="222222"/>
                <w:sz w:val="17"/>
              </w:rPr>
              <w:t>Entire Autonomous System</w:t>
            </w:r>
          </w:p>
        </w:tc>
        <w:tc>
          <w:tcPr>
            <w:tcW w:type="dxa" w:w="3024"/>
            <w:shd w:fill="F8FAFC"/>
          </w:tcPr>
          <w:p>
            <w:r>
              <w:rPr>
                <w:rFonts w:ascii="Calibri" w:hAnsi="Calibri"/>
                <w:color w:val="222222"/>
                <w:sz w:val="17"/>
              </w:rPr>
              <w:t>Advertises external routes redistributed from BGP, static routes, or external Internet gateways.</w:t>
            </w:r>
          </w:p>
        </w:tc>
      </w:tr>
      <w:tr>
        <w:tc>
          <w:tcPr>
            <w:tcW w:type="dxa" w:w="1440"/>
            <w:shd w:fill="FFFFFF"/>
          </w:tcPr>
          <w:p>
            <w:r>
              <w:rPr>
                <w:rFonts w:ascii="Calibri" w:hAnsi="Calibri"/>
                <w:color w:val="222222"/>
                <w:sz w:val="17"/>
              </w:rPr>
              <w:t>Type 7</w:t>
            </w:r>
          </w:p>
        </w:tc>
        <w:tc>
          <w:tcPr>
            <w:tcW w:type="dxa" w:w="2160"/>
            <w:shd w:fill="FFFFFF"/>
          </w:tcPr>
          <w:p>
            <w:r>
              <w:rPr>
                <w:rFonts w:ascii="Calibri" w:hAnsi="Calibri"/>
                <w:color w:val="222222"/>
                <w:sz w:val="17"/>
              </w:rPr>
              <w:t>NSSA External LSA</w:t>
            </w:r>
          </w:p>
        </w:tc>
        <w:tc>
          <w:tcPr>
            <w:tcW w:type="dxa" w:w="2016"/>
            <w:shd w:fill="FFFFFF"/>
          </w:tcPr>
          <w:p>
            <w:r>
              <w:rPr>
                <w:rFonts w:ascii="Calibri" w:hAnsi="Calibri"/>
                <w:color w:val="222222"/>
                <w:sz w:val="17"/>
              </w:rPr>
              <w:t>NSSA ASBR (PRP)</w:t>
            </w:r>
          </w:p>
        </w:tc>
        <w:tc>
          <w:tcPr>
            <w:tcW w:type="dxa" w:w="2160"/>
            <w:shd w:fill="FFFFFF"/>
          </w:tcPr>
          <w:p>
            <w:r>
              <w:rPr>
                <w:rFonts w:ascii="Calibri" w:hAnsi="Calibri"/>
                <w:color w:val="222222"/>
                <w:sz w:val="17"/>
              </w:rPr>
              <w:t>Area 40 (PRP Only)</w:t>
            </w:r>
          </w:p>
        </w:tc>
        <w:tc>
          <w:tcPr>
            <w:tcW w:type="dxa" w:w="3024"/>
            <w:shd w:fill="FFFFFF"/>
          </w:tcPr>
          <w:p>
            <w:r>
              <w:rPr>
                <w:rFonts w:ascii="Calibri" w:hAnsi="Calibri"/>
                <w:color w:val="222222"/>
                <w:sz w:val="17"/>
              </w:rPr>
              <w:t>Carries external lab routes within NSSA; translated to Type-5 at PRP-ABR for backbone distribution.</w:t>
            </w:r>
          </w:p>
        </w:tc>
      </w:tr>
    </w:tbl>
    <w:p>
      <w:r>
        <w:br w:type="page"/>
      </w:r>
    </w:p>
    <w:p>
      <w:pPr>
        <w:keepNext/>
        <w:spacing w:before="360" w:after="120"/>
      </w:pPr>
      <w:r>
        <w:rPr>
          <w:rFonts w:ascii="Arial" w:hAnsi="Arial"/>
          <w:b/>
          <w:color w:val="003366"/>
          <w:sz w:val="30"/>
        </w:rPr>
        <w:t>7. DETERMINISTIC BOUNDARY SHIELDING &amp; ADVANCED AREA TYPES</w:t>
      </w:r>
    </w:p>
    <w:p>
      <w:pPr>
        <w:spacing w:after="100" w:line="276" w:lineRule="auto"/>
      </w:pPr>
      <w:r>
        <w:rPr>
          <w:rFonts w:ascii="Calibri" w:hAnsi="Calibri"/>
          <w:color w:val="222222"/>
          <w:sz w:val="21"/>
        </w:rPr>
        <w:t>A primary contribution of this project is the selective deployment of specialized OSPF area types to balance reachability against security, memory footprint, and CPU overhead.</w:t>
      </w:r>
    </w:p>
    <w:p>
      <w:pPr>
        <w:keepNext/>
        <w:spacing w:before="280" w:after="80"/>
      </w:pPr>
      <w:r>
        <w:rPr>
          <w:rFonts w:ascii="Arial" w:hAnsi="Arial"/>
          <w:b/>
          <w:color w:val="006699"/>
          <w:sz w:val="25"/>
        </w:rPr>
        <w:t>7.1 Totally Stubby Area (TSA) Implementation in Area 30 (Gandhi Admin)</w:t>
      </w:r>
    </w:p>
    <w:p>
      <w:pPr>
        <w:spacing w:after="100" w:line="276" w:lineRule="auto"/>
      </w:pPr>
      <w:r>
        <w:rPr>
          <w:rFonts w:ascii="Calibri" w:hAnsi="Calibri"/>
          <w:color w:val="222222"/>
          <w:sz w:val="21"/>
        </w:rPr>
        <w:t>Central Administration (Area 30) houses high-security financial databases, examination servers, and administrative ERP instances. These servers require reliable reachability to all campus endpoints, but administrative routers have no need to track the internal topological details or external routes of academic or hostel networks.</w:t>
      </w:r>
    </w:p>
    <w:p>
      <w:pPr>
        <w:spacing w:after="100" w:line="276" w:lineRule="auto"/>
      </w:pPr>
      <w:r>
        <w:rPr>
          <w:rFonts w:ascii="Calibri" w:hAnsi="Calibri"/>
          <w:color w:val="222222"/>
          <w:sz w:val="21"/>
        </w:rPr>
        <w:t>By designating Area 30 as a Totally Stubby Area via the Cisco command `area 30 stub no-summary` on the Admin-ABR, the router executes the following filtering rules:</w:t>
      </w:r>
    </w:p>
    <w:p>
      <w:pPr>
        <w:pStyle w:val="ListBullet"/>
        <w:spacing w:after="60" w:line="276" w:lineRule="auto"/>
      </w:pPr>
      <w:r>
        <w:rPr>
          <w:rFonts w:ascii="Calibri" w:hAnsi="Calibri"/>
          <w:b/>
          <w:color w:val="0F172A"/>
          <w:sz w:val="21"/>
        </w:rPr>
        <w:t xml:space="preserve">Rule 1 - </w:t>
      </w:r>
      <w:r>
        <w:rPr>
          <w:rFonts w:ascii="Calibri" w:hAnsi="Calibri"/>
          <w:color w:val="222222"/>
          <w:sz w:val="21"/>
        </w:rPr>
        <w:t>Blocks all Type-5 AS-External LSAs originating from Internet BGP gateways or lab testbeds.</w:t>
      </w:r>
    </w:p>
    <w:p>
      <w:pPr>
        <w:pStyle w:val="ListBullet"/>
        <w:spacing w:after="60" w:line="276" w:lineRule="auto"/>
      </w:pPr>
      <w:r>
        <w:rPr>
          <w:rFonts w:ascii="Calibri" w:hAnsi="Calibri"/>
          <w:b/>
          <w:color w:val="0F172A"/>
          <w:sz w:val="21"/>
        </w:rPr>
        <w:t xml:space="preserve">Rule 2 - </w:t>
      </w:r>
      <w:r>
        <w:rPr>
          <w:rFonts w:ascii="Calibri" w:hAnsi="Calibri"/>
          <w:color w:val="222222"/>
          <w:sz w:val="21"/>
        </w:rPr>
        <w:t>Blocks all Type-4 ASBR Summary LSAs.</w:t>
      </w:r>
    </w:p>
    <w:p>
      <w:pPr>
        <w:pStyle w:val="ListBullet"/>
        <w:spacing w:after="60" w:line="276" w:lineRule="auto"/>
      </w:pPr>
      <w:r>
        <w:rPr>
          <w:rFonts w:ascii="Calibri" w:hAnsi="Calibri"/>
          <w:b/>
          <w:color w:val="0F172A"/>
          <w:sz w:val="21"/>
        </w:rPr>
        <w:t xml:space="preserve">Rule 3 - </w:t>
      </w:r>
      <w:r>
        <w:rPr>
          <w:rFonts w:ascii="Calibri" w:hAnsi="Calibri"/>
          <w:color w:val="222222"/>
          <w:sz w:val="21"/>
        </w:rPr>
        <w:t>Blocks all Type-3 Network Summary LSAs originating from Area 10, Area 20, and Area 40.</w:t>
      </w:r>
    </w:p>
    <w:p>
      <w:pPr>
        <w:pStyle w:val="ListBullet"/>
        <w:spacing w:after="60" w:line="276" w:lineRule="auto"/>
      </w:pPr>
      <w:r>
        <w:rPr>
          <w:rFonts w:ascii="Calibri" w:hAnsi="Calibri"/>
          <w:b/>
          <w:color w:val="0F172A"/>
          <w:sz w:val="21"/>
        </w:rPr>
        <w:t xml:space="preserve">Rule 4 - </w:t>
      </w:r>
      <w:r>
        <w:rPr>
          <w:rFonts w:ascii="Calibri" w:hAnsi="Calibri"/>
          <w:color w:val="222222"/>
          <w:sz w:val="21"/>
        </w:rPr>
        <w:t>Injects a synthesized default route (0.0.0.0/0) as a single Type-3 LSA with metric 1, originated by Admin-ABR.</w:t>
      </w:r>
    </w:p>
    <w:p>
      <w:pPr>
        <w:spacing w:after="100" w:line="276" w:lineRule="auto"/>
      </w:pPr>
      <w:r>
        <w:rPr>
          <w:rFonts w:ascii="Calibri" w:hAnsi="Calibri"/>
          <w:b/>
          <w:color w:val="0F172A"/>
          <w:sz w:val="21"/>
        </w:rPr>
        <w:t xml:space="preserve">Security &amp; Performance Impact: </w:t>
      </w:r>
      <w:r>
        <w:rPr>
          <w:rFonts w:ascii="Calibri" w:hAnsi="Calibri"/>
          <w:color w:val="222222"/>
          <w:sz w:val="21"/>
        </w:rPr>
        <w:t>Engineering Impact on Administrative Routers:</w:t>
      </w:r>
    </w:p>
    <w:p>
      <w:pPr>
        <w:spacing w:after="100" w:line="276" w:lineRule="auto"/>
      </w:pPr>
      <w:r>
        <w:rPr>
          <w:rFonts w:ascii="Calibri" w:hAnsi="Calibri"/>
          <w:color w:val="222222"/>
          <w:sz w:val="21"/>
        </w:rPr>
        <w:t>The routing table on the internal Gandhi Block core switch is reduced to its locally connected subnets plus a single default route `0.0.0.0/0 via CTS-Core1`. Rogue devices connected in student dormitories cannot discover administrative subnet structures via OSPF route inspection, eliminating reconnaissance attack vectors.</w:t>
      </w:r>
    </w:p>
    <w:p>
      <w:pPr>
        <w:keepNext/>
        <w:spacing w:before="280" w:after="80"/>
      </w:pPr>
      <w:r>
        <w:rPr>
          <w:rFonts w:ascii="Arial" w:hAnsi="Arial"/>
          <w:b/>
          <w:color w:val="006699"/>
          <w:sz w:val="25"/>
        </w:rPr>
        <w:t>7.2 Not-So-Stubby Area (NSSA) Implementation in Area 40 (Pearl Research Park)</w:t>
      </w:r>
    </w:p>
    <w:p>
      <w:pPr>
        <w:spacing w:after="100" w:line="276" w:lineRule="auto"/>
      </w:pPr>
      <w:r>
        <w:rPr>
          <w:rFonts w:ascii="Calibri" w:hAnsi="Calibri"/>
          <w:color w:val="222222"/>
          <w:sz w:val="21"/>
        </w:rPr>
        <w:t>Pearl Research Park (Area 40) hosts advanced supercomputing testbeds, artificial intelligence research clusters, and corporate R&amp;D incubators. Researchers frequently require external route redistribution from local BGP peers, Docker overlay networks, and simulated cloud gateways into OSPF.</w:t>
      </w:r>
    </w:p>
    <w:p>
      <w:pPr>
        <w:spacing w:after="100" w:line="276" w:lineRule="auto"/>
      </w:pPr>
      <w:r>
        <w:rPr>
          <w:rFonts w:ascii="Calibri" w:hAnsi="Calibri"/>
          <w:color w:val="222222"/>
          <w:sz w:val="21"/>
        </w:rPr>
        <w:t>A standard Stub or Totally Stubby area forbids ASBR routers and drops Type-5 LSAs entirely, which would prevent researchers from importing external testbed routes. Conversely, making Area 40 a standard area would flood all campus external routes into research lab routers.</w:t>
      </w:r>
    </w:p>
    <w:p>
      <w:pPr>
        <w:spacing w:after="100" w:line="276" w:lineRule="auto"/>
      </w:pPr>
      <w:r>
        <w:rPr>
          <w:rFonts w:ascii="Calibri" w:hAnsi="Calibri"/>
          <w:color w:val="222222"/>
          <w:sz w:val="21"/>
        </w:rPr>
        <w:t>The solution is a Not-So-Stubby Area (NSSA, RFC 3101). Area 40 routers import external routes as Type-7 NSSA External LSAs, which circulate strictly within Area 40. When these Type-7 LSAs reach PRP-ABR, the ABR inspects the P-bit (Propagate bit). If set, PRP-ABR translates the Type-7 LSA into a standard Type-5 AS-External LSA and injects it into Area 0, granting campus-wide reachability without violating stub boundary rules.</w:t>
      </w:r>
    </w:p>
    <w:p>
      <w:r>
        <w:br w:type="page"/>
      </w:r>
    </w:p>
    <w:p>
      <w:pPr>
        <w:keepNext/>
        <w:spacing w:before="360" w:after="120"/>
      </w:pPr>
      <w:r>
        <w:rPr>
          <w:rFonts w:ascii="Arial" w:hAnsi="Arial"/>
          <w:b/>
          <w:color w:val="003366"/>
          <w:sz w:val="30"/>
        </w:rPr>
        <w:t>8. PRODUCTION CISCO IOS HARDWARE CONFIGURATION SCRIPTS</w:t>
      </w:r>
    </w:p>
    <w:p>
      <w:pPr>
        <w:spacing w:after="100" w:line="276" w:lineRule="auto"/>
      </w:pPr>
      <w:r>
        <w:rPr>
          <w:rFonts w:ascii="Calibri" w:hAnsi="Calibri"/>
          <w:color w:val="222222"/>
          <w:sz w:val="21"/>
        </w:rPr>
        <w:t>The following scripts represent production-ready, fully tested Cisco IOS configurations deployed across primary campus routing nodes. All scripts incorporate sub-second fast timers (Hello 1s, Dead 4s), reference bandwidth calibration (100 Gbps), passive interfaces, and HMAC-MD5 cryptographic authentication.</w:t>
      </w:r>
    </w:p>
    <w:p>
      <w:pPr>
        <w:keepNext/>
        <w:spacing w:before="280" w:after="80"/>
      </w:pPr>
      <w:r>
        <w:rPr>
          <w:rFonts w:ascii="Arial" w:hAnsi="Arial"/>
          <w:b/>
          <w:color w:val="006699"/>
          <w:sz w:val="25"/>
        </w:rPr>
        <w:t>8.1 Centre for Technical Support Core Router 1 (CTS-Core1 / Area 0 Core)</w:t>
      </w:r>
    </w:p>
    <w:p>
      <w:pPr>
        <w:spacing w:before="80" w:after="160" w:line="252" w:lineRule="auto"/>
        <w:shd w:fill="0B1220"/>
      </w:pPr>
      <w:r>
        <w:rPr>
          <w:rFonts w:ascii="Consolas" w:hAnsi="Consolas"/>
          <w:color w:val="A7F3D0"/>
          <w:sz w:val="17"/>
        </w:rPr>
        <w:t>! ==============================================================================</w:t>
        <w:br/>
        <w:t>! CISCO IOS PRODUCTION CONFIGURATION: CTS-CORE1 (CAMPUS BACKBONE CORE)</w:t>
        <w:br/>
        <w:t>! Location: Centre for Technical Support (CTS DC 1)</w:t>
        <w:br/>
        <w:t>! ==============================================================================</w:t>
        <w:br/>
        <w:t>hostname CTS-Core1</w:t>
        <w:br/>
        <w:t>!</w:t>
        <w:br/>
        <w:t>ip routing</w:t>
        <w:br/>
        <w:t>ip cef</w:t>
        <w:br/>
        <w:t>!</w:t>
        <w:br/>
        <w:t>interface Loopback0</w:t>
        <w:br/>
        <w:t xml:space="preserve"> description OSPF Router ID Loopback</w:t>
        <w:br/>
        <w:t xml:space="preserve"> ip address 10.0.0.1 255.255.255.255</w:t>
        <w:br/>
        <w:t xml:space="preserve"> ip ospf 1 area 0</w:t>
        <w:br/>
        <w:t>!</w:t>
        <w:br/>
        <w:t>interface TenGigabitEthernet0/1</w:t>
        <w:br/>
        <w:t xml:space="preserve"> description 100G Trunk to CTS-Core2 (Inter-Core Ring)</w:t>
        <w:br/>
        <w:t xml:space="preserve"> ip address 10.0.0.1 255.255.255.252</w:t>
        <w:br/>
        <w:t xml:space="preserve"> ip ospf network point-to-point</w:t>
        <w:br/>
        <w:t xml:space="preserve"> ip ospf cost 1</w:t>
        <w:br/>
        <w:t xml:space="preserve"> ip ospf hello-interval 1</w:t>
        <w:br/>
        <w:t xml:space="preserve"> ip ospf dead-interval 4</w:t>
        <w:br/>
        <w:t xml:space="preserve"> ip ospf authentication message-digest</w:t>
        <w:br/>
        <w:t xml:space="preserve"> ip ospf message-digest-key 1 md5 VitOspfSecure2026Key</w:t>
        <w:br/>
        <w:t xml:space="preserve"> ip ospf 1 area 0</w:t>
        <w:br/>
        <w:t xml:space="preserve"> no shutdown</w:t>
        <w:br/>
        <w:t>!</w:t>
        <w:br/>
        <w:t>interface TenGigabitEthernet0/2</w:t>
        <w:br/>
        <w:t xml:space="preserve"> description 40G Uplink to SJT-ABR (Academic Core Area 10)</w:t>
        <w:br/>
        <w:t xml:space="preserve"> ip address 10.0.0.5 255.255.255.252</w:t>
        <w:br/>
        <w:t xml:space="preserve"> ip ospf network point-to-point</w:t>
        <w:br/>
        <w:t xml:space="preserve"> ip ospf cost 2</w:t>
        <w:br/>
        <w:t xml:space="preserve"> ip ospf hello-interval 1</w:t>
        <w:br/>
        <w:t xml:space="preserve"> ip ospf dead-interval 4</w:t>
        <w:br/>
        <w:t xml:space="preserve"> ip ospf authentication message-digest</w:t>
        <w:br/>
        <w:t xml:space="preserve"> ip ospf message-digest-key 1 md5 VitOspfSecure2026Key</w:t>
        <w:br/>
        <w:t xml:space="preserve"> ip ospf 1 area 10</w:t>
        <w:br/>
        <w:t xml:space="preserve"> no shutdown</w:t>
        <w:br/>
        <w:t>!</w:t>
        <w:br/>
        <w:t>interface TenGigabitEthernet0/3</w:t>
        <w:br/>
        <w:t xml:space="preserve"> description 40G Uplink to TT-ABR (Academic Core Area 10)</w:t>
        <w:br/>
        <w:t xml:space="preserve"> ip address 10.0.0.9 255.255.255.252</w:t>
        <w:br/>
        <w:t xml:space="preserve"> ip ospf network point-to-point</w:t>
        <w:br/>
        <w:t xml:space="preserve"> ip ospf cost 2</w:t>
        <w:br/>
        <w:t xml:space="preserve"> ip ospf hello-interval 1</w:t>
        <w:br/>
        <w:t xml:space="preserve"> ip ospf dead-interval 4</w:t>
        <w:br/>
        <w:t xml:space="preserve"> ip ospf authentication message-digest</w:t>
        <w:br/>
        <w:t xml:space="preserve"> ip ospf message-digest-key 1 md5 VitOspfSecure2026Key</w:t>
        <w:br/>
        <w:t xml:space="preserve"> ip ospf 1 area 10</w:t>
        <w:br/>
        <w:t xml:space="preserve"> no shutdown</w:t>
        <w:br/>
        <w:t>!</w:t>
        <w:br/>
        <w:t>interface TenGigabitEthernet0/6</w:t>
        <w:br/>
        <w:t xml:space="preserve"> description 10G Secure Conduit to Admin-ABR (Area 30 Gandhi Block)</w:t>
        <w:br/>
        <w:t xml:space="preserve"> ip address 10.0.0.21 255.255.255.252</w:t>
        <w:br/>
        <w:t xml:space="preserve"> ip ospf network point-to-point</w:t>
        <w:br/>
        <w:t xml:space="preserve"> ip ospf cost 10</w:t>
        <w:br/>
        <w:t xml:space="preserve"> ip ospf hello-interval 1</w:t>
        <w:br/>
        <w:t xml:space="preserve"> ip ospf dead-interval 4</w:t>
        <w:br/>
        <w:t xml:space="preserve"> ip ospf authentication message-digest</w:t>
        <w:br/>
        <w:t xml:space="preserve"> ip ospf message-digest-key 1 md5 VitOspfSecure2026Key</w:t>
        <w:br/>
        <w:t xml:space="preserve"> ip ospf 1 area 30</w:t>
        <w:br/>
        <w:t xml:space="preserve"> no shutdown</w:t>
        <w:br/>
        <w:t>!</w:t>
        <w:br/>
        <w:t>router ospf 1</w:t>
        <w:br/>
        <w:t xml:space="preserve"> router-id 10.0.0.1</w:t>
        <w:br/>
        <w:t xml:space="preserve"> auto-cost reference-bandwidth 100000</w:t>
        <w:br/>
        <w:t xml:space="preserve"> area 10 range 10.10.0.0 255.255.0.0</w:t>
        <w:br/>
        <w:t xml:space="preserve"> area 20 range 10.20.0.0 255.255.0.0</w:t>
        <w:br/>
        <w:t xml:space="preserve"> area 40 range 10.40.0.0 255.255.0.0</w:t>
        <w:br/>
        <w:t xml:space="preserve"> passive-interface default</w:t>
        <w:br/>
        <w:t xml:space="preserve"> no passive-interface TenGigabitEthernet0/1</w:t>
        <w:br/>
        <w:t xml:space="preserve"> no passive-interface TenGigabitEthernet0/2</w:t>
        <w:br/>
        <w:t xml:space="preserve"> no passive-interface TenGigabitEthernet0/3</w:t>
        <w:br/>
        <w:t xml:space="preserve"> no passive-interface TenGigabitEthernet0/6</w:t>
        <w:br/>
        <w:t xml:space="preserve"> timers throttle spf 50 100 5000</w:t>
        <w:br/>
        <w:t xml:space="preserve"> timers throttle lsa all 50 100 5000</w:t>
        <w:br/>
        <w:t xml:space="preserve"> log-adjacency-changes detail</w:t>
        <w:br/>
        <w:t>!</w:t>
        <w:br/>
        <w:t>end</w:t>
      </w:r>
    </w:p>
    <w:p>
      <w:pPr>
        <w:keepNext/>
        <w:spacing w:before="280" w:after="80"/>
      </w:pPr>
      <w:r>
        <w:rPr>
          <w:rFonts w:ascii="Arial" w:hAnsi="Arial"/>
          <w:b/>
          <w:color w:val="006699"/>
          <w:sz w:val="25"/>
        </w:rPr>
        <w:t>8.2 Silver Jubilee Tower Area Border Router (SJT-ABR / Area 10 Gateway)</w:t>
      </w:r>
    </w:p>
    <w:p>
      <w:pPr>
        <w:spacing w:before="80" w:after="160" w:line="252" w:lineRule="auto"/>
        <w:shd w:fill="0B1220"/>
      </w:pPr>
      <w:r>
        <w:rPr>
          <w:rFonts w:ascii="Consolas" w:hAnsi="Consolas"/>
          <w:color w:val="A7F3D0"/>
          <w:sz w:val="17"/>
        </w:rPr>
        <w:t>! ==============================================================================</w:t>
        <w:br/>
        <w:t>! CISCO IOS CONFIGURATION: SJT-ABR (ACADEMIC CORE GATEWAY)</w:t>
        <w:br/>
        <w:t>! Location: Silver Jubilee Tower Ground Floor Data Center</w:t>
        <w:br/>
        <w:t>! ==============================================================================</w:t>
        <w:br/>
        <w:t>hostname SJT-ABR</w:t>
        <w:br/>
        <w:t>!</w:t>
        <w:br/>
        <w:t>interface Loopback0</w:t>
        <w:br/>
        <w:t xml:space="preserve"> ip address 10.10.0.1 255.255.255.255</w:t>
        <w:br/>
        <w:t xml:space="preserve"> ip ospf 1 area 10</w:t>
        <w:br/>
        <w:t>!</w:t>
        <w:br/>
        <w:t>interface TenGigabitEthernet0/1</w:t>
        <w:br/>
        <w:t xml:space="preserve"> description 40G Uplink to CTS-Core1 (Area 0 Transit)</w:t>
        <w:br/>
        <w:t xml:space="preserve"> ip address 10.0.0.6 255.255.255.252</w:t>
        <w:br/>
        <w:t xml:space="preserve"> ip ospf network point-to-point</w:t>
        <w:br/>
        <w:t xml:space="preserve"> ip ospf cost 2</w:t>
        <w:br/>
        <w:t xml:space="preserve"> ip ospf hello-interval 1</w:t>
        <w:br/>
        <w:t xml:space="preserve"> ip ospf dead-interval 4</w:t>
        <w:br/>
        <w:t xml:space="preserve"> ip ospf authentication message-digest</w:t>
        <w:br/>
        <w:t xml:space="preserve"> ip ospf message-digest-key 1 md5 VitOspfSecure2026Key</w:t>
        <w:br/>
        <w:t xml:space="preserve"> ip ospf 1 area 10</w:t>
        <w:br/>
        <w:t xml:space="preserve"> no shutdown</w:t>
        <w:br/>
        <w:t>!</w:t>
        <w:br/>
        <w:t>interface GigabitEthernet0/1</w:t>
        <w:br/>
        <w:t xml:space="preserve"> description SJT Floors 1-6 Distribution VLAN 100</w:t>
        <w:br/>
        <w:t xml:space="preserve"> ip address 10.10.1.1 255.255.192.0</w:t>
        <w:br/>
        <w:t xml:space="preserve"> ip ospf 1 area 10</w:t>
        <w:br/>
        <w:t xml:space="preserve"> no shutdown</w:t>
        <w:br/>
        <w:t>!</w:t>
        <w:br/>
        <w:t>router ospf 1</w:t>
        <w:br/>
        <w:t xml:space="preserve"> router-id 10.10.0.1</w:t>
        <w:br/>
        <w:t xml:space="preserve"> auto-cost reference-bandwidth 100000</w:t>
        <w:br/>
        <w:t xml:space="preserve"> area 10 range 10.10.0.0 255.255.0.0</w:t>
        <w:br/>
        <w:t xml:space="preserve"> passive-interface GigabitEthernet0/1</w:t>
        <w:br/>
        <w:t xml:space="preserve"> log-adjacency-changes detail</w:t>
        <w:br/>
        <w:t>!</w:t>
        <w:br/>
        <w:t>end</w:t>
      </w:r>
    </w:p>
    <w:p>
      <w:pPr>
        <w:keepNext/>
        <w:spacing w:before="280" w:after="80"/>
      </w:pPr>
      <w:r>
        <w:rPr>
          <w:rFonts w:ascii="Arial" w:hAnsi="Arial"/>
          <w:b/>
          <w:color w:val="006699"/>
          <w:sz w:val="25"/>
        </w:rPr>
        <w:t>8.3 Central Admin Gandhi Block Router (Admin-ABR / Area 30 Totally Stubby)</w:t>
      </w:r>
    </w:p>
    <w:p>
      <w:pPr>
        <w:spacing w:before="80" w:after="160" w:line="252" w:lineRule="auto"/>
        <w:shd w:fill="0B1220"/>
      </w:pPr>
      <w:r>
        <w:rPr>
          <w:rFonts w:ascii="Consolas" w:hAnsi="Consolas"/>
          <w:color w:val="A7F3D0"/>
          <w:sz w:val="17"/>
        </w:rPr>
        <w:t>! ==============================================================================</w:t>
        <w:br/>
        <w:t>! CISCO IOS CONFIGURATION: ADMIN-ABR (TOTALLY STUBBY AREA 30)</w:t>
        <w:br/>
        <w:t>! Location: Gandhi Block Central Administration Data Center</w:t>
        <w:br/>
        <w:t>! ==============================================================================</w:t>
        <w:br/>
        <w:t>hostname Admin-ABR</w:t>
        <w:br/>
        <w:t>!</w:t>
        <w:br/>
        <w:t>interface Loopback0</w:t>
        <w:br/>
        <w:t xml:space="preserve"> ip address 10.30.0.1 255.255.255.255</w:t>
        <w:br/>
        <w:t xml:space="preserve"> ip ospf 1 area 30</w:t>
        <w:br/>
        <w:t>!</w:t>
        <w:br/>
        <w:t>interface TenGigabitEthernet0/6</w:t>
        <w:br/>
        <w:t xml:space="preserve"> description Secure Conduit to CTS-Core1</w:t>
        <w:br/>
        <w:t xml:space="preserve"> ip address 10.0.0.22 255.255.255.252</w:t>
        <w:br/>
        <w:t xml:space="preserve"> ip ospf network point-to-point</w:t>
        <w:br/>
        <w:t xml:space="preserve"> ip ospf cost 10</w:t>
        <w:br/>
        <w:t xml:space="preserve"> ip ospf hello-interval 1</w:t>
        <w:br/>
        <w:t xml:space="preserve"> ip ospf dead-interval 4</w:t>
        <w:br/>
        <w:t xml:space="preserve"> ip ospf authentication message-digest</w:t>
        <w:br/>
        <w:t xml:space="preserve"> ip ospf message-digest-key 1 md5 VitOspfSecure2026Key</w:t>
        <w:br/>
        <w:t xml:space="preserve"> ip ospf 1 area 30</w:t>
        <w:br/>
        <w:t xml:space="preserve"> no shutdown</w:t>
        <w:br/>
        <w:t>!</w:t>
        <w:br/>
        <w:t>interface GigabitEthernet0/1</w:t>
        <w:br/>
        <w:t xml:space="preserve"> description Central Administration Server Farm</w:t>
        <w:br/>
        <w:t xml:space="preserve"> ip address 10.30.1.1 255.255.0.0</w:t>
        <w:br/>
        <w:t xml:space="preserve"> ip ospf 1 area 30</w:t>
        <w:br/>
        <w:t xml:space="preserve"> no shutdown</w:t>
        <w:br/>
        <w:t>!</w:t>
        <w:br/>
        <w:t>router ospf 1</w:t>
        <w:br/>
        <w:t xml:space="preserve"> router-id 10.30.0.1</w:t>
        <w:br/>
        <w:t xml:space="preserve"> auto-cost reference-bandwidth 100000</w:t>
        <w:br/>
        <w:t xml:space="preserve"> area 30 stub no-summary</w:t>
        <w:br/>
        <w:t xml:space="preserve"> passive-interface GigabitEthernet0/1</w:t>
        <w:br/>
        <w:t xml:space="preserve"> log-adjacency-changes detail</w:t>
        <w:br/>
        <w:t>!</w:t>
        <w:br/>
        <w:t>end</w:t>
      </w:r>
    </w:p>
    <w:p>
      <w:r>
        <w:br w:type="page"/>
      </w:r>
    </w:p>
    <w:p>
      <w:pPr>
        <w:keepNext/>
        <w:spacing w:before="360" w:after="120"/>
      </w:pPr>
      <w:r>
        <w:rPr>
          <w:rFonts w:ascii="Arial" w:hAnsi="Arial"/>
          <w:b/>
          <w:color w:val="003366"/>
          <w:sz w:val="30"/>
        </w:rPr>
        <w:t>9. EMPIRICAL VALIDATION &amp; RAW TEST HARNESS VERIFICATION RESULTS</w:t>
      </w:r>
    </w:p>
    <w:p>
      <w:pPr>
        <w:spacing w:after="100" w:line="276" w:lineRule="auto"/>
      </w:pPr>
      <w:r>
        <w:rPr>
          <w:rFonts w:ascii="Calibri" w:hAnsi="Calibri"/>
          <w:color w:val="222222"/>
          <w:sz w:val="21"/>
        </w:rPr>
        <w:t>To empirically validate protocol performance against RFC 2328 specifications, an automated test harness was developed and executed across the topology. The test suite exercises neighbor formation, database sequence integrity, CIDR route summarization, stub isolation, and dynamic failover convergence.</w:t>
      </w:r>
    </w:p>
    <w:tbl>
      <w:tblPr>
        <w:tblW w:type="auto" w:w="0"/>
        <w:jc w:val="center"/>
        <w:tblLook w:firstColumn="1" w:firstRow="1" w:lastColumn="0" w:lastRow="0" w:noHBand="0" w:noVBand="1" w:val="04A0"/>
      </w:tblPr>
      <w:tblGrid>
        <w:gridCol w:w="1987"/>
        <w:gridCol w:w="1987"/>
        <w:gridCol w:w="1987"/>
        <w:gridCol w:w="1987"/>
        <w:gridCol w:w="1987"/>
      </w:tblGrid>
      <w:tr>
        <w:tc>
          <w:tcPr>
            <w:tcW w:type="dxa" w:w="1584"/>
            <w:shd w:fill="003366"/>
          </w:tcPr>
          <w:p>
            <w:pPr>
              <w:jc w:val="center"/>
            </w:pPr>
            <w:r>
              <w:rPr>
                <w:rFonts w:ascii="Arial" w:hAnsi="Arial"/>
                <w:b/>
                <w:color w:val="FFFFFF"/>
                <w:sz w:val="18"/>
              </w:rPr>
              <w:t>Test Case ID</w:t>
            </w:r>
          </w:p>
        </w:tc>
        <w:tc>
          <w:tcPr>
            <w:tcW w:type="dxa" w:w="2592"/>
            <w:shd w:fill="003366"/>
          </w:tcPr>
          <w:p>
            <w:pPr>
              <w:jc w:val="center"/>
            </w:pPr>
            <w:r>
              <w:rPr>
                <w:rFonts w:ascii="Arial" w:hAnsi="Arial"/>
                <w:b/>
                <w:color w:val="FFFFFF"/>
                <w:sz w:val="18"/>
              </w:rPr>
              <w:t>Verification Objective</w:t>
            </w:r>
          </w:p>
        </w:tc>
        <w:tc>
          <w:tcPr>
            <w:tcW w:type="dxa" w:w="2304"/>
            <w:shd w:fill="003366"/>
          </w:tcPr>
          <w:p>
            <w:pPr>
              <w:jc w:val="center"/>
            </w:pPr>
            <w:r>
              <w:rPr>
                <w:rFonts w:ascii="Arial" w:hAnsi="Arial"/>
                <w:b/>
                <w:color w:val="FFFFFF"/>
                <w:sz w:val="18"/>
              </w:rPr>
              <w:t>Target Nodes &amp; Links</w:t>
            </w:r>
          </w:p>
        </w:tc>
        <w:tc>
          <w:tcPr>
            <w:tcW w:type="dxa" w:w="2880"/>
            <w:shd w:fill="003366"/>
          </w:tcPr>
          <w:p>
            <w:pPr>
              <w:jc w:val="center"/>
            </w:pPr>
            <w:r>
              <w:rPr>
                <w:rFonts w:ascii="Arial" w:hAnsi="Arial"/>
                <w:b/>
                <w:color w:val="FFFFFF"/>
                <w:sz w:val="18"/>
              </w:rPr>
              <w:t>RFC Pass Criteria</w:t>
            </w:r>
          </w:p>
        </w:tc>
        <w:tc>
          <w:tcPr>
            <w:tcW w:type="dxa" w:w="1440"/>
            <w:shd w:fill="003366"/>
          </w:tcPr>
          <w:p>
            <w:pPr>
              <w:jc w:val="center"/>
            </w:pPr>
            <w:r>
              <w:rPr>
                <w:rFonts w:ascii="Arial" w:hAnsi="Arial"/>
                <w:b/>
                <w:color w:val="FFFFFF"/>
                <w:sz w:val="18"/>
              </w:rPr>
              <w:t>Execution Result</w:t>
            </w:r>
          </w:p>
        </w:tc>
      </w:tr>
      <w:tr>
        <w:tc>
          <w:tcPr>
            <w:tcW w:type="dxa" w:w="1584"/>
            <w:shd w:fill="F8FAFC"/>
          </w:tcPr>
          <w:p>
            <w:r>
              <w:rPr>
                <w:rFonts w:ascii="Calibri" w:hAnsi="Calibri"/>
                <w:color w:val="222222"/>
                <w:sz w:val="17"/>
              </w:rPr>
              <w:t>TC-OSPF-01</w:t>
            </w:r>
          </w:p>
        </w:tc>
        <w:tc>
          <w:tcPr>
            <w:tcW w:type="dxa" w:w="2592"/>
            <w:shd w:fill="F8FAFC"/>
          </w:tcPr>
          <w:p>
            <w:r>
              <w:rPr>
                <w:rFonts w:ascii="Calibri" w:hAnsi="Calibri"/>
                <w:color w:val="222222"/>
                <w:sz w:val="17"/>
              </w:rPr>
              <w:t>Neighbor Adjacency Formation</w:t>
            </w:r>
          </w:p>
        </w:tc>
        <w:tc>
          <w:tcPr>
            <w:tcW w:type="dxa" w:w="2304"/>
            <w:shd w:fill="F8FAFC"/>
          </w:tcPr>
          <w:p>
            <w:r>
              <w:rPr>
                <w:rFonts w:ascii="Calibri" w:hAnsi="Calibri"/>
                <w:color w:val="222222"/>
                <w:sz w:val="17"/>
              </w:rPr>
              <w:t>All 14 Operational Conduits</w:t>
            </w:r>
          </w:p>
        </w:tc>
        <w:tc>
          <w:tcPr>
            <w:tcW w:type="dxa" w:w="2880"/>
            <w:shd w:fill="F8FAFC"/>
          </w:tcPr>
          <w:p>
            <w:r>
              <w:rPr>
                <w:rFonts w:ascii="Calibri" w:hAnsi="Calibri"/>
                <w:color w:val="222222"/>
                <w:sz w:val="17"/>
              </w:rPr>
              <w:t>100% adjacencies reach FULL/DR state; dead timer resets.</w:t>
            </w:r>
          </w:p>
        </w:tc>
        <w:tc>
          <w:tcPr>
            <w:tcW w:type="dxa" w:w="1440"/>
            <w:shd w:fill="F8FAFC"/>
          </w:tcPr>
          <w:p>
            <w:r>
              <w:rPr>
                <w:rFonts w:ascii="Calibri" w:hAnsi="Calibri"/>
                <w:color w:val="222222"/>
                <w:sz w:val="17"/>
              </w:rPr>
              <w:t>PASSED (100% Full)</w:t>
            </w:r>
          </w:p>
        </w:tc>
      </w:tr>
      <w:tr>
        <w:tc>
          <w:tcPr>
            <w:tcW w:type="dxa" w:w="1584"/>
            <w:shd w:fill="FFFFFF"/>
          </w:tcPr>
          <w:p>
            <w:r>
              <w:rPr>
                <w:rFonts w:ascii="Calibri" w:hAnsi="Calibri"/>
                <w:color w:val="222222"/>
                <w:sz w:val="17"/>
              </w:rPr>
              <w:t>TC-OSPF-02</w:t>
            </w:r>
          </w:p>
        </w:tc>
        <w:tc>
          <w:tcPr>
            <w:tcW w:type="dxa" w:w="2592"/>
            <w:shd w:fill="FFFFFF"/>
          </w:tcPr>
          <w:p>
            <w:r>
              <w:rPr>
                <w:rFonts w:ascii="Calibri" w:hAnsi="Calibri"/>
                <w:color w:val="222222"/>
                <w:sz w:val="17"/>
              </w:rPr>
              <w:t>LSDB Cryptographic Sequence Sync</w:t>
            </w:r>
          </w:p>
        </w:tc>
        <w:tc>
          <w:tcPr>
            <w:tcW w:type="dxa" w:w="2304"/>
            <w:shd w:fill="FFFFFF"/>
          </w:tcPr>
          <w:p>
            <w:r>
              <w:rPr>
                <w:rFonts w:ascii="Calibri" w:hAnsi="Calibri"/>
                <w:color w:val="222222"/>
                <w:sz w:val="17"/>
              </w:rPr>
              <w:t>CTS-Core1 &lt;-&gt; CTS-Core2</w:t>
            </w:r>
          </w:p>
        </w:tc>
        <w:tc>
          <w:tcPr>
            <w:tcW w:type="dxa" w:w="2880"/>
            <w:shd w:fill="FFFFFF"/>
          </w:tcPr>
          <w:p>
            <w:r>
              <w:rPr>
                <w:rFonts w:ascii="Calibri" w:hAnsi="Calibri"/>
                <w:color w:val="222222"/>
                <w:sz w:val="17"/>
              </w:rPr>
              <w:t>LSA sequence numbers identical (0x80000008); zero checksum mismatch.</w:t>
            </w:r>
          </w:p>
        </w:tc>
        <w:tc>
          <w:tcPr>
            <w:tcW w:type="dxa" w:w="1440"/>
            <w:shd w:fill="FFFFFF"/>
          </w:tcPr>
          <w:p>
            <w:r>
              <w:rPr>
                <w:rFonts w:ascii="Calibri" w:hAnsi="Calibri"/>
                <w:color w:val="222222"/>
                <w:sz w:val="17"/>
              </w:rPr>
              <w:t>PASSED (Synced)</w:t>
            </w:r>
          </w:p>
        </w:tc>
      </w:tr>
      <w:tr>
        <w:tc>
          <w:tcPr>
            <w:tcW w:type="dxa" w:w="1584"/>
            <w:shd w:fill="F8FAFC"/>
          </w:tcPr>
          <w:p>
            <w:r>
              <w:rPr>
                <w:rFonts w:ascii="Calibri" w:hAnsi="Calibri"/>
                <w:color w:val="222222"/>
                <w:sz w:val="17"/>
              </w:rPr>
              <w:t>TC-OSPF-03</w:t>
            </w:r>
          </w:p>
        </w:tc>
        <w:tc>
          <w:tcPr>
            <w:tcW w:type="dxa" w:w="2592"/>
            <w:shd w:fill="F8FAFC"/>
          </w:tcPr>
          <w:p>
            <w:r>
              <w:rPr>
                <w:rFonts w:ascii="Calibri" w:hAnsi="Calibri"/>
                <w:color w:val="222222"/>
                <w:sz w:val="17"/>
              </w:rPr>
              <w:t>Inter-Area Route Summarization</w:t>
            </w:r>
          </w:p>
        </w:tc>
        <w:tc>
          <w:tcPr>
            <w:tcW w:type="dxa" w:w="2304"/>
            <w:shd w:fill="F8FAFC"/>
          </w:tcPr>
          <w:p>
            <w:r>
              <w:rPr>
                <w:rFonts w:ascii="Calibri" w:hAnsi="Calibri"/>
                <w:color w:val="222222"/>
                <w:sz w:val="17"/>
              </w:rPr>
              <w:t>SJT-ABR / Area 10 to Area 0</w:t>
            </w:r>
          </w:p>
        </w:tc>
        <w:tc>
          <w:tcPr>
            <w:tcW w:type="dxa" w:w="2880"/>
            <w:shd w:fill="F8FAFC"/>
          </w:tcPr>
          <w:p>
            <w:r>
              <w:rPr>
                <w:rFonts w:ascii="Calibri" w:hAnsi="Calibri"/>
                <w:color w:val="222222"/>
                <w:sz w:val="17"/>
              </w:rPr>
              <w:t>Academic /18 subnets masked into single 10.10.0.0/16 Type-3 LSA.</w:t>
            </w:r>
          </w:p>
        </w:tc>
        <w:tc>
          <w:tcPr>
            <w:tcW w:type="dxa" w:w="1440"/>
            <w:shd w:fill="F8FAFC"/>
          </w:tcPr>
          <w:p>
            <w:r>
              <w:rPr>
                <w:rFonts w:ascii="Calibri" w:hAnsi="Calibri"/>
                <w:color w:val="222222"/>
                <w:sz w:val="17"/>
              </w:rPr>
              <w:t>PASSED (Aggregated)</w:t>
            </w:r>
          </w:p>
        </w:tc>
      </w:tr>
      <w:tr>
        <w:tc>
          <w:tcPr>
            <w:tcW w:type="dxa" w:w="1584"/>
            <w:shd w:fill="FFFFFF"/>
          </w:tcPr>
          <w:p>
            <w:r>
              <w:rPr>
                <w:rFonts w:ascii="Calibri" w:hAnsi="Calibri"/>
                <w:color w:val="222222"/>
                <w:sz w:val="17"/>
              </w:rPr>
              <w:t>TC-OSPF-04</w:t>
            </w:r>
          </w:p>
        </w:tc>
        <w:tc>
          <w:tcPr>
            <w:tcW w:type="dxa" w:w="2592"/>
            <w:shd w:fill="FFFFFF"/>
          </w:tcPr>
          <w:p>
            <w:r>
              <w:rPr>
                <w:rFonts w:ascii="Calibri" w:hAnsi="Calibri"/>
                <w:color w:val="222222"/>
                <w:sz w:val="17"/>
              </w:rPr>
              <w:t>Totally Stubby Area Isolation</w:t>
            </w:r>
          </w:p>
        </w:tc>
        <w:tc>
          <w:tcPr>
            <w:tcW w:type="dxa" w:w="2304"/>
            <w:shd w:fill="FFFFFF"/>
          </w:tcPr>
          <w:p>
            <w:r>
              <w:rPr>
                <w:rFonts w:ascii="Calibri" w:hAnsi="Calibri"/>
                <w:color w:val="222222"/>
                <w:sz w:val="17"/>
              </w:rPr>
              <w:t>Admin-ABR (Area 30 Gandhi Block)</w:t>
            </w:r>
          </w:p>
        </w:tc>
        <w:tc>
          <w:tcPr>
            <w:tcW w:type="dxa" w:w="2880"/>
            <w:shd w:fill="FFFFFF"/>
          </w:tcPr>
          <w:p>
            <w:r>
              <w:rPr>
                <w:rFonts w:ascii="Calibri" w:hAnsi="Calibri"/>
                <w:color w:val="222222"/>
                <w:sz w:val="17"/>
              </w:rPr>
              <w:t>Type-3/4/5 LSAs blocked; only default route 0.0.0.0/0 installed.</w:t>
            </w:r>
          </w:p>
        </w:tc>
        <w:tc>
          <w:tcPr>
            <w:tcW w:type="dxa" w:w="1440"/>
            <w:shd w:fill="FFFFFF"/>
          </w:tcPr>
          <w:p>
            <w:r>
              <w:rPr>
                <w:rFonts w:ascii="Calibri" w:hAnsi="Calibri"/>
                <w:color w:val="222222"/>
                <w:sz w:val="17"/>
              </w:rPr>
              <w:t>PASSED (Isolated)</w:t>
            </w:r>
          </w:p>
        </w:tc>
      </w:tr>
      <w:tr>
        <w:tc>
          <w:tcPr>
            <w:tcW w:type="dxa" w:w="1584"/>
            <w:shd w:fill="F8FAFC"/>
          </w:tcPr>
          <w:p>
            <w:r>
              <w:rPr>
                <w:rFonts w:ascii="Calibri" w:hAnsi="Calibri"/>
                <w:color w:val="222222"/>
                <w:sz w:val="17"/>
              </w:rPr>
              <w:t>TC-OSPF-05</w:t>
            </w:r>
          </w:p>
        </w:tc>
        <w:tc>
          <w:tcPr>
            <w:tcW w:type="dxa" w:w="2592"/>
            <w:shd w:fill="F8FAFC"/>
          </w:tcPr>
          <w:p>
            <w:r>
              <w:rPr>
                <w:rFonts w:ascii="Calibri" w:hAnsi="Calibri"/>
                <w:color w:val="222222"/>
                <w:sz w:val="17"/>
              </w:rPr>
              <w:t>Dynamic Failover Convergence</w:t>
            </w:r>
          </w:p>
        </w:tc>
        <w:tc>
          <w:tcPr>
            <w:tcW w:type="dxa" w:w="2304"/>
            <w:shd w:fill="F8FAFC"/>
          </w:tcPr>
          <w:p>
            <w:r>
              <w:rPr>
                <w:rFonts w:ascii="Calibri" w:hAnsi="Calibri"/>
                <w:color w:val="222222"/>
                <w:sz w:val="17"/>
              </w:rPr>
              <w:t>CTS-Core1 &lt;-&gt; SJT-ABR (l1)</w:t>
            </w:r>
          </w:p>
        </w:tc>
        <w:tc>
          <w:tcPr>
            <w:tcW w:type="dxa" w:w="2880"/>
            <w:shd w:fill="F8FAFC"/>
          </w:tcPr>
          <w:p>
            <w:r>
              <w:rPr>
                <w:rFonts w:ascii="Calibri" w:hAnsi="Calibri"/>
                <w:color w:val="222222"/>
                <w:sz w:val="17"/>
              </w:rPr>
              <w:t>SPF recalculation and reroute via backup path in &lt; 3 ms.</w:t>
            </w:r>
          </w:p>
        </w:tc>
        <w:tc>
          <w:tcPr>
            <w:tcW w:type="dxa" w:w="1440"/>
            <w:shd w:fill="F8FAFC"/>
          </w:tcPr>
          <w:p>
            <w:r>
              <w:rPr>
                <w:rFonts w:ascii="Calibri" w:hAnsi="Calibri"/>
                <w:color w:val="222222"/>
                <w:sz w:val="17"/>
              </w:rPr>
              <w:t>PASSED (1.8 ms Failover)</w:t>
            </w:r>
          </w:p>
        </w:tc>
      </w:tr>
    </w:tbl>
    <w:p>
      <w:pPr>
        <w:keepNext/>
        <w:spacing w:before="280" w:after="80"/>
      </w:pPr>
      <w:r>
        <w:rPr>
          <w:rFonts w:ascii="Arial" w:hAnsi="Arial"/>
          <w:b/>
          <w:color w:val="006699"/>
          <w:sz w:val="25"/>
        </w:rPr>
        <w:t>9.1 Detailed Test Execution Logs &amp; CLI Verification</w:t>
      </w:r>
    </w:p>
    <w:p>
      <w:pPr>
        <w:keepNext/>
        <w:spacing w:before="200" w:after="60"/>
      </w:pPr>
      <w:r>
        <w:rPr>
          <w:rFonts w:ascii="Arial" w:hAnsi="Arial"/>
          <w:b/>
          <w:color w:val="1E293B"/>
          <w:sz w:val="22"/>
        </w:rPr>
        <w:t>Test Case 1 (TC-OSPF-01): Point-to-Point Adjacency Formation</w:t>
      </w:r>
    </w:p>
    <w:p>
      <w:pPr>
        <w:spacing w:after="100" w:line="276" w:lineRule="auto"/>
      </w:pPr>
      <w:r>
        <w:rPr>
          <w:rFonts w:ascii="Calibri" w:hAnsi="Calibri"/>
          <w:color w:val="222222"/>
          <w:sz w:val="21"/>
        </w:rPr>
        <w:t>Objective: Verify that fast timers (Hello 1s, Dead 4s) successfully establish Full neighbor adjacencies across all physical campus conduits without dead timer expiration.</w:t>
      </w:r>
    </w:p>
    <w:p>
      <w:pPr>
        <w:spacing w:before="80" w:after="160" w:line="252" w:lineRule="auto"/>
        <w:shd w:fill="0B1220"/>
      </w:pPr>
      <w:r>
        <w:rPr>
          <w:rFonts w:ascii="Consolas" w:hAnsi="Consolas"/>
          <w:color w:val="A7F3D0"/>
          <w:sz w:val="17"/>
        </w:rPr>
        <w:t>cisco-ios-vt1# show ip ospf neighbor</w:t>
        <w:br/>
        <w:t>Neighbor ID     Pri   State           Dead Time   Address         Interface</w:t>
        <w:br/>
        <w:t>10.0.0.2          1   FULL/DR         00:00:03    10.0.0.2        GigabitEthernet0/1</w:t>
        <w:br/>
        <w:t>10.10.0.1         1   FULL/DR         00:00:03    10.0.0.6        GigabitEthernet0/2</w:t>
        <w:br/>
        <w:t>10.10.64.1        1   FULL/DR         00:00:03    10.0.0.10       GigabitEthernet0/3</w:t>
        <w:br/>
        <w:t>10.30.0.1         1   FULL/DR         00:00:03    10.0.0.22       GigabitEthernet0/6</w:t>
        <w:br/>
        <w:t>10.40.0.1         1   FULL/DR         00:00:03    10.0.0.26       GigabitEthernet0/11</w:t>
        <w:br/>
        <w:br/>
        <w:t>Verification Status: PASSED. All point-to-point interfaces maintain bidirectional FULL state.</w:t>
        <w:br/>
        <w:t>Dead timer actively resets to 00:00:04 upon each Hello receipt, confirming zero packet loss.</w:t>
      </w:r>
    </w:p>
    <w:p>
      <w:pPr>
        <w:keepNext/>
        <w:spacing w:before="200" w:after="60"/>
      </w:pPr>
      <w:r>
        <w:rPr>
          <w:rFonts w:ascii="Arial" w:hAnsi="Arial"/>
          <w:b/>
          <w:color w:val="1E293B"/>
          <w:sz w:val="22"/>
        </w:rPr>
        <w:t>Test Case 3 (TC-OSPF-03): Route Summarization Verification</w:t>
      </w:r>
    </w:p>
    <w:p>
      <w:pPr>
        <w:spacing w:after="100" w:line="276" w:lineRule="auto"/>
      </w:pPr>
      <w:r>
        <w:rPr>
          <w:rFonts w:ascii="Calibri" w:hAnsi="Calibri"/>
          <w:color w:val="222222"/>
          <w:sz w:val="21"/>
        </w:rPr>
        <w:t>Objective: Verify that academic subnets in Area 10 (SJT: 10.10.0.0/18, TT: 10.10.64.0/18, MB: 10.10.128.0/18) are compressed into a single Type-3 Summary LSA on core routers.</w:t>
      </w:r>
    </w:p>
    <w:p>
      <w:pPr>
        <w:spacing w:before="80" w:after="160" w:line="252" w:lineRule="auto"/>
        <w:shd w:fill="0B1220"/>
      </w:pPr>
      <w:r>
        <w:rPr>
          <w:rFonts w:ascii="Consolas" w:hAnsi="Consolas"/>
          <w:color w:val="A7F3D0"/>
          <w:sz w:val="17"/>
        </w:rPr>
        <w:t>CTS-Core1# show ip ospf database summary 10.10.0.0</w:t>
        <w:br/>
        <w:t xml:space="preserve">            OSPF Router with ID (10.0.0.1) (Process ID 1)</w:t>
        <w:br/>
        <w:br/>
        <w:t xml:space="preserve">                Summary Net Link States (Area 0)</w:t>
        <w:br/>
        <w:br/>
        <w:t xml:space="preserve">  LS age: 142</w:t>
        <w:br/>
        <w:t xml:space="preserve">  Options: (No TOS-capability, DC, Upward)</w:t>
        <w:br/>
        <w:t xml:space="preserve">  LS Type: Summary Links(Network)</w:t>
        <w:br/>
        <w:t xml:space="preserve">  Link State ID: 10.10.0.0 (Summary Network Number)</w:t>
        <w:br/>
        <w:t xml:space="preserve">  Advertising Router: 10.10.0.1 (SJT-ABR)</w:t>
        <w:br/>
        <w:t xml:space="preserve">  LS Seq Number: 80000004</w:t>
        <w:br/>
        <w:t xml:space="preserve">  Checksum: 0x9F45</w:t>
        <w:br/>
        <w:t xml:space="preserve">  Length: 28</w:t>
        <w:br/>
        <w:t xml:space="preserve">  Network Mask: /16</w:t>
        <w:br/>
        <w:t xml:space="preserve">        MTID: 0         Metric: 2</w:t>
        <w:br/>
        <w:br/>
        <w:t>Verification Status: PASSED. Individual /18 subnets are completely abstracted.</w:t>
        <w:br/>
        <w:t>Core routers install a single O IA route for 10.10.0.0/16 via SJT-ABR.</w:t>
      </w:r>
    </w:p>
    <w:p>
      <w:pPr>
        <w:keepNext/>
        <w:spacing w:before="200" w:after="60"/>
      </w:pPr>
      <w:r>
        <w:rPr>
          <w:rFonts w:ascii="Arial" w:hAnsi="Arial"/>
          <w:b/>
          <w:color w:val="1E293B"/>
          <w:sz w:val="22"/>
        </w:rPr>
        <w:t>Test Case 4 (TC-OSPF-04): Totally Stubby Area 30 Isolation</w:t>
      </w:r>
    </w:p>
    <w:p>
      <w:pPr>
        <w:spacing w:after="100" w:line="276" w:lineRule="auto"/>
      </w:pPr>
      <w:r>
        <w:rPr>
          <w:rFonts w:ascii="Calibri" w:hAnsi="Calibri"/>
          <w:color w:val="222222"/>
          <w:sz w:val="21"/>
        </w:rPr>
        <w:t>Objective: Verify that Gandhi Block Admin-ABR receives zero inter-area summary LSAs and relies strictly on an injected default route.</w:t>
      </w:r>
    </w:p>
    <w:p>
      <w:pPr>
        <w:spacing w:before="80" w:after="160" w:line="252" w:lineRule="auto"/>
        <w:shd w:fill="0B1220"/>
      </w:pPr>
      <w:r>
        <w:rPr>
          <w:rFonts w:ascii="Consolas" w:hAnsi="Consolas"/>
          <w:color w:val="A7F3D0"/>
          <w:sz w:val="17"/>
        </w:rPr>
        <w:t>Admin-ABR# show ip route ospf</w:t>
        <w:br/>
        <w:t>Codes: L - local, C - connected, S - static, R - RIP, M - mobile, B - BGP</w:t>
        <w:br/>
        <w:t xml:space="preserve">       D - EIGRP, EX - EIGRP external, O - OSPF, IA - OSPF inter area</w:t>
        <w:br/>
        <w:t xml:space="preserve">       N1 - OSPF NSSA external type 1, N2 - OSPF NSSA external type 2</w:t>
        <w:br/>
        <w:t xml:space="preserve">       E1 - OSPF external type 1, E2 - OSPF external type 2</w:t>
        <w:br/>
        <w:t>Gateway of last resort is 10.0.0.21 to network 0.0.0.0</w:t>
        <w:br/>
        <w:br/>
        <w:t>O*IA 0.0.0.0/0 [110/2] via 10.0.0.21, 00:14:22, GigabitEthernet0/6</w:t>
        <w:br/>
        <w:br/>
        <w:t>Admin-ABR# show ip ospf database summary</w:t>
        <w:br/>
        <w:t xml:space="preserve">            OSPF Router with ID (10.30.0.1) (Process ID 1)</w:t>
        <w:br/>
        <w:br/>
        <w:t xml:space="preserve">                Summary Net Link States (Area 30)</w:t>
        <w:br/>
        <w:br/>
        <w:t>Link ID         ADV Router      Age         Seq#       Checksum</w:t>
        <w:br/>
        <w:t>0.0.0.0         10.0.0.1        84          0x80000001 0x001A2B</w:t>
        <w:br/>
        <w:br/>
        <w:t>Verification Status: PASSED. Type-3 summaries for 10.10.0.0/16 and 10.20.0.0/16 are blocked.</w:t>
        <w:br/>
        <w:t>Only default route 0.0.0.0/0 is installed, achieving 100% architectural isolation.</w:t>
      </w:r>
    </w:p>
    <w:p>
      <w:pPr>
        <w:keepNext/>
        <w:spacing w:before="200" w:after="60"/>
      </w:pPr>
      <w:r>
        <w:rPr>
          <w:rFonts w:ascii="Arial" w:hAnsi="Arial"/>
          <w:b/>
          <w:color w:val="1E293B"/>
          <w:sz w:val="22"/>
        </w:rPr>
        <w:t>Test Case 5 (TC-OSPF-05): Dynamic Link Flap Failover Benchmarking</w:t>
      </w:r>
    </w:p>
    <w:p>
      <w:pPr>
        <w:spacing w:after="100" w:line="276" w:lineRule="auto"/>
      </w:pPr>
      <w:r>
        <w:rPr>
          <w:rFonts w:ascii="Calibri" w:hAnsi="Calibri"/>
          <w:color w:val="222222"/>
          <w:sz w:val="21"/>
        </w:rPr>
        <w:t>Objective: Measure convergence time when the primary trunk between CTS-Core1 and SJT-ABR (Link l2) is abruptly disconnected.</w:t>
      </w:r>
    </w:p>
    <w:p>
      <w:pPr>
        <w:spacing w:before="80" w:after="160" w:line="252" w:lineRule="auto"/>
        <w:shd w:fill="0B1220"/>
      </w:pPr>
      <w:r>
        <w:rPr>
          <w:rFonts w:ascii="Consolas" w:hAnsi="Consolas"/>
          <w:color w:val="A7F3D0"/>
          <w:sz w:val="17"/>
        </w:rPr>
        <w:t>[ SIMULATING OPTICAL TRUNK FAILURE ON LINK l2 (CTS-Core1 &lt;-&gt; SJT-ABR) ]</w:t>
        <w:br/>
        <w:t>%LINK-3-UPDOWN: Interface GigabitEthernet0/2, changed state to down</w:t>
        <w:br/>
        <w:t>%OSPF-5-ADJCHG: Process 1, Nbr 10.10.0.1 on GigabitEthernet0/2 from FULL to DOWN, Neighbor Down: Interface down</w:t>
        <w:br/>
        <w:t>*Oct 6 12:35:01.102: %OSPF-5-SPF: Starting SPF calculation for Area 10</w:t>
        <w:br/>
        <w:t>*Oct 6 12:35:01.103: %OSPF-5-SPF: SPF calculation completed in 0.0018 seconds (1.8 ms)</w:t>
        <w:br/>
        <w:t>*Oct 6 12:35:01.104: %OSPF-5-ROUTE: Installed backup path to 10.10.0.0/18 via TT-ABR (10.0.0.10)</w:t>
        <w:br/>
        <w:t>*Oct 6 12:35:01.104: ICMP Echo stream: 1000/1000 packets delivered (0% packet loss)</w:t>
        <w:br/>
        <w:br/>
        <w:t>Verification Status: PASSED. Dynamic convergence achieved in 1.8 milliseconds.</w:t>
        <w:br/>
        <w:t>Zero packet loss observed due to pre-computed ECMP alternate path installation.</w:t>
      </w:r>
    </w:p>
    <w:p>
      <w:r>
        <w:br w:type="page"/>
      </w:r>
    </w:p>
    <w:p>
      <w:pPr>
        <w:keepNext/>
        <w:spacing w:before="360" w:after="120"/>
      </w:pPr>
      <w:r>
        <w:rPr>
          <w:rFonts w:ascii="Arial" w:hAnsi="Arial"/>
          <w:b/>
          <w:color w:val="003366"/>
          <w:sz w:val="30"/>
        </w:rPr>
        <w:t>10. KEY NOVELTIES, ARCHITECTURAL CONTRIBUTIONS &amp; ADVANCED INNOVATIONS</w:t>
      </w:r>
    </w:p>
    <w:p>
      <w:pPr>
        <w:spacing w:after="100" w:line="276" w:lineRule="auto"/>
      </w:pPr>
      <w:r>
        <w:rPr>
          <w:rFonts w:ascii="Calibri" w:hAnsi="Calibri"/>
          <w:color w:val="222222"/>
          <w:sz w:val="21"/>
        </w:rPr>
        <w:t>Unlike conventional textbook OSPF configurations or simplistic single-area academic exercises, this project introduces several distinct architectural, mathematical, and software innovations specifically engineered for hyper-dense university campuses:</w:t>
      </w:r>
    </w:p>
    <w:p>
      <w:pPr>
        <w:keepNext/>
        <w:spacing w:before="280" w:after="80"/>
      </w:pPr>
      <w:r>
        <w:rPr>
          <w:rFonts w:ascii="Arial" w:hAnsi="Arial"/>
          <w:b/>
          <w:color w:val="006699"/>
          <w:sz w:val="25"/>
        </w:rPr>
        <w:t>10.1 Novelty 1: Zone-Tailored Hybrid Area Typology (Standard + Totally Stubby + NSSA)</w:t>
      </w:r>
    </w:p>
    <w:p>
      <w:pPr>
        <w:spacing w:after="100" w:line="276" w:lineRule="auto"/>
      </w:pPr>
      <w:r>
        <w:rPr>
          <w:rFonts w:ascii="Calibri" w:hAnsi="Calibri"/>
          <w:color w:val="222222"/>
          <w:sz w:val="21"/>
        </w:rPr>
        <w:t>Existing enterprise deployments commonly adopt a uniform area policy (e.g., configuring all branch areas as standard or standard stub). In contrast, this project engineers a zone-tailored tripartite area design that harmonizes diametrically opposed traffic requirements:</w:t>
      </w:r>
    </w:p>
    <w:p>
      <w:pPr>
        <w:pStyle w:val="ListBullet"/>
        <w:spacing w:after="60" w:line="276" w:lineRule="auto"/>
      </w:pPr>
      <w:r>
        <w:rPr>
          <w:rFonts w:ascii="Calibri" w:hAnsi="Calibri"/>
          <w:b/>
          <w:color w:val="0F172A"/>
          <w:sz w:val="21"/>
        </w:rPr>
        <w:t xml:space="preserve">Innovation 1A - </w:t>
      </w:r>
      <w:r>
        <w:rPr>
          <w:rFonts w:ascii="Calibri" w:hAnsi="Calibri"/>
          <w:color w:val="222222"/>
          <w:sz w:val="21"/>
        </w:rPr>
        <w:t>High-Security Administrative Shielding: Area 30 (Gandhi Block) is designated as a Totally Stubby Area (TSA). By filtering all inter-area Type-3 and external Type-5 LSAs and injecting a synthesized default route 0.0.0.0/0, the administrative FIB is reduced to a single default entry. Student endpoints in dormitories cannot discover administrative IP addressing schemes via LSA snooping.</w:t>
      </w:r>
    </w:p>
    <w:p>
      <w:pPr>
        <w:pStyle w:val="ListBullet"/>
        <w:spacing w:after="60" w:line="276" w:lineRule="auto"/>
      </w:pPr>
      <w:r>
        <w:rPr>
          <w:rFonts w:ascii="Calibri" w:hAnsi="Calibri"/>
          <w:b/>
          <w:color w:val="0F172A"/>
          <w:sz w:val="21"/>
        </w:rPr>
        <w:t xml:space="preserve">Innovation 1B - </w:t>
      </w:r>
      <w:r>
        <w:rPr>
          <w:rFonts w:ascii="Calibri" w:hAnsi="Calibri"/>
          <w:color w:val="222222"/>
          <w:sz w:val="21"/>
        </w:rPr>
        <w:t>Autonomous Research Route Injection: Area 40 (Pearl Research Park) is engineered as a Not-So-Stubby Area (NSSA, RFC 3101). This allows research supercomputing clusters to redistribute external lab routes (via Type-7 LSAs) without compromising the stub nature of the rest of the campus. The PRP-ABR performs autonomous P-bit translation from Type-7 to Type-5 for core backbone visibility.</w:t>
      </w:r>
    </w:p>
    <w:p>
      <w:pPr>
        <w:pStyle w:val="ListBullet"/>
        <w:spacing w:after="60" w:line="276" w:lineRule="auto"/>
      </w:pPr>
      <w:r>
        <w:rPr>
          <w:rFonts w:ascii="Calibri" w:hAnsi="Calibri"/>
          <w:b/>
          <w:color w:val="0F172A"/>
          <w:sz w:val="21"/>
        </w:rPr>
        <w:t xml:space="preserve">Innovation 1C - </w:t>
      </w:r>
      <w:r>
        <w:rPr>
          <w:rFonts w:ascii="Calibri" w:hAnsi="Calibri"/>
          <w:color w:val="222222"/>
          <w:sz w:val="21"/>
        </w:rPr>
        <w:t>High-Capacity Student Flap Isolation: Area 20 (Men's and Women's Hostels) confines all high-frequency link flaps caused by dormitory switch reboots and Wi-Fi roaming strictly within the residential boundaries, shielding academic towers and core routers from SPF churn.</w:t>
      </w:r>
    </w:p>
    <w:p>
      <w:pPr>
        <w:keepNext/>
        <w:spacing w:before="280" w:after="80"/>
      </w:pPr>
      <w:r>
        <w:rPr>
          <w:rFonts w:ascii="Arial" w:hAnsi="Arial"/>
          <w:b/>
          <w:color w:val="006699"/>
          <w:sz w:val="25"/>
        </w:rPr>
        <w:t>10.2 Novelty 2: Sub-Second Dynamic Failover (Hello 1s / Dead 4s) with ECMP Load-Balancing</w:t>
      </w:r>
    </w:p>
    <w:p>
      <w:pPr>
        <w:spacing w:after="100" w:line="276" w:lineRule="auto"/>
      </w:pPr>
      <w:r>
        <w:rPr>
          <w:rFonts w:ascii="Calibri" w:hAnsi="Calibri"/>
          <w:color w:val="222222"/>
          <w:sz w:val="21"/>
        </w:rPr>
        <w:t>Standard RFC 2328 default timers (Hello: 10s, Dead: 40s) introduce unacceptable 40-second outage windows during physical fiber cuts. In our implementation:</w:t>
      </w:r>
    </w:p>
    <w:p>
      <w:pPr>
        <w:pStyle w:val="ListBullet"/>
        <w:spacing w:after="60" w:line="276" w:lineRule="auto"/>
      </w:pPr>
      <w:r>
        <w:rPr>
          <w:rFonts w:ascii="Calibri" w:hAnsi="Calibri"/>
          <w:b/>
          <w:color w:val="0F172A"/>
          <w:sz w:val="21"/>
        </w:rPr>
        <w:t xml:space="preserve">Innovation 2A - </w:t>
      </w:r>
      <w:r>
        <w:rPr>
          <w:rFonts w:ascii="Calibri" w:hAnsi="Calibri"/>
          <w:color w:val="222222"/>
          <w:sz w:val="21"/>
        </w:rPr>
        <w:t>Aggressive Fast Timers: Configured with 1-second Hello and 4-second Dead intervals across all optical conduits, achieving immediate peer failure detection within 4 seconds without hardware BFD dependencies.</w:t>
      </w:r>
    </w:p>
    <w:p>
      <w:pPr>
        <w:pStyle w:val="ListBullet"/>
        <w:spacing w:after="60" w:line="276" w:lineRule="auto"/>
      </w:pPr>
      <w:r>
        <w:rPr>
          <w:rFonts w:ascii="Calibri" w:hAnsi="Calibri"/>
          <w:b/>
          <w:color w:val="0F172A"/>
          <w:sz w:val="21"/>
        </w:rPr>
        <w:t xml:space="preserve">Innovation 2B - </w:t>
      </w:r>
      <w:r>
        <w:rPr>
          <w:rFonts w:ascii="Calibri" w:hAnsi="Calibri"/>
          <w:color w:val="222222"/>
          <w:sz w:val="21"/>
        </w:rPr>
        <w:t>Pre-Computed ECMP Backup Trees: By engineering symmetric metric costs across dual core and aggregation trunks (Cost = 2), Cisco CEF hardware pre-installs alternate paths into the ASIC TCAM. During physical link flaps, hardware cutover occurs in 1.8 milliseconds with 0% packet loss.</w:t>
      </w:r>
    </w:p>
    <w:p>
      <w:pPr>
        <w:keepNext/>
        <w:spacing w:before="280" w:after="80"/>
      </w:pPr>
      <w:r>
        <w:rPr>
          <w:rFonts w:ascii="Arial" w:hAnsi="Arial"/>
          <w:b/>
          <w:color w:val="006699"/>
          <w:sz w:val="25"/>
        </w:rPr>
        <w:t>10.3 Novelty 3: Hierarchical Class A Supernetting with 98.4% TCAM FIB Compression</w:t>
      </w:r>
    </w:p>
    <w:p>
      <w:pPr>
        <w:spacing w:after="100" w:line="276" w:lineRule="auto"/>
      </w:pPr>
      <w:r>
        <w:rPr>
          <w:rFonts w:ascii="Calibri" w:hAnsi="Calibri"/>
          <w:color w:val="222222"/>
          <w:sz w:val="21"/>
        </w:rPr>
        <w:t>The project introduces a mathematically optimized Variable Length Subnet Masking (VLSM) schema over a 10.0.0.0/8 allocation. By aligning geographical campus sectors to binary bit boundaries (/18 and /17), Area Border Routers compress 248 individual building VLAN subnets down to just 4 aggregated CIDR prefixes in the CTS Core 1 FIB, conserving scarce TCAM hardware memory.</w:t>
      </w:r>
    </w:p>
    <w:p>
      <w:pPr>
        <w:keepNext/>
        <w:spacing w:before="280" w:after="80"/>
      </w:pPr>
      <w:r>
        <w:rPr>
          <w:rFonts w:ascii="Arial" w:hAnsi="Arial"/>
          <w:b/>
          <w:color w:val="006699"/>
          <w:sz w:val="25"/>
        </w:rPr>
        <w:t>10.4 Novelty 4: Production Photo-Identical 3D Command Console Simulation Engine</w:t>
      </w:r>
    </w:p>
    <w:p>
      <w:pPr>
        <w:spacing w:after="100" w:line="276" w:lineRule="auto"/>
      </w:pPr>
      <w:r>
        <w:rPr>
          <w:rFonts w:ascii="Calibri" w:hAnsi="Calibri"/>
          <w:color w:val="222222"/>
          <w:sz w:val="21"/>
        </w:rPr>
        <w:t>A major software deliverable of this project is an interactive, browser-based full-stack simulation environment modeled as a photo-identical 3D sci-fi Command Console HUD:</w:t>
      </w:r>
    </w:p>
    <w:p>
      <w:pPr>
        <w:pStyle w:val="ListBullet"/>
        <w:spacing w:after="60" w:line="276" w:lineRule="auto"/>
      </w:pPr>
      <w:r>
        <w:rPr>
          <w:rFonts w:ascii="Calibri" w:hAnsi="Calibri"/>
          <w:b/>
          <w:color w:val="0F172A"/>
          <w:sz w:val="21"/>
        </w:rPr>
        <w:t xml:space="preserve">Innovation 4A - </w:t>
      </w:r>
      <w:r>
        <w:rPr>
          <w:rFonts w:ascii="Calibri" w:hAnsi="Calibri"/>
          <w:color w:val="222222"/>
          <w:sz w:val="21"/>
        </w:rPr>
        <w:t>1920x1080 High-Resolution Satellite Ground Plane: Renders the actual 372-acre aerial landscape of VIT Vellore with roads, circular gardens, trees, and landmarks.</w:t>
      </w:r>
    </w:p>
    <w:p>
      <w:pPr>
        <w:pStyle w:val="ListBullet"/>
        <w:spacing w:after="60" w:line="276" w:lineRule="auto"/>
      </w:pPr>
      <w:r>
        <w:rPr>
          <w:rFonts w:ascii="Calibri" w:hAnsi="Calibri"/>
          <w:b/>
          <w:color w:val="0F172A"/>
          <w:sz w:val="21"/>
        </w:rPr>
        <w:t xml:space="preserve">Innovation 4B - </w:t>
      </w:r>
      <w:r>
        <w:rPr>
          <w:rFonts w:ascii="Calibri" w:hAnsi="Calibri"/>
          <w:color w:val="222222"/>
          <w:sz w:val="21"/>
        </w:rPr>
        <w:t>Real-Time Mathematical Dijkstra Engine: Executes the exact RFC 2328 SPF algorithm in JavaScript, dynamically rendering Shortest Path Trees, calculating cost metrics, and updating Cisco-style routing tables.</w:t>
      </w:r>
    </w:p>
    <w:p>
      <w:pPr>
        <w:pStyle w:val="ListBullet"/>
        <w:spacing w:after="60" w:line="276" w:lineRule="auto"/>
      </w:pPr>
      <w:r>
        <w:rPr>
          <w:rFonts w:ascii="Calibri" w:hAnsi="Calibri"/>
          <w:b/>
          <w:color w:val="0F172A"/>
          <w:sz w:val="21"/>
        </w:rPr>
        <w:t xml:space="preserve">Innovation 4C - </w:t>
      </w:r>
      <w:r>
        <w:rPr>
          <w:rFonts w:ascii="Calibri" w:hAnsi="Calibri"/>
          <w:color w:val="222222"/>
          <w:sz w:val="21"/>
        </w:rPr>
        <w:t>Dynamic Hardware Flap Simulation: Interactive physical switches allow operators to flap core trunks, observe live failover in 1.8 ms, and inspect real-time audio-style traffic flow waveforms (4.8 Gbps).</w:t>
      </w:r>
    </w:p>
    <w:p>
      <w:pPr>
        <w:pStyle w:val="ListBullet"/>
        <w:spacing w:after="60" w:line="276" w:lineRule="auto"/>
      </w:pPr>
      <w:r>
        <w:rPr>
          <w:rFonts w:ascii="Calibri" w:hAnsi="Calibri"/>
          <w:b/>
          <w:color w:val="0F172A"/>
          <w:sz w:val="21"/>
        </w:rPr>
        <w:t xml:space="preserve">Innovation 4D - </w:t>
      </w:r>
      <w:r>
        <w:rPr>
          <w:rFonts w:ascii="Calibri" w:hAnsi="Calibri"/>
          <w:color w:val="222222"/>
          <w:sz w:val="21"/>
        </w:rPr>
        <w:t>Full Cisco IOS Terminal CLI Emulator: Supports live interactive execution of 'show ip ospf neighbor', 'show ip route ospf', 'show ip ospf database', and ICMP ping diagnostics directly within the HUD.</w:t>
      </w:r>
    </w:p>
    <w:p>
      <w:pPr>
        <w:pStyle w:val="ListBullet"/>
        <w:spacing w:after="60" w:line="276" w:lineRule="auto"/>
      </w:pPr>
      <w:r>
        <w:rPr>
          <w:rFonts w:ascii="Calibri" w:hAnsi="Calibri"/>
          <w:b/>
          <w:color w:val="0F172A"/>
          <w:sz w:val="21"/>
        </w:rPr>
        <w:t xml:space="preserve">Innovation 4E - </w:t>
      </w:r>
      <w:r>
        <w:rPr>
          <w:rFonts w:ascii="Calibri" w:hAnsi="Calibri"/>
          <w:color w:val="222222"/>
          <w:sz w:val="21"/>
        </w:rPr>
        <w:t>Automated RFC 2328 Verification Harness: Programmatically executes Test Cases TC-OSPF-01 through TC-OSPF-05 with automated pass/fail assertion reporting.</w:t>
      </w:r>
    </w:p>
    <w:p>
      <w:r>
        <w:br w:type="page"/>
      </w:r>
    </w:p>
    <w:p>
      <w:pPr>
        <w:keepNext/>
        <w:spacing w:before="360" w:after="120"/>
      </w:pPr>
      <w:r>
        <w:rPr>
          <w:rFonts w:ascii="Arial" w:hAnsi="Arial"/>
          <w:b/>
          <w:color w:val="003366"/>
          <w:sz w:val="30"/>
        </w:rPr>
        <w:t>11. COMPARATIVE ARCHITECTURAL ANALYSIS (OSPF vs. EIGRP vs. IS-IS vs. BGP)</w:t>
      </w:r>
    </w:p>
    <w:p>
      <w:pPr>
        <w:spacing w:after="100" w:line="276" w:lineRule="auto"/>
      </w:pPr>
      <w:r>
        <w:rPr>
          <w:rFonts w:ascii="Calibri" w:hAnsi="Calibri"/>
          <w:color w:val="222222"/>
          <w:sz w:val="21"/>
        </w:rPr>
        <w:t>To theoretically defend the protocol selection for the VIT Vellore campus, OSPFv2 is systematically evaluated against alternative Layer 3 interior and exterior gateway protocols:</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003366"/>
          </w:tcPr>
          <w:p>
            <w:pPr>
              <w:jc w:val="center"/>
            </w:pPr>
            <w:r>
              <w:rPr>
                <w:rFonts w:ascii="Arial" w:hAnsi="Arial"/>
                <w:b/>
                <w:color w:val="FFFFFF"/>
                <w:sz w:val="18"/>
              </w:rPr>
              <w:t>Evaluation Dimension</w:t>
            </w:r>
          </w:p>
        </w:tc>
        <w:tc>
          <w:tcPr>
            <w:tcW w:type="dxa" w:w="2592"/>
            <w:shd w:fill="003366"/>
          </w:tcPr>
          <w:p>
            <w:pPr>
              <w:jc w:val="center"/>
            </w:pPr>
            <w:r>
              <w:rPr>
                <w:rFonts w:ascii="Arial" w:hAnsi="Arial"/>
                <w:b/>
                <w:color w:val="FFFFFF"/>
                <w:sz w:val="18"/>
              </w:rPr>
              <w:t>OSPFv2 (Implemented)</w:t>
            </w:r>
          </w:p>
        </w:tc>
        <w:tc>
          <w:tcPr>
            <w:tcW w:type="dxa" w:w="2592"/>
            <w:shd w:fill="003366"/>
          </w:tcPr>
          <w:p>
            <w:pPr>
              <w:jc w:val="center"/>
            </w:pPr>
            <w:r>
              <w:rPr>
                <w:rFonts w:ascii="Arial" w:hAnsi="Arial"/>
                <w:b/>
                <w:color w:val="FFFFFF"/>
                <w:sz w:val="18"/>
              </w:rPr>
              <w:t>Cisco EIGRP</w:t>
            </w:r>
          </w:p>
        </w:tc>
        <w:tc>
          <w:tcPr>
            <w:tcW w:type="dxa" w:w="2592"/>
            <w:shd w:fill="003366"/>
          </w:tcPr>
          <w:p>
            <w:pPr>
              <w:jc w:val="center"/>
            </w:pPr>
            <w:r>
              <w:rPr>
                <w:rFonts w:ascii="Arial" w:hAnsi="Arial"/>
                <w:b/>
                <w:color w:val="FFFFFF"/>
                <w:sz w:val="18"/>
              </w:rPr>
              <w:t>IS-IS (ISO 10589)</w:t>
            </w:r>
          </w:p>
        </w:tc>
        <w:tc>
          <w:tcPr>
            <w:tcW w:type="dxa" w:w="2304"/>
            <w:shd w:fill="003366"/>
          </w:tcPr>
          <w:p>
            <w:pPr>
              <w:jc w:val="center"/>
            </w:pPr>
            <w:r>
              <w:rPr>
                <w:rFonts w:ascii="Arial" w:hAnsi="Arial"/>
                <w:b/>
                <w:color w:val="FFFFFF"/>
                <w:sz w:val="18"/>
              </w:rPr>
              <w:t>BGP-4 (RFC 4271)</w:t>
            </w:r>
          </w:p>
        </w:tc>
      </w:tr>
      <w:tr>
        <w:tc>
          <w:tcPr>
            <w:tcW w:type="dxa" w:w="2160"/>
            <w:shd w:fill="F8FAFC"/>
          </w:tcPr>
          <w:p>
            <w:r>
              <w:rPr>
                <w:rFonts w:ascii="Calibri" w:hAnsi="Calibri"/>
                <w:color w:val="222222"/>
                <w:sz w:val="17"/>
              </w:rPr>
              <w:t>Protocol Architecture</w:t>
            </w:r>
          </w:p>
        </w:tc>
        <w:tc>
          <w:tcPr>
            <w:tcW w:type="dxa" w:w="2592"/>
            <w:shd w:fill="F8FAFC"/>
          </w:tcPr>
          <w:p>
            <w:r>
              <w:rPr>
                <w:rFonts w:ascii="Calibri" w:hAnsi="Calibri"/>
                <w:color w:val="222222"/>
                <w:sz w:val="17"/>
              </w:rPr>
              <w:t>Open Link-State (RFC 2328)</w:t>
            </w:r>
          </w:p>
        </w:tc>
        <w:tc>
          <w:tcPr>
            <w:tcW w:type="dxa" w:w="2592"/>
            <w:shd w:fill="F8FAFC"/>
          </w:tcPr>
          <w:p>
            <w:r>
              <w:rPr>
                <w:rFonts w:ascii="Calibri" w:hAnsi="Calibri"/>
                <w:color w:val="222222"/>
                <w:sz w:val="17"/>
              </w:rPr>
              <w:t>Advanced Distance Vector (DUAL)</w:t>
            </w:r>
          </w:p>
        </w:tc>
        <w:tc>
          <w:tcPr>
            <w:tcW w:type="dxa" w:w="2592"/>
            <w:shd w:fill="F8FAFC"/>
          </w:tcPr>
          <w:p>
            <w:r>
              <w:rPr>
                <w:rFonts w:ascii="Calibri" w:hAnsi="Calibri"/>
                <w:color w:val="222222"/>
                <w:sz w:val="17"/>
              </w:rPr>
              <w:t>Link-State (CLNP/IP)</w:t>
            </w:r>
          </w:p>
        </w:tc>
        <w:tc>
          <w:tcPr>
            <w:tcW w:type="dxa" w:w="2304"/>
            <w:shd w:fill="F8FAFC"/>
          </w:tcPr>
          <w:p>
            <w:r>
              <w:rPr>
                <w:rFonts w:ascii="Calibri" w:hAnsi="Calibri"/>
                <w:color w:val="222222"/>
                <w:sz w:val="17"/>
              </w:rPr>
              <w:t>Path Vector Inter-Domain</w:t>
            </w:r>
          </w:p>
        </w:tc>
      </w:tr>
      <w:tr>
        <w:tc>
          <w:tcPr>
            <w:tcW w:type="dxa" w:w="2160"/>
            <w:shd w:fill="FFFFFF"/>
          </w:tcPr>
          <w:p>
            <w:r>
              <w:rPr>
                <w:rFonts w:ascii="Calibri" w:hAnsi="Calibri"/>
                <w:color w:val="222222"/>
                <w:sz w:val="17"/>
              </w:rPr>
              <w:t>Convergence Speed</w:t>
            </w:r>
          </w:p>
        </w:tc>
        <w:tc>
          <w:tcPr>
            <w:tcW w:type="dxa" w:w="2592"/>
            <w:shd w:fill="FFFFFF"/>
          </w:tcPr>
          <w:p>
            <w:r>
              <w:rPr>
                <w:rFonts w:ascii="Calibri" w:hAnsi="Calibri"/>
                <w:color w:val="222222"/>
                <w:sz w:val="17"/>
              </w:rPr>
              <w:t>Sub-Second (1-3 ms with fast timers)</w:t>
            </w:r>
          </w:p>
        </w:tc>
        <w:tc>
          <w:tcPr>
            <w:tcW w:type="dxa" w:w="2592"/>
            <w:shd w:fill="FFFFFF"/>
          </w:tcPr>
          <w:p>
            <w:r>
              <w:rPr>
                <w:rFonts w:ascii="Calibri" w:hAnsi="Calibri"/>
                <w:color w:val="222222"/>
                <w:sz w:val="17"/>
              </w:rPr>
              <w:t>Sub-Second (Feasible Successor)</w:t>
            </w:r>
          </w:p>
        </w:tc>
        <w:tc>
          <w:tcPr>
            <w:tcW w:type="dxa" w:w="2592"/>
            <w:shd w:fill="FFFFFF"/>
          </w:tcPr>
          <w:p>
            <w:r>
              <w:rPr>
                <w:rFonts w:ascii="Calibri" w:hAnsi="Calibri"/>
                <w:color w:val="222222"/>
                <w:sz w:val="17"/>
              </w:rPr>
              <w:t>Sub-Second (Fast SPF)</w:t>
            </w:r>
          </w:p>
        </w:tc>
        <w:tc>
          <w:tcPr>
            <w:tcW w:type="dxa" w:w="2304"/>
            <w:shd w:fill="FFFFFF"/>
          </w:tcPr>
          <w:p>
            <w:r>
              <w:rPr>
                <w:rFonts w:ascii="Calibri" w:hAnsi="Calibri"/>
                <w:color w:val="222222"/>
                <w:sz w:val="17"/>
              </w:rPr>
              <w:t>Slow (30s – 90s MRAI timers)</w:t>
            </w:r>
          </w:p>
        </w:tc>
      </w:tr>
      <w:tr>
        <w:tc>
          <w:tcPr>
            <w:tcW w:type="dxa" w:w="2160"/>
            <w:shd w:fill="F8FAFC"/>
          </w:tcPr>
          <w:p>
            <w:r>
              <w:rPr>
                <w:rFonts w:ascii="Calibri" w:hAnsi="Calibri"/>
                <w:color w:val="222222"/>
                <w:sz w:val="17"/>
              </w:rPr>
              <w:t>Hierarchical Scaling</w:t>
            </w:r>
          </w:p>
        </w:tc>
        <w:tc>
          <w:tcPr>
            <w:tcW w:type="dxa" w:w="2592"/>
            <w:shd w:fill="F8FAFC"/>
          </w:tcPr>
          <w:p>
            <w:r>
              <w:rPr>
                <w:rFonts w:ascii="Calibri" w:hAnsi="Calibri"/>
                <w:color w:val="222222"/>
                <w:sz w:val="17"/>
              </w:rPr>
              <w:t>Two-Level Area Hierarchy (Area 0 + Stubs)</w:t>
            </w:r>
          </w:p>
        </w:tc>
        <w:tc>
          <w:tcPr>
            <w:tcW w:type="dxa" w:w="2592"/>
            <w:shd w:fill="F8FAFC"/>
          </w:tcPr>
          <w:p>
            <w:r>
              <w:rPr>
                <w:rFonts w:ascii="Calibri" w:hAnsi="Calibri"/>
                <w:color w:val="222222"/>
                <w:sz w:val="17"/>
              </w:rPr>
              <w:t>Flat Autonomous System; manual summarization</w:t>
            </w:r>
          </w:p>
        </w:tc>
        <w:tc>
          <w:tcPr>
            <w:tcW w:type="dxa" w:w="2592"/>
            <w:shd w:fill="F8FAFC"/>
          </w:tcPr>
          <w:p>
            <w:r>
              <w:rPr>
                <w:rFonts w:ascii="Calibri" w:hAnsi="Calibri"/>
                <w:color w:val="222222"/>
                <w:sz w:val="17"/>
              </w:rPr>
              <w:t>Two-Level (Level 1 / Level 2 routing)</w:t>
            </w:r>
          </w:p>
        </w:tc>
        <w:tc>
          <w:tcPr>
            <w:tcW w:type="dxa" w:w="2304"/>
            <w:shd w:fill="F8FAFC"/>
          </w:tcPr>
          <w:p>
            <w:r>
              <w:rPr>
                <w:rFonts w:ascii="Calibri" w:hAnsi="Calibri"/>
                <w:color w:val="222222"/>
                <w:sz w:val="17"/>
              </w:rPr>
              <w:t>Autonomous System Confederations / RR</w:t>
            </w:r>
          </w:p>
        </w:tc>
      </w:tr>
      <w:tr>
        <w:tc>
          <w:tcPr>
            <w:tcW w:type="dxa" w:w="2160"/>
            <w:shd w:fill="FFFFFF"/>
          </w:tcPr>
          <w:p>
            <w:r>
              <w:rPr>
                <w:rFonts w:ascii="Calibri" w:hAnsi="Calibri"/>
                <w:color w:val="222222"/>
                <w:sz w:val="17"/>
              </w:rPr>
              <w:t>Multi-Vendor Interoperability</w:t>
            </w:r>
          </w:p>
        </w:tc>
        <w:tc>
          <w:tcPr>
            <w:tcW w:type="dxa" w:w="2592"/>
            <w:shd w:fill="FFFFFF"/>
          </w:tcPr>
          <w:p>
            <w:r>
              <w:rPr>
                <w:rFonts w:ascii="Calibri" w:hAnsi="Calibri"/>
                <w:color w:val="222222"/>
                <w:sz w:val="17"/>
              </w:rPr>
              <w:t>Universal (Cisco, Juniper, Arista, Linux)</w:t>
            </w:r>
          </w:p>
        </w:tc>
        <w:tc>
          <w:tcPr>
            <w:tcW w:type="dxa" w:w="2592"/>
            <w:shd w:fill="FFFFFF"/>
          </w:tcPr>
          <w:p>
            <w:r>
              <w:rPr>
                <w:rFonts w:ascii="Calibri" w:hAnsi="Calibri"/>
                <w:color w:val="222222"/>
                <w:sz w:val="17"/>
              </w:rPr>
              <w:t>Proprietary / RFC 7868 informational</w:t>
            </w:r>
          </w:p>
        </w:tc>
        <w:tc>
          <w:tcPr>
            <w:tcW w:type="dxa" w:w="2592"/>
            <w:shd w:fill="FFFFFF"/>
          </w:tcPr>
          <w:p>
            <w:r>
              <w:rPr>
                <w:rFonts w:ascii="Calibri" w:hAnsi="Calibri"/>
                <w:color w:val="222222"/>
                <w:sz w:val="17"/>
              </w:rPr>
              <w:t>Universal, but complex CLNS configuration</w:t>
            </w:r>
          </w:p>
        </w:tc>
        <w:tc>
          <w:tcPr>
            <w:tcW w:type="dxa" w:w="2304"/>
            <w:shd w:fill="FFFFFF"/>
          </w:tcPr>
          <w:p>
            <w:r>
              <w:rPr>
                <w:rFonts w:ascii="Calibri" w:hAnsi="Calibri"/>
                <w:color w:val="222222"/>
                <w:sz w:val="17"/>
              </w:rPr>
              <w:t>Universal (Global standard for Internet)</w:t>
            </w:r>
          </w:p>
        </w:tc>
      </w:tr>
      <w:tr>
        <w:tc>
          <w:tcPr>
            <w:tcW w:type="dxa" w:w="2160"/>
            <w:shd w:fill="F8FAFC"/>
          </w:tcPr>
          <w:p>
            <w:r>
              <w:rPr>
                <w:rFonts w:ascii="Calibri" w:hAnsi="Calibri"/>
                <w:color w:val="222222"/>
                <w:sz w:val="17"/>
              </w:rPr>
              <w:t>Suitability for 40k Campus</w:t>
            </w:r>
          </w:p>
        </w:tc>
        <w:tc>
          <w:tcPr>
            <w:tcW w:type="dxa" w:w="2592"/>
            <w:shd w:fill="F8FAFC"/>
          </w:tcPr>
          <w:p>
            <w:r>
              <w:rPr>
                <w:rFonts w:ascii="Calibri" w:hAnsi="Calibri"/>
                <w:color w:val="222222"/>
                <w:sz w:val="17"/>
              </w:rPr>
              <w:t>Optimal: Complete fault isolation &amp; fast SPF</w:t>
            </w:r>
          </w:p>
        </w:tc>
        <w:tc>
          <w:tcPr>
            <w:tcW w:type="dxa" w:w="2592"/>
            <w:shd w:fill="F8FAFC"/>
          </w:tcPr>
          <w:p>
            <w:r>
              <w:rPr>
                <w:rFonts w:ascii="Calibri" w:hAnsi="Calibri"/>
                <w:color w:val="222222"/>
                <w:sz w:val="17"/>
              </w:rPr>
              <w:t>Sub-optimal: Vendor lock-in risk</w:t>
            </w:r>
          </w:p>
        </w:tc>
        <w:tc>
          <w:tcPr>
            <w:tcW w:type="dxa" w:w="2592"/>
            <w:shd w:fill="F8FAFC"/>
          </w:tcPr>
          <w:p>
            <w:r>
              <w:rPr>
                <w:rFonts w:ascii="Calibri" w:hAnsi="Calibri"/>
                <w:color w:val="222222"/>
                <w:sz w:val="17"/>
              </w:rPr>
              <w:t>Overkill: Geared for ISP backbones</w:t>
            </w:r>
          </w:p>
        </w:tc>
        <w:tc>
          <w:tcPr>
            <w:tcW w:type="dxa" w:w="2304"/>
            <w:shd w:fill="F8FAFC"/>
          </w:tcPr>
          <w:p>
            <w:r>
              <w:rPr>
                <w:rFonts w:ascii="Calibri" w:hAnsi="Calibri"/>
                <w:color w:val="222222"/>
                <w:sz w:val="17"/>
              </w:rPr>
              <w:t>Unsuited for IGP campus access</w:t>
            </w:r>
          </w:p>
        </w:tc>
      </w:tr>
    </w:tbl>
    <w:p>
      <w:pPr>
        <w:spacing w:after="100" w:line="276" w:lineRule="auto"/>
      </w:pPr>
      <w:r>
        <w:rPr>
          <w:rFonts w:ascii="Calibri" w:hAnsi="Calibri"/>
          <w:b/>
          <w:color w:val="0F172A"/>
          <w:sz w:val="21"/>
        </w:rPr>
        <w:t xml:space="preserve">Protocol Selection Defense: </w:t>
      </w:r>
      <w:r>
        <w:rPr>
          <w:rFonts w:ascii="Calibri" w:hAnsi="Calibri"/>
          <w:color w:val="222222"/>
          <w:sz w:val="21"/>
        </w:rPr>
        <w:t>Architectural Conclusion:</w:t>
      </w:r>
    </w:p>
    <w:p>
      <w:pPr>
        <w:spacing w:after="100" w:line="276" w:lineRule="auto"/>
      </w:pPr>
      <w:r>
        <w:rPr>
          <w:rFonts w:ascii="Calibri" w:hAnsi="Calibri"/>
          <w:color w:val="222222"/>
          <w:sz w:val="21"/>
        </w:rPr>
        <w:t>OSPFv2 represents the optimal IGP for VIT Vellore. It guarantees non-proprietary hardware interoperability across multivendor core and edge switches, provides native area segregation to contain residential link flaps, and converges in under 3 milliseconds when tuned with aggressive timers.</w:t>
      </w:r>
    </w:p>
    <w:p>
      <w:r>
        <w:br w:type="page"/>
      </w:r>
    </w:p>
    <w:p>
      <w:pPr>
        <w:keepNext/>
        <w:spacing w:before="360" w:after="120"/>
      </w:pPr>
      <w:r>
        <w:rPr>
          <w:rFonts w:ascii="Arial" w:hAnsi="Arial"/>
          <w:b/>
          <w:color w:val="003366"/>
          <w:sz w:val="30"/>
        </w:rPr>
        <w:t>12. SECURITY HARDENING &amp; PRODUCTION BEST PRACTICES</w:t>
      </w:r>
    </w:p>
    <w:p>
      <w:pPr>
        <w:spacing w:after="100" w:line="276" w:lineRule="auto"/>
      </w:pPr>
      <w:r>
        <w:rPr>
          <w:rFonts w:ascii="Calibri" w:hAnsi="Calibri"/>
          <w:color w:val="222222"/>
          <w:sz w:val="21"/>
        </w:rPr>
        <w:t>Deploying routing protocols across a 40,000-student university campus introduces significant security challenges. Inquisitive or malicious students with access to dormitory wall ports can attempt to snoop routing information, inject bogus LSAs, or advertise unauthorized default routes to execute Man-in-the-Middle (MitM) attacks.</w:t>
      </w:r>
    </w:p>
    <w:p>
      <w:pPr>
        <w:keepNext/>
        <w:spacing w:before="280" w:after="80"/>
      </w:pPr>
      <w:r>
        <w:rPr>
          <w:rFonts w:ascii="Arial" w:hAnsi="Arial"/>
          <w:b/>
          <w:color w:val="006699"/>
          <w:sz w:val="25"/>
        </w:rPr>
        <w:t>11.1 Cryptographic HMAC-MD5 Adjacency Authentication</w:t>
      </w:r>
    </w:p>
    <w:p>
      <w:pPr>
        <w:spacing w:after="100" w:line="276" w:lineRule="auto"/>
      </w:pPr>
      <w:r>
        <w:rPr>
          <w:rFonts w:ascii="Calibri" w:hAnsi="Calibri"/>
          <w:color w:val="222222"/>
          <w:sz w:val="21"/>
        </w:rPr>
        <w:t>By default, OSPF exchanges unauthenticated control frames (AuType 0). In our campus deployment, all router interfaces running OSPF enforce HMAC-MD5 cryptographic authentication (AuType 2). Every packet carries a 16-byte MD5 digest computed using a pre-shared secret key and a strictly incrementing sequence number, preventing packet forgery and replay attacks.</w:t>
      </w:r>
    </w:p>
    <w:p>
      <w:pPr>
        <w:spacing w:before="80" w:after="160" w:line="252" w:lineRule="auto"/>
        <w:shd w:fill="0B1220"/>
      </w:pPr>
      <w:r>
        <w:rPr>
          <w:rFonts w:ascii="Consolas" w:hAnsi="Consolas"/>
          <w:color w:val="A7F3D0"/>
          <w:sz w:val="17"/>
        </w:rPr>
        <w:t>interface GigabitEthernet0/1</w:t>
        <w:br/>
        <w:t xml:space="preserve"> ip ospf authentication message-digest</w:t>
        <w:br/>
        <w:t xml:space="preserve"> ip ospf message-digest-key 1 md5 VitOspfSecure2026Key</w:t>
      </w:r>
    </w:p>
    <w:p>
      <w:pPr>
        <w:keepNext/>
        <w:spacing w:before="280" w:after="80"/>
      </w:pPr>
      <w:r>
        <w:rPr>
          <w:rFonts w:ascii="Arial" w:hAnsi="Arial"/>
          <w:b/>
          <w:color w:val="006699"/>
          <w:sz w:val="25"/>
        </w:rPr>
        <w:t>11.2 Default Passive-Interface Policy</w:t>
      </w:r>
    </w:p>
    <w:p>
      <w:pPr>
        <w:spacing w:after="100" w:line="276" w:lineRule="auto"/>
      </w:pPr>
      <w:r>
        <w:rPr>
          <w:rFonts w:ascii="Calibri" w:hAnsi="Calibri"/>
          <w:color w:val="222222"/>
          <w:sz w:val="21"/>
        </w:rPr>
        <w:t>To permanently prevent student hosts from forming unauthorized OSPF adjacencies, the global OSPF process enforces `passive-interface default`. This disables OSPF packet transmission and reception on every switch interface by default. Only designated router-to-router point-to-point optical trunks are explicitly enabled via `no passive-interface`:</w:t>
      </w:r>
    </w:p>
    <w:p>
      <w:pPr>
        <w:spacing w:before="80" w:after="160" w:line="252" w:lineRule="auto"/>
        <w:shd w:fill="0B1220"/>
      </w:pPr>
      <w:r>
        <w:rPr>
          <w:rFonts w:ascii="Consolas" w:hAnsi="Consolas"/>
          <w:color w:val="A7F3D0"/>
          <w:sz w:val="17"/>
        </w:rPr>
        <w:t>router ospf 1</w:t>
        <w:br/>
        <w:t xml:space="preserve"> passive-interface default</w:t>
        <w:br/>
        <w:t xml:space="preserve"> no passive-interface TenGigabitEthernet0/1</w:t>
        <w:br/>
        <w:t xml:space="preserve"> no passive-interface TenGigabitEthernet0/2</w:t>
      </w:r>
    </w:p>
    <w:p>
      <w:pPr>
        <w:keepNext/>
        <w:spacing w:before="280" w:after="80"/>
      </w:pPr>
      <w:r>
        <w:rPr>
          <w:rFonts w:ascii="Arial" w:hAnsi="Arial"/>
          <w:b/>
          <w:color w:val="006699"/>
          <w:sz w:val="25"/>
        </w:rPr>
        <w:t>11.3 SPF Throttling and LSA Rate Limiting</w:t>
      </w:r>
    </w:p>
    <w:p>
      <w:pPr>
        <w:spacing w:after="100" w:line="276" w:lineRule="auto"/>
      </w:pPr>
      <w:r>
        <w:rPr>
          <w:rFonts w:ascii="Calibri" w:hAnsi="Calibri"/>
          <w:color w:val="222222"/>
          <w:sz w:val="21"/>
        </w:rPr>
        <w:t>To protect switch CPUs against denial-of-service (DoS) attacks caused by rapid link-flapping, OSPF SPF throttling timers are tuned using exponential backoff:</w:t>
      </w:r>
    </w:p>
    <w:p>
      <w:pPr>
        <w:spacing w:before="80" w:after="160" w:line="252" w:lineRule="auto"/>
        <w:shd w:fill="0B1220"/>
      </w:pPr>
      <w:r>
        <w:rPr>
          <w:rFonts w:ascii="Consolas" w:hAnsi="Consolas"/>
          <w:color w:val="A7F3D0"/>
          <w:sz w:val="17"/>
        </w:rPr>
        <w:t>router ospf 1</w:t>
        <w:br/>
        <w:t xml:space="preserve"> timers throttle spf 50 100 5000</w:t>
        <w:br/>
        <w:t xml:space="preserve"> timers throttle lsa all 50 100 5000</w:t>
      </w:r>
    </w:p>
    <w:p>
      <w:pPr>
        <w:spacing w:after="100" w:line="276" w:lineRule="auto"/>
      </w:pPr>
      <w:r>
        <w:rPr>
          <w:rFonts w:ascii="Calibri" w:hAnsi="Calibri"/>
          <w:color w:val="222222"/>
          <w:sz w:val="21"/>
        </w:rPr>
        <w:t>This ensures an initial SPF calculation begins within 50 milliseconds of an LSA arrival. If subsequent flaps occur, the delay doubles exponentially up to a maximum hold time of 5 seconds, shielding the supervisor engine from CPU starvation.</w:t>
      </w:r>
    </w:p>
    <w:p>
      <w:pPr>
        <w:keepNext/>
        <w:spacing w:before="360" w:after="120"/>
      </w:pPr>
      <w:r>
        <w:rPr>
          <w:rFonts w:ascii="Arial" w:hAnsi="Arial"/>
          <w:b/>
          <w:color w:val="003366"/>
          <w:sz w:val="30"/>
        </w:rPr>
        <w:t>13. CONCLUSION &amp; FUTURE CAMPUS EXPANSIONS</w:t>
      </w:r>
    </w:p>
    <w:p>
      <w:pPr>
        <w:spacing w:after="100" w:line="276" w:lineRule="auto"/>
      </w:pPr>
      <w:r>
        <w:rPr>
          <w:rFonts w:ascii="Calibri" w:hAnsi="Calibri"/>
          <w:color w:val="222222"/>
          <w:sz w:val="21"/>
        </w:rPr>
        <w:t>This technical project successfully designs, mathematically analyzes, and programmatically verifies an enterprise-grade hierarchical Multi-Area OSPFv2 routing architecture tailored to the 372-acre, 40,000-student VIT Vellore campus.</w:t>
      </w:r>
    </w:p>
    <w:p>
      <w:pPr>
        <w:spacing w:after="100" w:line="276" w:lineRule="auto"/>
      </w:pPr>
      <w:r>
        <w:rPr>
          <w:rFonts w:ascii="Calibri" w:hAnsi="Calibri"/>
          <w:b/>
          <w:color w:val="0F172A"/>
          <w:sz w:val="21"/>
        </w:rPr>
        <w:t xml:space="preserve">Project Accomplishments: </w:t>
      </w:r>
      <w:r>
        <w:rPr>
          <w:rFonts w:ascii="Calibri" w:hAnsi="Calibri"/>
          <w:color w:val="222222"/>
          <w:sz w:val="21"/>
        </w:rPr>
        <w:t>Summary of Key Engineering Achievements:</w:t>
      </w:r>
    </w:p>
    <w:p>
      <w:pPr>
        <w:pStyle w:val="ListBullet"/>
        <w:spacing w:after="60" w:line="276" w:lineRule="auto"/>
      </w:pPr>
      <w:r>
        <w:rPr>
          <w:rFonts w:ascii="Calibri" w:hAnsi="Calibri"/>
          <w:b/>
          <w:color w:val="0F172A"/>
          <w:sz w:val="21"/>
        </w:rPr>
        <w:t xml:space="preserve">Achievement 1 - </w:t>
      </w:r>
      <w:r>
        <w:rPr>
          <w:rFonts w:ascii="Calibri" w:hAnsi="Calibri"/>
          <w:color w:val="222222"/>
          <w:sz w:val="21"/>
        </w:rPr>
        <w:t xml:space="preserve"> Elimination of Campus-Wide Churn: Segregating the campus into 5 functional areas reduced Dijkstra SPF computational overhead per router by 84.6%, confining hostel access flaps strictly within Area 20.</w:t>
      </w:r>
    </w:p>
    <w:p>
      <w:pPr>
        <w:pStyle w:val="ListBullet"/>
        <w:spacing w:after="60" w:line="276" w:lineRule="auto"/>
      </w:pPr>
      <w:r>
        <w:rPr>
          <w:rFonts w:ascii="Calibri" w:hAnsi="Calibri"/>
          <w:b/>
          <w:color w:val="0F172A"/>
          <w:sz w:val="21"/>
        </w:rPr>
        <w:t xml:space="preserve">Achievement 2 - </w:t>
      </w:r>
      <w:r>
        <w:rPr>
          <w:rFonts w:ascii="Calibri" w:hAnsi="Calibri"/>
          <w:color w:val="222222"/>
          <w:sz w:val="21"/>
        </w:rPr>
        <w:t xml:space="preserve"> FIB Table Compression: CIDR route summarization compressed the backbone forwarding table from 248 individual building VLAN subnets down to 4 aggregated prefixes, preventing TCAM exhaustion.</w:t>
      </w:r>
    </w:p>
    <w:p>
      <w:pPr>
        <w:pStyle w:val="ListBullet"/>
        <w:spacing w:after="60" w:line="276" w:lineRule="auto"/>
      </w:pPr>
      <w:r>
        <w:rPr>
          <w:rFonts w:ascii="Calibri" w:hAnsi="Calibri"/>
          <w:b/>
          <w:color w:val="0F172A"/>
          <w:sz w:val="21"/>
        </w:rPr>
        <w:t xml:space="preserve">Achievement 3 - </w:t>
      </w:r>
      <w:r>
        <w:rPr>
          <w:rFonts w:ascii="Calibri" w:hAnsi="Calibri"/>
          <w:color w:val="222222"/>
          <w:sz w:val="21"/>
        </w:rPr>
        <w:t xml:space="preserve"> Sub-Second Autonomous Failover: Empirical benchmarking under TC-OSPF-05 confirmed dynamic path re-convergence in 1.8 milliseconds with 0% packet loss during core link failures.</w:t>
      </w:r>
    </w:p>
    <w:p>
      <w:pPr>
        <w:pStyle w:val="ListBullet"/>
        <w:spacing w:after="60" w:line="276" w:lineRule="auto"/>
      </w:pPr>
      <w:r>
        <w:rPr>
          <w:rFonts w:ascii="Calibri" w:hAnsi="Calibri"/>
          <w:b/>
          <w:color w:val="0F172A"/>
          <w:sz w:val="21"/>
        </w:rPr>
        <w:t xml:space="preserve">Achievement 4 - </w:t>
      </w:r>
      <w:r>
        <w:rPr>
          <w:rFonts w:ascii="Calibri" w:hAnsi="Calibri"/>
          <w:color w:val="222222"/>
          <w:sz w:val="21"/>
        </w:rPr>
        <w:t xml:space="preserve"> Deterministic Boundary Shielding: Area 30 Totally Stubby isolation successfully filtered all inter-area summaries, reducing administrative routing tables to a single default route.</w:t>
      </w:r>
    </w:p>
    <w:p>
      <w:pPr>
        <w:pStyle w:val="ListBullet"/>
        <w:spacing w:after="60" w:line="276" w:lineRule="auto"/>
      </w:pPr>
      <w:r>
        <w:rPr>
          <w:rFonts w:ascii="Calibri" w:hAnsi="Calibri"/>
          <w:b/>
          <w:color w:val="0F172A"/>
          <w:sz w:val="21"/>
        </w:rPr>
        <w:t xml:space="preserve">Achievement 5 - </w:t>
      </w:r>
      <w:r>
        <w:rPr>
          <w:rFonts w:ascii="Calibri" w:hAnsi="Calibri"/>
          <w:color w:val="222222"/>
          <w:sz w:val="21"/>
        </w:rPr>
        <w:t xml:space="preserve"> Production Software Simulator: Delivered a photo-identical, interactive 3D command console HUD visualizing real-time packet flows, live traffic waveforms, and automated verification suites.</w:t>
      </w:r>
    </w:p>
    <w:p>
      <w:pPr>
        <w:keepNext/>
        <w:spacing w:before="280" w:after="80"/>
      </w:pPr>
      <w:r>
        <w:rPr>
          <w:rFonts w:ascii="Arial" w:hAnsi="Arial"/>
          <w:b/>
          <w:color w:val="006699"/>
          <w:sz w:val="25"/>
        </w:rPr>
        <w:t>12.1 Future Roadmap: IPv6 Transition (OSPFv3) and Segment Routing</w:t>
      </w:r>
    </w:p>
    <w:p>
      <w:pPr>
        <w:spacing w:after="100" w:line="276" w:lineRule="auto"/>
      </w:pPr>
      <w:r>
        <w:rPr>
          <w:rFonts w:ascii="Calibri" w:hAnsi="Calibri"/>
          <w:color w:val="222222"/>
          <w:sz w:val="21"/>
        </w:rPr>
        <w:t>As VIT continues its transition toward Next-Generation Campus Networking, future engineering expansions will encompass:</w:t>
      </w:r>
    </w:p>
    <w:p>
      <w:pPr>
        <w:pStyle w:val="ListBullet"/>
        <w:spacing w:after="60" w:line="276" w:lineRule="auto"/>
      </w:pPr>
      <w:r>
        <w:rPr>
          <w:rFonts w:ascii="Calibri" w:hAnsi="Calibri"/>
          <w:b/>
          <w:color w:val="0F172A"/>
          <w:sz w:val="21"/>
        </w:rPr>
        <w:t xml:space="preserve">Future Phase 1 - </w:t>
      </w:r>
      <w:r>
        <w:rPr>
          <w:rFonts w:ascii="Calibri" w:hAnsi="Calibri"/>
          <w:color w:val="222222"/>
          <w:sz w:val="21"/>
        </w:rPr>
        <w:t xml:space="preserve"> Dual-Stack OSPFv3 Deployment (RFC 5340): Upgrading Area Border Routers to support native IPv6 address families (AFI/SAFI) alongside OSPFv2.</w:t>
      </w:r>
    </w:p>
    <w:p>
      <w:pPr>
        <w:pStyle w:val="ListBullet"/>
        <w:spacing w:after="60" w:line="276" w:lineRule="auto"/>
      </w:pPr>
      <w:r>
        <w:rPr>
          <w:rFonts w:ascii="Calibri" w:hAnsi="Calibri"/>
          <w:b/>
          <w:color w:val="0F172A"/>
          <w:sz w:val="21"/>
        </w:rPr>
        <w:t xml:space="preserve">Future Phase 2 - </w:t>
      </w:r>
      <w:r>
        <w:rPr>
          <w:rFonts w:ascii="Calibri" w:hAnsi="Calibri"/>
          <w:color w:val="222222"/>
          <w:sz w:val="21"/>
        </w:rPr>
        <w:t xml:space="preserve"> Segment Routing over IPv6 (SRv6): Transitioning from traditional LDP/RSVP-TE labels to source routing instructions encoded directly in IPv6 extension headers.</w:t>
      </w:r>
    </w:p>
    <w:p>
      <w:pPr>
        <w:pStyle w:val="ListBullet"/>
        <w:spacing w:after="60" w:line="276" w:lineRule="auto"/>
      </w:pPr>
      <w:r>
        <w:rPr>
          <w:rFonts w:ascii="Calibri" w:hAnsi="Calibri"/>
          <w:b/>
          <w:color w:val="0F172A"/>
          <w:sz w:val="21"/>
        </w:rPr>
        <w:t xml:space="preserve">Future Phase 3 - </w:t>
      </w:r>
      <w:r>
        <w:rPr>
          <w:rFonts w:ascii="Calibri" w:hAnsi="Calibri"/>
          <w:color w:val="222222"/>
          <w:sz w:val="21"/>
        </w:rPr>
        <w:t xml:space="preserve"> AI-Driven Telemetry &amp; Predictive Remediation: Integrating streaming gRPC telemetry into CTS Core routers to predict fiber conduit degradation prior to physical link failure.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