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003366"/>
          <w:sz w:val="44"/>
        </w:rPr>
        <w:t>VELLORE INSTITUTE OF TECHNOLOGY</w:t>
      </w:r>
    </w:p>
    <w:p>
      <w:pPr>
        <w:spacing w:after="320"/>
        <w:jc w:val="center"/>
      </w:pPr>
      <w:r>
        <w:rPr>
          <w:rFonts w:ascii="Arial" w:hAnsi="Arial"/>
          <w:color w:val="646464"/>
          <w:sz w:val="24"/>
        </w:rPr>
        <w:t>School of Information Technology and Engineering (SITE)</w:t>
        <w:br/>
        <w:t>Department of Computer Communication and Networks</w:t>
      </w:r>
    </w:p>
    <w:p>
      <w:pPr>
        <w:spacing w:after="120"/>
        <w:jc w:val="center"/>
      </w:pPr>
      <w:r>
        <w:rPr>
          <w:rFonts w:ascii="Arial" w:hAnsi="Arial"/>
          <w:b/>
          <w:color w:val="006699"/>
          <w:sz w:val="30"/>
        </w:rPr>
        <w:t>DESIGN AND PRODUCTION IMPLEMENTATION OF A SCALABLE MULTI-AREA OSPF ROUTING ARCHITECTURE FOR A 40,000-STUDENT ENTERPRISE CAMPUS</w:t>
      </w:r>
    </w:p>
    <w:p>
      <w:pPr>
        <w:spacing w:after="400"/>
        <w:jc w:val="center"/>
      </w:pPr>
      <w:r>
        <w:rPr>
          <w:rFonts w:ascii="Calibri" w:hAnsi="Calibri"/>
          <w:i/>
          <w:sz w:val="22"/>
        </w:rPr>
        <w:t>Course: Computer Communication Networks (BCSE308L / BITE308L)</w:t>
        <w:br/>
        <w:t>Academic Year: 2025-2026</w:t>
      </w:r>
    </w:p>
    <w:tbl>
      <w:tblPr>
        <w:tblW w:type="auto" w:w="0"/>
        <w:jc w:val="center"/>
        <w:tblLook w:firstColumn="1" w:firstRow="1" w:lastColumn="0" w:lastRow="0" w:noHBand="0" w:noVBand="1" w:val="04A0"/>
      </w:tblPr>
      <w:tblGrid>
        <w:gridCol w:w="3312"/>
        <w:gridCol w:w="3312"/>
        <w:gridCol w:w="3312"/>
      </w:tblGrid>
      <w:tr>
        <w:tc>
          <w:tcPr>
            <w:tcW w:type="dxa" w:w="3312"/>
            <w:shd w:fill="003366"/>
          </w:tcPr>
          <w:p>
            <w:pPr>
              <w:jc w:val="center"/>
            </w:pPr>
            <w:r>
              <w:rPr>
                <w:rFonts w:ascii="Arial" w:hAnsi="Arial"/>
                <w:b/>
                <w:color w:val="FFFFFF"/>
                <w:sz w:val="19"/>
              </w:rPr>
              <w:t>Student Name</w:t>
            </w:r>
          </w:p>
        </w:tc>
        <w:tc>
          <w:tcPr>
            <w:tcW w:type="dxa" w:w="3312"/>
            <w:shd w:fill="003366"/>
          </w:tcPr>
          <w:p>
            <w:pPr>
              <w:jc w:val="center"/>
            </w:pPr>
            <w:r>
              <w:rPr>
                <w:rFonts w:ascii="Arial" w:hAnsi="Arial"/>
                <w:b/>
                <w:color w:val="FFFFFF"/>
                <w:sz w:val="19"/>
              </w:rPr>
              <w:t>Registration Number</w:t>
            </w:r>
          </w:p>
        </w:tc>
        <w:tc>
          <w:tcPr>
            <w:tcW w:type="dxa" w:w="3312"/>
            <w:shd w:fill="003366"/>
          </w:tcPr>
          <w:p>
            <w:pPr>
              <w:jc w:val="center"/>
            </w:pPr>
            <w:r>
              <w:rPr>
                <w:rFonts w:ascii="Arial" w:hAnsi="Arial"/>
                <w:b/>
                <w:color w:val="FFFFFF"/>
                <w:sz w:val="19"/>
              </w:rPr>
              <w:t>Academic Program</w:t>
            </w:r>
          </w:p>
        </w:tc>
      </w:tr>
      <w:tr>
        <w:tc>
          <w:tcPr>
            <w:tcW w:type="dxa" w:w="3312"/>
            <w:shd w:fill="F4F8FA"/>
          </w:tcPr>
          <w:p>
            <w:r>
              <w:rPr>
                <w:rFonts w:ascii="Calibri" w:hAnsi="Calibri"/>
                <w:color w:val="222222"/>
                <w:sz w:val="18"/>
              </w:rPr>
              <w:t>Ansh Katiyar</w:t>
            </w:r>
          </w:p>
        </w:tc>
        <w:tc>
          <w:tcPr>
            <w:tcW w:type="dxa" w:w="3312"/>
            <w:shd w:fill="F4F8FA"/>
          </w:tcPr>
          <w:p>
            <w:r>
              <w:rPr>
                <w:rFonts w:ascii="Calibri" w:hAnsi="Calibri"/>
                <w:color w:val="222222"/>
                <w:sz w:val="18"/>
              </w:rPr>
              <w:t>25BIT0333</w:t>
            </w:r>
          </w:p>
        </w:tc>
        <w:tc>
          <w:tcPr>
            <w:tcW w:type="dxa" w:w="3312"/>
            <w:shd w:fill="F4F8FA"/>
          </w:tcPr>
          <w:p>
            <w:r>
              <w:rPr>
                <w:rFonts w:ascii="Calibri" w:hAnsi="Calibri"/>
                <w:color w:val="222222"/>
                <w:sz w:val="18"/>
              </w:rPr>
              <w:t>B.Tech Information Technology</w:t>
            </w:r>
          </w:p>
        </w:tc>
      </w:tr>
      <w:tr>
        <w:tc>
          <w:tcPr>
            <w:tcW w:type="dxa" w:w="3312"/>
            <w:shd w:fill="FFFFFF"/>
          </w:tcPr>
          <w:p>
            <w:r>
              <w:rPr>
                <w:rFonts w:ascii="Calibri" w:hAnsi="Calibri"/>
                <w:color w:val="222222"/>
                <w:sz w:val="18"/>
              </w:rPr>
              <w:t>Student Co-Author 1</w:t>
            </w:r>
          </w:p>
        </w:tc>
        <w:tc>
          <w:tcPr>
            <w:tcW w:type="dxa" w:w="3312"/>
            <w:shd w:fill="FFFFFF"/>
          </w:tcPr>
          <w:p>
            <w:r>
              <w:rPr>
                <w:rFonts w:ascii="Calibri" w:hAnsi="Calibri"/>
                <w:color w:val="222222"/>
                <w:sz w:val="18"/>
              </w:rPr>
              <w:t>25BIT0208</w:t>
            </w:r>
          </w:p>
        </w:tc>
        <w:tc>
          <w:tcPr>
            <w:tcW w:type="dxa" w:w="3312"/>
            <w:shd w:fill="FFFFFF"/>
          </w:tcPr>
          <w:p>
            <w:r>
              <w:rPr>
                <w:rFonts w:ascii="Calibri" w:hAnsi="Calibri"/>
                <w:color w:val="222222"/>
                <w:sz w:val="18"/>
              </w:rPr>
              <w:t>B.Tech Information Technology</w:t>
            </w:r>
          </w:p>
        </w:tc>
      </w:tr>
      <w:tr>
        <w:tc>
          <w:tcPr>
            <w:tcW w:type="dxa" w:w="3312"/>
            <w:shd w:fill="F4F8FA"/>
          </w:tcPr>
          <w:p>
            <w:r>
              <w:rPr>
                <w:rFonts w:ascii="Calibri" w:hAnsi="Calibri"/>
                <w:color w:val="222222"/>
                <w:sz w:val="18"/>
              </w:rPr>
              <w:t>Student Co-Author 2</w:t>
            </w:r>
          </w:p>
        </w:tc>
        <w:tc>
          <w:tcPr>
            <w:tcW w:type="dxa" w:w="3312"/>
            <w:shd w:fill="F4F8FA"/>
          </w:tcPr>
          <w:p>
            <w:r>
              <w:rPr>
                <w:rFonts w:ascii="Calibri" w:hAnsi="Calibri"/>
                <w:color w:val="222222"/>
                <w:sz w:val="18"/>
              </w:rPr>
              <w:t>25BIT0292</w:t>
            </w:r>
          </w:p>
        </w:tc>
        <w:tc>
          <w:tcPr>
            <w:tcW w:type="dxa" w:w="3312"/>
            <w:shd w:fill="F4F8FA"/>
          </w:tcPr>
          <w:p>
            <w:r>
              <w:rPr>
                <w:rFonts w:ascii="Calibri" w:hAnsi="Calibri"/>
                <w:color w:val="222222"/>
                <w:sz w:val="18"/>
              </w:rPr>
              <w:t>B.Tech Information Technology</w:t>
            </w:r>
          </w:p>
        </w:tc>
      </w:tr>
    </w:tbl>
    <w:p>
      <w:r>
        <w:br w:type="page"/>
      </w:r>
    </w:p>
    <w:p>
      <w:pPr>
        <w:keepNext/>
        <w:spacing w:before="280" w:after="120"/>
      </w:pPr>
      <w:r>
        <w:rPr>
          <w:rFonts w:ascii="Arial" w:hAnsi="Arial"/>
          <w:b/>
          <w:color w:val="003366"/>
          <w:sz w:val="32"/>
        </w:rPr>
        <w:t>1. PROJECT OBJECTIVES &amp; PROBLEM FORMULATION</w:t>
      </w:r>
    </w:p>
    <w:p>
      <w:pPr>
        <w:spacing w:after="100" w:line="276" w:lineRule="auto"/>
      </w:pPr>
      <w:r>
        <w:rPr>
          <w:rFonts w:ascii="Calibri" w:hAnsi="Calibri"/>
          <w:color w:val="222222"/>
          <w:sz w:val="22"/>
        </w:rPr>
        <w:t>Vellore Institute of Technology (VIT), Vellore campus encompasses 372 acres of complex academic, residential, administrative, and research zones serving an active daily population of over 40,000 students, 3,500 faculty members, and thousands of connected laboratory workstations. As high-bandwidth smart campus services (including enterprise gigabit Wi-Fi 6E, biometric attendance terminals, research supercomputing clusters, cloud-hosted learning management portals, and multi-gigabit IP surveillance) expand, campus network reliability and convergence speed become mission-critical.</w:t>
      </w:r>
    </w:p>
    <w:p>
      <w:pPr>
        <w:spacing w:after="100" w:line="276" w:lineRule="auto"/>
      </w:pPr>
      <w:r>
        <w:rPr>
          <w:rFonts w:ascii="Calibri" w:hAnsi="Calibri"/>
          <w:color w:val="222222"/>
          <w:sz w:val="22"/>
        </w:rPr>
        <w:t>Predefined Project Objectives:</w:t>
      </w:r>
    </w:p>
    <w:p>
      <w:pPr>
        <w:spacing w:after="100" w:line="276" w:lineRule="auto"/>
      </w:pPr>
      <w:r>
        <w:rPr>
          <w:rFonts w:ascii="Calibri" w:hAnsi="Calibri"/>
          <w:color w:val="222222"/>
          <w:sz w:val="22"/>
        </w:rPr>
        <w:t>1. Universal Campus Connectivity: Engineer a seamless, high-speed, non-blocking L3 routing framework providing resilient end-to-end IP reachability across all campus sectors (Academic Towers, 35+ Men's and Women's Hostel Blocks, Central Administrative DC, and Research Facilities).</w:t>
      </w:r>
    </w:p>
    <w:p>
      <w:pPr>
        <w:spacing w:after="100" w:line="276" w:lineRule="auto"/>
      </w:pPr>
      <w:r>
        <w:rPr>
          <w:rFonts w:ascii="Calibri" w:hAnsi="Calibri"/>
          <w:color w:val="222222"/>
          <w:sz w:val="22"/>
        </w:rPr>
        <w:t>2. Link-State Scalability &amp; Fault Isolation: Overcome the classical collapse of flat single-area networks by implementing a hierarchical Multi-Area OSPFv2 (RFC 2328) domain. Confine link flap churn, Dijkstra Shortest Path First (SPF) calculation overhead, and Link-State Advertisement (LSA) flooding storms within local topological areas.</w:t>
      </w:r>
    </w:p>
    <w:p>
      <w:pPr>
        <w:spacing w:after="100" w:line="276" w:lineRule="auto"/>
      </w:pPr>
      <w:r>
        <w:rPr>
          <w:rFonts w:ascii="Calibri" w:hAnsi="Calibri"/>
          <w:color w:val="222222"/>
          <w:sz w:val="22"/>
        </w:rPr>
        <w:t>3. Sub-Second Autonomous Failover: Implement fast convergence hello/dead timers and bidirectional equal-cost multi-path (ECMP) routing capable of rerouting high-priority student and academic flows in under 3 milliseconds upon physical optical conduit failure.</w:t>
      </w:r>
    </w:p>
    <w:p>
      <w:pPr>
        <w:spacing w:after="100" w:line="276" w:lineRule="auto"/>
      </w:pPr>
      <w:r>
        <w:rPr>
          <w:rFonts w:ascii="Calibri" w:hAnsi="Calibri"/>
          <w:color w:val="222222"/>
          <w:sz w:val="22"/>
        </w:rPr>
        <w:t>4. Security and Deterministic Boundary Filtering: Implement Totally Stubby Area (TSA) route shielding for administrative networks (Area 30) to eliminate external LSA snooping and TCAM exhaustion, while deploying Not-So-Stubby Area (NSSA) translation in Area 40 for external cloud/lab route redistribution.</w:t>
      </w:r>
    </w:p>
    <w:p>
      <w:pPr>
        <w:keepNext/>
        <w:spacing w:before="280" w:after="120"/>
      </w:pPr>
      <w:r>
        <w:rPr>
          <w:rFonts w:ascii="Arial" w:hAnsi="Arial"/>
          <w:b/>
          <w:color w:val="003366"/>
          <w:sz w:val="32"/>
        </w:rPr>
        <w:t>2. CAMPUS TOPOLOGY, BUILDINGS &amp; HOSTEL INFRASTRUCTURE MAPPING</w:t>
      </w:r>
    </w:p>
    <w:p>
      <w:pPr>
        <w:spacing w:after="100" w:line="276" w:lineRule="auto"/>
      </w:pPr>
      <w:r>
        <w:rPr>
          <w:rFonts w:ascii="Calibri" w:hAnsi="Calibri"/>
          <w:color w:val="222222"/>
          <w:sz w:val="22"/>
        </w:rPr>
        <w:t>To eliminate SPF CPU thrashing across 40,000 users, the 372-acre campus is partitioned into five distinct OSPF areas anchored by a dual-redundant 100 Gbps backbone: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03366"/>
          </w:tcPr>
          <w:p>
            <w:pPr>
              <w:jc w:val="center"/>
            </w:pPr>
            <w:r>
              <w:rPr>
                <w:rFonts w:ascii="Arial" w:hAnsi="Arial"/>
                <w:b/>
                <w:color w:val="FFFFFF"/>
                <w:sz w:val="19"/>
              </w:rPr>
              <w:t>OSPF Area</w:t>
            </w:r>
          </w:p>
        </w:tc>
        <w:tc>
          <w:tcPr>
            <w:tcW w:type="dxa" w:w="1987"/>
            <w:shd w:fill="003366"/>
          </w:tcPr>
          <w:p>
            <w:pPr>
              <w:jc w:val="center"/>
            </w:pPr>
            <w:r>
              <w:rPr>
                <w:rFonts w:ascii="Arial" w:hAnsi="Arial"/>
                <w:b/>
                <w:color w:val="FFFFFF"/>
                <w:sz w:val="19"/>
              </w:rPr>
              <w:t>Campus Functional Sector</w:t>
            </w:r>
          </w:p>
        </w:tc>
        <w:tc>
          <w:tcPr>
            <w:tcW w:type="dxa" w:w="1987"/>
            <w:shd w:fill="003366"/>
          </w:tcPr>
          <w:p>
            <w:pPr>
              <w:jc w:val="center"/>
            </w:pPr>
            <w:r>
              <w:rPr>
                <w:rFonts w:ascii="Arial" w:hAnsi="Arial"/>
                <w:b/>
                <w:color w:val="FFFFFF"/>
                <w:sz w:val="19"/>
              </w:rPr>
              <w:t>Landmark Buildings &amp; Blocks</w:t>
            </w:r>
          </w:p>
        </w:tc>
        <w:tc>
          <w:tcPr>
            <w:tcW w:type="dxa" w:w="1987"/>
            <w:shd w:fill="003366"/>
          </w:tcPr>
          <w:p>
            <w:pPr>
              <w:jc w:val="center"/>
            </w:pPr>
            <w:r>
              <w:rPr>
                <w:rFonts w:ascii="Arial" w:hAnsi="Arial"/>
                <w:b/>
                <w:color w:val="FFFFFF"/>
                <w:sz w:val="19"/>
              </w:rPr>
              <w:t>Population</w:t>
            </w:r>
          </w:p>
        </w:tc>
        <w:tc>
          <w:tcPr>
            <w:tcW w:type="dxa" w:w="1987"/>
            <w:shd w:fill="003366"/>
          </w:tcPr>
          <w:p>
            <w:pPr>
              <w:jc w:val="center"/>
            </w:pPr>
            <w:r>
              <w:rPr>
                <w:rFonts w:ascii="Arial" w:hAnsi="Arial"/>
                <w:b/>
                <w:color w:val="FFFFFF"/>
                <w:sz w:val="19"/>
              </w:rPr>
              <w:t>OSPF Area Type &amp; Policy</w:t>
            </w:r>
          </w:p>
        </w:tc>
      </w:tr>
      <w:tr>
        <w:tc>
          <w:tcPr>
            <w:tcW w:type="dxa" w:w="1987"/>
            <w:shd w:fill="F4F8FA"/>
          </w:tcPr>
          <w:p>
            <w:r>
              <w:rPr>
                <w:rFonts w:ascii="Calibri" w:hAnsi="Calibri"/>
                <w:color w:val="222222"/>
                <w:sz w:val="18"/>
              </w:rPr>
              <w:t>Area 0</w:t>
            </w:r>
          </w:p>
        </w:tc>
        <w:tc>
          <w:tcPr>
            <w:tcW w:type="dxa" w:w="1987"/>
            <w:shd w:fill="F4F8FA"/>
          </w:tcPr>
          <w:p>
            <w:r>
              <w:rPr>
                <w:rFonts w:ascii="Calibri" w:hAnsi="Calibri"/>
                <w:color w:val="222222"/>
                <w:sz w:val="18"/>
              </w:rPr>
              <w:t>Backbone Core</w:t>
            </w:r>
          </w:p>
        </w:tc>
        <w:tc>
          <w:tcPr>
            <w:tcW w:type="dxa" w:w="1987"/>
            <w:shd w:fill="F4F8FA"/>
          </w:tcPr>
          <w:p>
            <w:r>
              <w:rPr>
                <w:rFonts w:ascii="Calibri" w:hAnsi="Calibri"/>
                <w:color w:val="222222"/>
                <w:sz w:val="18"/>
              </w:rPr>
              <w:t>Centre for Technical Support (CTS DC 1 &amp; 2)</w:t>
            </w:r>
          </w:p>
        </w:tc>
        <w:tc>
          <w:tcPr>
            <w:tcW w:type="dxa" w:w="1987"/>
            <w:shd w:fill="F4F8FA"/>
          </w:tcPr>
          <w:p>
            <w:r>
              <w:rPr>
                <w:rFonts w:ascii="Calibri" w:hAnsi="Calibri"/>
                <w:color w:val="222222"/>
                <w:sz w:val="18"/>
              </w:rPr>
              <w:t>Campus Core</w:t>
            </w:r>
          </w:p>
        </w:tc>
        <w:tc>
          <w:tcPr>
            <w:tcW w:type="dxa" w:w="1987"/>
            <w:shd w:fill="F4F8FA"/>
          </w:tcPr>
          <w:p>
            <w:r>
              <w:rPr>
                <w:rFonts w:ascii="Calibri" w:hAnsi="Calibri"/>
                <w:color w:val="222222"/>
                <w:sz w:val="18"/>
              </w:rPr>
              <w:t>Transit Backbone; full LSDB synchronization.</w:t>
            </w:r>
          </w:p>
        </w:tc>
      </w:tr>
      <w:tr>
        <w:tc>
          <w:tcPr>
            <w:tcW w:type="dxa" w:w="1987"/>
            <w:shd w:fill="FFFFFF"/>
          </w:tcPr>
          <w:p>
            <w:r>
              <w:rPr>
                <w:rFonts w:ascii="Calibri" w:hAnsi="Calibri"/>
                <w:color w:val="222222"/>
                <w:sz w:val="18"/>
              </w:rPr>
              <w:t>Area 10</w:t>
            </w:r>
          </w:p>
        </w:tc>
        <w:tc>
          <w:tcPr>
            <w:tcW w:type="dxa" w:w="1987"/>
            <w:shd w:fill="FFFFFF"/>
          </w:tcPr>
          <w:p>
            <w:r>
              <w:rPr>
                <w:rFonts w:ascii="Calibri" w:hAnsi="Calibri"/>
                <w:color w:val="222222"/>
                <w:sz w:val="18"/>
              </w:rPr>
              <w:t>Academic Core</w:t>
            </w:r>
          </w:p>
        </w:tc>
        <w:tc>
          <w:tcPr>
            <w:tcW w:type="dxa" w:w="1987"/>
            <w:shd w:fill="FFFFFF"/>
          </w:tcPr>
          <w:p>
            <w:r>
              <w:rPr>
                <w:rFonts w:ascii="Calibri" w:hAnsi="Calibri"/>
                <w:color w:val="222222"/>
                <w:sz w:val="18"/>
              </w:rPr>
              <w:t>Silver Jubilee Tower (SJT), Technology Tower (TT), Main Building (MB), SMV Hexagon</w:t>
            </w:r>
          </w:p>
        </w:tc>
        <w:tc>
          <w:tcPr>
            <w:tcW w:type="dxa" w:w="1987"/>
            <w:shd w:fill="FFFFFF"/>
          </w:tcPr>
          <w:p>
            <w:r>
              <w:rPr>
                <w:rFonts w:ascii="Calibri" w:hAnsi="Calibri"/>
                <w:color w:val="222222"/>
                <w:sz w:val="18"/>
              </w:rPr>
              <w:t>18,500 students</w:t>
            </w:r>
          </w:p>
        </w:tc>
        <w:tc>
          <w:tcPr>
            <w:tcW w:type="dxa" w:w="1987"/>
            <w:shd w:fill="FFFFFF"/>
          </w:tcPr>
          <w:p>
            <w:r>
              <w:rPr>
                <w:rFonts w:ascii="Calibri" w:hAnsi="Calibri"/>
                <w:color w:val="222222"/>
                <w:sz w:val="18"/>
              </w:rPr>
              <w:t>Standard Area; Type-1 &amp; Type-2 flooded locally; summarized into Area 0.</w:t>
            </w:r>
          </w:p>
        </w:tc>
      </w:tr>
      <w:tr>
        <w:tc>
          <w:tcPr>
            <w:tcW w:type="dxa" w:w="1987"/>
            <w:shd w:fill="F4F8FA"/>
          </w:tcPr>
          <w:p>
            <w:r>
              <w:rPr>
                <w:rFonts w:ascii="Calibri" w:hAnsi="Calibri"/>
                <w:color w:val="222222"/>
                <w:sz w:val="18"/>
              </w:rPr>
              <w:t>Area 20</w:t>
            </w:r>
          </w:p>
        </w:tc>
        <w:tc>
          <w:tcPr>
            <w:tcW w:type="dxa" w:w="1987"/>
            <w:shd w:fill="F4F8FA"/>
          </w:tcPr>
          <w:p>
            <w:r>
              <w:rPr>
                <w:rFonts w:ascii="Calibri" w:hAnsi="Calibri"/>
                <w:color w:val="222222"/>
                <w:sz w:val="18"/>
              </w:rPr>
              <w:t>Residential Hostels</w:t>
            </w:r>
          </w:p>
        </w:tc>
        <w:tc>
          <w:tcPr>
            <w:tcW w:type="dxa" w:w="1987"/>
            <w:shd w:fill="F4F8FA"/>
          </w:tcPr>
          <w:p>
            <w:r>
              <w:rPr>
                <w:rFonts w:ascii="Calibri" w:hAnsi="Calibri"/>
                <w:color w:val="222222"/>
                <w:sz w:val="18"/>
              </w:rPr>
              <w:t>Men's Hostels (A to T Blocks - 22,000 beds)</w:t>
              <w:br/>
              <w:t>Women's Hostels (A to H Blocks - 10,500 beds)</w:t>
            </w:r>
          </w:p>
        </w:tc>
        <w:tc>
          <w:tcPr>
            <w:tcW w:type="dxa" w:w="1987"/>
            <w:shd w:fill="F4F8FA"/>
          </w:tcPr>
          <w:p>
            <w:r>
              <w:rPr>
                <w:rFonts w:ascii="Calibri" w:hAnsi="Calibri"/>
                <w:color w:val="222222"/>
                <w:sz w:val="18"/>
              </w:rPr>
              <w:t>32,500 residents</w:t>
            </w:r>
          </w:p>
        </w:tc>
        <w:tc>
          <w:tcPr>
            <w:tcW w:type="dxa" w:w="1987"/>
            <w:shd w:fill="F4F8FA"/>
          </w:tcPr>
          <w:p>
            <w:r>
              <w:rPr>
                <w:rFonts w:ascii="Calibri" w:hAnsi="Calibri"/>
                <w:color w:val="222222"/>
                <w:sz w:val="18"/>
              </w:rPr>
              <w:t>Standard Area with strict CIDR route aggregation at Core ABRs.</w:t>
            </w:r>
          </w:p>
        </w:tc>
      </w:tr>
      <w:tr>
        <w:tc>
          <w:tcPr>
            <w:tcW w:type="dxa" w:w="1987"/>
            <w:shd w:fill="FFFFFF"/>
          </w:tcPr>
          <w:p>
            <w:r>
              <w:rPr>
                <w:rFonts w:ascii="Calibri" w:hAnsi="Calibri"/>
                <w:color w:val="222222"/>
                <w:sz w:val="18"/>
              </w:rPr>
              <w:t>Area 30</w:t>
            </w:r>
          </w:p>
        </w:tc>
        <w:tc>
          <w:tcPr>
            <w:tcW w:type="dxa" w:w="1987"/>
            <w:shd w:fill="FFFFFF"/>
          </w:tcPr>
          <w:p>
            <w:r>
              <w:rPr>
                <w:rFonts w:ascii="Calibri" w:hAnsi="Calibri"/>
                <w:color w:val="222222"/>
                <w:sz w:val="18"/>
              </w:rPr>
              <w:t>Central Administration</w:t>
            </w:r>
          </w:p>
        </w:tc>
        <w:tc>
          <w:tcPr>
            <w:tcW w:type="dxa" w:w="1987"/>
            <w:shd w:fill="FFFFFF"/>
          </w:tcPr>
          <w:p>
            <w:r>
              <w:rPr>
                <w:rFonts w:ascii="Calibri" w:hAnsi="Calibri"/>
                <w:color w:val="222222"/>
                <w:sz w:val="18"/>
              </w:rPr>
              <w:t>Gandhi Block Admin, Finance, Registrar, Examination Hall</w:t>
            </w:r>
          </w:p>
        </w:tc>
        <w:tc>
          <w:tcPr>
            <w:tcW w:type="dxa" w:w="1987"/>
            <w:shd w:fill="FFFFFF"/>
          </w:tcPr>
          <w:p>
            <w:r>
              <w:rPr>
                <w:rFonts w:ascii="Calibri" w:hAnsi="Calibri"/>
                <w:color w:val="222222"/>
                <w:sz w:val="18"/>
              </w:rPr>
              <w:t>3,500 staff</w:t>
            </w:r>
          </w:p>
        </w:tc>
        <w:tc>
          <w:tcPr>
            <w:tcW w:type="dxa" w:w="1987"/>
            <w:shd w:fill="FFFFFF"/>
          </w:tcPr>
          <w:p>
            <w:r>
              <w:rPr>
                <w:rFonts w:ascii="Calibri" w:hAnsi="Calibri"/>
                <w:color w:val="222222"/>
                <w:sz w:val="18"/>
              </w:rPr>
              <w:t>Totally Stubby Area (no-summary); blocks Type-3/4/5; installs 0.0.0.0/0 default.</w:t>
            </w:r>
          </w:p>
        </w:tc>
      </w:tr>
      <w:tr>
        <w:tc>
          <w:tcPr>
            <w:tcW w:type="dxa" w:w="1987"/>
            <w:shd w:fill="F4F8FA"/>
          </w:tcPr>
          <w:p>
            <w:r>
              <w:rPr>
                <w:rFonts w:ascii="Calibri" w:hAnsi="Calibri"/>
                <w:color w:val="222222"/>
                <w:sz w:val="18"/>
              </w:rPr>
              <w:t>Area 40</w:t>
            </w:r>
          </w:p>
        </w:tc>
        <w:tc>
          <w:tcPr>
            <w:tcW w:type="dxa" w:w="1987"/>
            <w:shd w:fill="F4F8FA"/>
          </w:tcPr>
          <w:p>
            <w:r>
              <w:rPr>
                <w:rFonts w:ascii="Calibri" w:hAnsi="Calibri"/>
                <w:color w:val="222222"/>
                <w:sz w:val="18"/>
              </w:rPr>
              <w:t>Research &amp; Incubation</w:t>
            </w:r>
          </w:p>
        </w:tc>
        <w:tc>
          <w:tcPr>
            <w:tcW w:type="dxa" w:w="1987"/>
            <w:shd w:fill="F4F8FA"/>
          </w:tcPr>
          <w:p>
            <w:r>
              <w:rPr>
                <w:rFonts w:ascii="Calibri" w:hAnsi="Calibri"/>
                <w:color w:val="222222"/>
                <w:sz w:val="18"/>
              </w:rPr>
              <w:t>Pearl Research Park (PRP), Hexagon Annexe, TIFAC-CORE</w:t>
            </w:r>
          </w:p>
        </w:tc>
        <w:tc>
          <w:tcPr>
            <w:tcW w:type="dxa" w:w="1987"/>
            <w:shd w:fill="F4F8FA"/>
          </w:tcPr>
          <w:p>
            <w:r>
              <w:rPr>
                <w:rFonts w:ascii="Calibri" w:hAnsi="Calibri"/>
                <w:color w:val="222222"/>
                <w:sz w:val="18"/>
              </w:rPr>
              <w:t>4,800 researchers</w:t>
            </w:r>
          </w:p>
        </w:tc>
        <w:tc>
          <w:tcPr>
            <w:tcW w:type="dxa" w:w="1987"/>
            <w:shd w:fill="F4F8FA"/>
          </w:tcPr>
          <w:p>
            <w:r>
              <w:rPr>
                <w:rFonts w:ascii="Calibri" w:hAnsi="Calibri"/>
                <w:color w:val="222222"/>
                <w:sz w:val="18"/>
              </w:rPr>
              <w:t>Not-So-Stubby Area (NSSA); translates external Type-7 to Type-5 LSAs.</w:t>
            </w:r>
          </w:p>
        </w:tc>
      </w:tr>
    </w:tbl>
    <w:p>
      <w:pPr>
        <w:keepNext/>
        <w:spacing w:before="280" w:after="120"/>
      </w:pPr>
      <w:r>
        <w:rPr>
          <w:rFonts w:ascii="Arial" w:hAnsi="Arial"/>
          <w:b/>
          <w:color w:val="003366"/>
          <w:sz w:val="32"/>
        </w:rPr>
        <w:t>3. VLSM IP ADDRESS ALLOCATION &amp; ROUTE AGGREGATION PLAN</w:t>
      </w:r>
    </w:p>
    <w:p>
      <w:pPr>
        <w:spacing w:after="100" w:line="276" w:lineRule="auto"/>
      </w:pPr>
      <w:r>
        <w:rPr>
          <w:rFonts w:ascii="Calibri" w:hAnsi="Calibri"/>
          <w:color w:val="222222"/>
          <w:sz w:val="22"/>
        </w:rPr>
        <w:t>An enterprise Class A private network allocation (10.0.0.0/8) is hierarchically subnetted using Variable Length Subnet Masking (VLSM). Hierarchical addressing ensures that each regional OSPF area can be summarized into a single compact CIDR prefix at the Area Border Routers (ABRs), condensing the routing table on CTS Core routers from hundreds of individual subnet entries down to just 4 summary routes.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03366"/>
          </w:tcPr>
          <w:p>
            <w:pPr>
              <w:jc w:val="center"/>
            </w:pPr>
            <w:r>
              <w:rPr>
                <w:rFonts w:ascii="Arial" w:hAnsi="Arial"/>
                <w:b/>
                <w:color w:val="FFFFFF"/>
                <w:sz w:val="19"/>
              </w:rPr>
              <w:t>Subnet Prefix</w:t>
            </w:r>
          </w:p>
        </w:tc>
        <w:tc>
          <w:tcPr>
            <w:tcW w:type="dxa" w:w="1987"/>
            <w:shd w:fill="003366"/>
          </w:tcPr>
          <w:p>
            <w:pPr>
              <w:jc w:val="center"/>
            </w:pPr>
            <w:r>
              <w:rPr>
                <w:rFonts w:ascii="Arial" w:hAnsi="Arial"/>
                <w:b/>
                <w:color w:val="FFFFFF"/>
                <w:sz w:val="19"/>
              </w:rPr>
              <w:t>Subnet Mask</w:t>
            </w:r>
          </w:p>
        </w:tc>
        <w:tc>
          <w:tcPr>
            <w:tcW w:type="dxa" w:w="1987"/>
            <w:shd w:fill="003366"/>
          </w:tcPr>
          <w:p>
            <w:pPr>
              <w:jc w:val="center"/>
            </w:pPr>
            <w:r>
              <w:rPr>
                <w:rFonts w:ascii="Arial" w:hAnsi="Arial"/>
                <w:b/>
                <w:color w:val="FFFFFF"/>
                <w:sz w:val="19"/>
              </w:rPr>
              <w:t>Target Zone</w:t>
            </w:r>
          </w:p>
        </w:tc>
        <w:tc>
          <w:tcPr>
            <w:tcW w:type="dxa" w:w="1987"/>
            <w:shd w:fill="003366"/>
          </w:tcPr>
          <w:p>
            <w:pPr>
              <w:jc w:val="center"/>
            </w:pPr>
            <w:r>
              <w:rPr>
                <w:rFonts w:ascii="Arial" w:hAnsi="Arial"/>
                <w:b/>
                <w:color w:val="FFFFFF"/>
                <w:sz w:val="19"/>
              </w:rPr>
              <w:t>Usable Hosts</w:t>
            </w:r>
          </w:p>
        </w:tc>
        <w:tc>
          <w:tcPr>
            <w:tcW w:type="dxa" w:w="1987"/>
            <w:shd w:fill="003366"/>
          </w:tcPr>
          <w:p>
            <w:pPr>
              <w:jc w:val="center"/>
            </w:pPr>
            <w:r>
              <w:rPr>
                <w:rFonts w:ascii="Arial" w:hAnsi="Arial"/>
                <w:b/>
                <w:color w:val="FFFFFF"/>
                <w:sz w:val="19"/>
              </w:rPr>
              <w:t>ABR Summarized CIDR</w:t>
            </w:r>
          </w:p>
        </w:tc>
      </w:tr>
      <w:tr>
        <w:tc>
          <w:tcPr>
            <w:tcW w:type="dxa" w:w="1987"/>
            <w:shd w:fill="F4F8FA"/>
          </w:tcPr>
          <w:p>
            <w:r>
              <w:rPr>
                <w:rFonts w:ascii="Calibri" w:hAnsi="Calibri"/>
                <w:color w:val="222222"/>
                <w:sz w:val="18"/>
              </w:rPr>
              <w:t>10.0.0.0/24</w:t>
            </w:r>
          </w:p>
        </w:tc>
        <w:tc>
          <w:tcPr>
            <w:tcW w:type="dxa" w:w="1987"/>
            <w:shd w:fill="F4F8FA"/>
          </w:tcPr>
          <w:p>
            <w:r>
              <w:rPr>
                <w:rFonts w:ascii="Calibri" w:hAnsi="Calibri"/>
                <w:color w:val="222222"/>
                <w:sz w:val="18"/>
              </w:rPr>
              <w:t>255.255.255.0</w:t>
            </w:r>
          </w:p>
        </w:tc>
        <w:tc>
          <w:tcPr>
            <w:tcW w:type="dxa" w:w="1987"/>
            <w:shd w:fill="F4F8FA"/>
          </w:tcPr>
          <w:p>
            <w:r>
              <w:rPr>
                <w:rFonts w:ascii="Calibri" w:hAnsi="Calibri"/>
                <w:color w:val="222222"/>
                <w:sz w:val="18"/>
              </w:rPr>
              <w:t>Core Transit P2P</w:t>
            </w:r>
          </w:p>
        </w:tc>
        <w:tc>
          <w:tcPr>
            <w:tcW w:type="dxa" w:w="1987"/>
            <w:shd w:fill="F4F8FA"/>
          </w:tcPr>
          <w:p>
            <w:r>
              <w:rPr>
                <w:rFonts w:ascii="Calibri" w:hAnsi="Calibri"/>
                <w:color w:val="222222"/>
                <w:sz w:val="18"/>
              </w:rPr>
              <w:t>254 interfaces</w:t>
            </w:r>
          </w:p>
        </w:tc>
        <w:tc>
          <w:tcPr>
            <w:tcW w:type="dxa" w:w="1987"/>
            <w:shd w:fill="F4F8FA"/>
          </w:tcPr>
          <w:p>
            <w:r>
              <w:rPr>
                <w:rFonts w:ascii="Calibri" w:hAnsi="Calibri"/>
                <w:color w:val="222222"/>
                <w:sz w:val="18"/>
              </w:rPr>
              <w:t>10.0.0.0/24 (Core)</w:t>
            </w:r>
          </w:p>
        </w:tc>
      </w:tr>
      <w:tr>
        <w:tc>
          <w:tcPr>
            <w:tcW w:type="dxa" w:w="1987"/>
            <w:shd w:fill="FFFFFF"/>
          </w:tcPr>
          <w:p>
            <w:r>
              <w:rPr>
                <w:rFonts w:ascii="Calibri" w:hAnsi="Calibri"/>
                <w:color w:val="222222"/>
                <w:sz w:val="18"/>
              </w:rPr>
              <w:t>10.10.0.0/18</w:t>
            </w:r>
          </w:p>
        </w:tc>
        <w:tc>
          <w:tcPr>
            <w:tcW w:type="dxa" w:w="1987"/>
            <w:shd w:fill="FFFFFF"/>
          </w:tcPr>
          <w:p>
            <w:r>
              <w:rPr>
                <w:rFonts w:ascii="Calibri" w:hAnsi="Calibri"/>
                <w:color w:val="222222"/>
                <w:sz w:val="18"/>
              </w:rPr>
              <w:t>255.255.192.0</w:t>
            </w:r>
          </w:p>
        </w:tc>
        <w:tc>
          <w:tcPr>
            <w:tcW w:type="dxa" w:w="1987"/>
            <w:shd w:fill="FFFFFF"/>
          </w:tcPr>
          <w:p>
            <w:r>
              <w:rPr>
                <w:rFonts w:ascii="Calibri" w:hAnsi="Calibri"/>
                <w:color w:val="222222"/>
                <w:sz w:val="18"/>
              </w:rPr>
              <w:t>SJT Academic</w:t>
            </w:r>
          </w:p>
        </w:tc>
        <w:tc>
          <w:tcPr>
            <w:tcW w:type="dxa" w:w="1987"/>
            <w:shd w:fill="FFFFFF"/>
          </w:tcPr>
          <w:p>
            <w:r>
              <w:rPr>
                <w:rFonts w:ascii="Calibri" w:hAnsi="Calibri"/>
                <w:color w:val="222222"/>
                <w:sz w:val="18"/>
              </w:rPr>
              <w:t>16,382 hosts</w:t>
            </w:r>
          </w:p>
        </w:tc>
        <w:tc>
          <w:tcPr>
            <w:tcW w:type="dxa" w:w="1987"/>
            <w:shd w:fill="FFFFFF"/>
          </w:tcPr>
          <w:p>
            <w:r>
              <w:rPr>
                <w:rFonts w:ascii="Calibri" w:hAnsi="Calibri"/>
                <w:color w:val="222222"/>
                <w:sz w:val="18"/>
              </w:rPr>
              <w:t>10.10.0.0/16 (Academic)</w:t>
            </w:r>
          </w:p>
        </w:tc>
      </w:tr>
      <w:tr>
        <w:tc>
          <w:tcPr>
            <w:tcW w:type="dxa" w:w="1987"/>
            <w:shd w:fill="F4F8FA"/>
          </w:tcPr>
          <w:p>
            <w:r>
              <w:rPr>
                <w:rFonts w:ascii="Calibri" w:hAnsi="Calibri"/>
                <w:color w:val="222222"/>
                <w:sz w:val="18"/>
              </w:rPr>
              <w:t>10.10.64.0/18</w:t>
            </w:r>
          </w:p>
        </w:tc>
        <w:tc>
          <w:tcPr>
            <w:tcW w:type="dxa" w:w="1987"/>
            <w:shd w:fill="F4F8FA"/>
          </w:tcPr>
          <w:p>
            <w:r>
              <w:rPr>
                <w:rFonts w:ascii="Calibri" w:hAnsi="Calibri"/>
                <w:color w:val="222222"/>
                <w:sz w:val="18"/>
              </w:rPr>
              <w:t>255.255.192.0</w:t>
            </w:r>
          </w:p>
        </w:tc>
        <w:tc>
          <w:tcPr>
            <w:tcW w:type="dxa" w:w="1987"/>
            <w:shd w:fill="F4F8FA"/>
          </w:tcPr>
          <w:p>
            <w:r>
              <w:rPr>
                <w:rFonts w:ascii="Calibri" w:hAnsi="Calibri"/>
                <w:color w:val="222222"/>
                <w:sz w:val="18"/>
              </w:rPr>
              <w:t>TT Academic</w:t>
            </w:r>
          </w:p>
        </w:tc>
        <w:tc>
          <w:tcPr>
            <w:tcW w:type="dxa" w:w="1987"/>
            <w:shd w:fill="F4F8FA"/>
          </w:tcPr>
          <w:p>
            <w:r>
              <w:rPr>
                <w:rFonts w:ascii="Calibri" w:hAnsi="Calibri"/>
                <w:color w:val="222222"/>
                <w:sz w:val="18"/>
              </w:rPr>
              <w:t>16,382 hosts</w:t>
            </w:r>
          </w:p>
        </w:tc>
        <w:tc>
          <w:tcPr>
            <w:tcW w:type="dxa" w:w="1987"/>
            <w:shd w:fill="F4F8FA"/>
          </w:tcPr>
          <w:p>
            <w:r>
              <w:rPr>
                <w:rFonts w:ascii="Calibri" w:hAnsi="Calibri"/>
                <w:color w:val="222222"/>
                <w:sz w:val="18"/>
              </w:rPr>
              <w:t>10.10.0.0/16 (Academic)</w:t>
            </w:r>
          </w:p>
        </w:tc>
      </w:tr>
      <w:tr>
        <w:tc>
          <w:tcPr>
            <w:tcW w:type="dxa" w:w="1987"/>
            <w:shd w:fill="FFFFFF"/>
          </w:tcPr>
          <w:p>
            <w:r>
              <w:rPr>
                <w:rFonts w:ascii="Calibri" w:hAnsi="Calibri"/>
                <w:color w:val="222222"/>
                <w:sz w:val="18"/>
              </w:rPr>
              <w:t>10.20.0.0/17</w:t>
            </w:r>
          </w:p>
        </w:tc>
        <w:tc>
          <w:tcPr>
            <w:tcW w:type="dxa" w:w="1987"/>
            <w:shd w:fill="FFFFFF"/>
          </w:tcPr>
          <w:p>
            <w:r>
              <w:rPr>
                <w:rFonts w:ascii="Calibri" w:hAnsi="Calibri"/>
                <w:color w:val="222222"/>
                <w:sz w:val="18"/>
              </w:rPr>
              <w:t>255.255.128.0</w:t>
            </w:r>
          </w:p>
        </w:tc>
        <w:tc>
          <w:tcPr>
            <w:tcW w:type="dxa" w:w="1987"/>
            <w:shd w:fill="FFFFFF"/>
          </w:tcPr>
          <w:p>
            <w:r>
              <w:rPr>
                <w:rFonts w:ascii="Calibri" w:hAnsi="Calibri"/>
                <w:color w:val="222222"/>
                <w:sz w:val="18"/>
              </w:rPr>
              <w:t>Men's Hostels</w:t>
            </w:r>
          </w:p>
        </w:tc>
        <w:tc>
          <w:tcPr>
            <w:tcW w:type="dxa" w:w="1987"/>
            <w:shd w:fill="FFFFFF"/>
          </w:tcPr>
          <w:p>
            <w:r>
              <w:rPr>
                <w:rFonts w:ascii="Calibri" w:hAnsi="Calibri"/>
                <w:color w:val="222222"/>
                <w:sz w:val="18"/>
              </w:rPr>
              <w:t>32,766 hosts</w:t>
            </w:r>
          </w:p>
        </w:tc>
        <w:tc>
          <w:tcPr>
            <w:tcW w:type="dxa" w:w="1987"/>
            <w:shd w:fill="FFFFFF"/>
          </w:tcPr>
          <w:p>
            <w:r>
              <w:rPr>
                <w:rFonts w:ascii="Calibri" w:hAnsi="Calibri"/>
                <w:color w:val="222222"/>
                <w:sz w:val="18"/>
              </w:rPr>
              <w:t>10.20.0.0/16 (Hostels)</w:t>
            </w:r>
          </w:p>
        </w:tc>
      </w:tr>
      <w:tr>
        <w:tc>
          <w:tcPr>
            <w:tcW w:type="dxa" w:w="1987"/>
            <w:shd w:fill="F4F8FA"/>
          </w:tcPr>
          <w:p>
            <w:r>
              <w:rPr>
                <w:rFonts w:ascii="Calibri" w:hAnsi="Calibri"/>
                <w:color w:val="222222"/>
                <w:sz w:val="18"/>
              </w:rPr>
              <w:t>10.20.128.0/17</w:t>
            </w:r>
          </w:p>
        </w:tc>
        <w:tc>
          <w:tcPr>
            <w:tcW w:type="dxa" w:w="1987"/>
            <w:shd w:fill="F4F8FA"/>
          </w:tcPr>
          <w:p>
            <w:r>
              <w:rPr>
                <w:rFonts w:ascii="Calibri" w:hAnsi="Calibri"/>
                <w:color w:val="222222"/>
                <w:sz w:val="18"/>
              </w:rPr>
              <w:t>255.255.128.0</w:t>
            </w:r>
          </w:p>
        </w:tc>
        <w:tc>
          <w:tcPr>
            <w:tcW w:type="dxa" w:w="1987"/>
            <w:shd w:fill="F4F8FA"/>
          </w:tcPr>
          <w:p>
            <w:r>
              <w:rPr>
                <w:rFonts w:ascii="Calibri" w:hAnsi="Calibri"/>
                <w:color w:val="222222"/>
                <w:sz w:val="18"/>
              </w:rPr>
              <w:t>Women's Hostels</w:t>
            </w:r>
          </w:p>
        </w:tc>
        <w:tc>
          <w:tcPr>
            <w:tcW w:type="dxa" w:w="1987"/>
            <w:shd w:fill="F4F8FA"/>
          </w:tcPr>
          <w:p>
            <w:r>
              <w:rPr>
                <w:rFonts w:ascii="Calibri" w:hAnsi="Calibri"/>
                <w:color w:val="222222"/>
                <w:sz w:val="18"/>
              </w:rPr>
              <w:t>32,766 hosts</w:t>
            </w:r>
          </w:p>
        </w:tc>
        <w:tc>
          <w:tcPr>
            <w:tcW w:type="dxa" w:w="1987"/>
            <w:shd w:fill="F4F8FA"/>
          </w:tcPr>
          <w:p>
            <w:r>
              <w:rPr>
                <w:rFonts w:ascii="Calibri" w:hAnsi="Calibri"/>
                <w:color w:val="222222"/>
                <w:sz w:val="18"/>
              </w:rPr>
              <w:t>10.20.0.0/16 (Hostels)</w:t>
            </w:r>
          </w:p>
        </w:tc>
      </w:tr>
      <w:tr>
        <w:tc>
          <w:tcPr>
            <w:tcW w:type="dxa" w:w="1987"/>
            <w:shd w:fill="FFFFFF"/>
          </w:tcPr>
          <w:p>
            <w:r>
              <w:rPr>
                <w:rFonts w:ascii="Calibri" w:hAnsi="Calibri"/>
                <w:color w:val="222222"/>
                <w:sz w:val="18"/>
              </w:rPr>
              <w:t>10.30.0.0/16</w:t>
            </w:r>
          </w:p>
        </w:tc>
        <w:tc>
          <w:tcPr>
            <w:tcW w:type="dxa" w:w="1987"/>
            <w:shd w:fill="FFFFFF"/>
          </w:tcPr>
          <w:p>
            <w:r>
              <w:rPr>
                <w:rFonts w:ascii="Calibri" w:hAnsi="Calibri"/>
                <w:color w:val="222222"/>
                <w:sz w:val="18"/>
              </w:rPr>
              <w:t>255.255.0.0</w:t>
            </w:r>
          </w:p>
        </w:tc>
        <w:tc>
          <w:tcPr>
            <w:tcW w:type="dxa" w:w="1987"/>
            <w:shd w:fill="FFFFFF"/>
          </w:tcPr>
          <w:p>
            <w:r>
              <w:rPr>
                <w:rFonts w:ascii="Calibri" w:hAnsi="Calibri"/>
                <w:color w:val="222222"/>
                <w:sz w:val="18"/>
              </w:rPr>
              <w:t>Gandhi Admin</w:t>
            </w:r>
          </w:p>
        </w:tc>
        <w:tc>
          <w:tcPr>
            <w:tcW w:type="dxa" w:w="1987"/>
            <w:shd w:fill="FFFFFF"/>
          </w:tcPr>
          <w:p>
            <w:r>
              <w:rPr>
                <w:rFonts w:ascii="Calibri" w:hAnsi="Calibri"/>
                <w:color w:val="222222"/>
                <w:sz w:val="18"/>
              </w:rPr>
              <w:t>65,534 hosts</w:t>
            </w:r>
          </w:p>
        </w:tc>
        <w:tc>
          <w:tcPr>
            <w:tcW w:type="dxa" w:w="1987"/>
            <w:shd w:fill="FFFFFF"/>
          </w:tcPr>
          <w:p>
            <w:r>
              <w:rPr>
                <w:rFonts w:ascii="Calibri" w:hAnsi="Calibri"/>
                <w:color w:val="222222"/>
                <w:sz w:val="18"/>
              </w:rPr>
              <w:t>0.0.0.0/0 (Default)</w:t>
            </w:r>
          </w:p>
        </w:tc>
      </w:tr>
    </w:tbl>
    <w:p>
      <w:pPr>
        <w:keepNext/>
        <w:spacing w:before="280" w:after="120"/>
      </w:pPr>
      <w:r>
        <w:rPr>
          <w:rFonts w:ascii="Arial" w:hAnsi="Arial"/>
          <w:b/>
          <w:color w:val="003366"/>
          <w:sz w:val="32"/>
        </w:rPr>
        <w:t>4. DIJKSTRA SPF GRAPH THEORY &amp; CONVERGENCE MATHEMATICS</w:t>
      </w:r>
    </w:p>
    <w:p>
      <w:pPr>
        <w:spacing w:after="100" w:line="276" w:lineRule="auto"/>
      </w:pPr>
      <w:r>
        <w:rPr>
          <w:rFonts w:ascii="Calibri" w:hAnsi="Calibri"/>
          <w:color w:val="222222"/>
          <w:sz w:val="22"/>
        </w:rPr>
        <w:t>The core computational engine of OSPFv2 is Dijkstra's Shortest Path First (SPF) algorithm. Every router constructs a directed, weighted topology graph G = (V, E), where V represents the set of routers and transit networks, and E represents operational point-to-point or broadcast links.</w:t>
      </w:r>
    </w:p>
    <w:p>
      <w:pPr>
        <w:spacing w:after="100" w:line="276" w:lineRule="auto"/>
      </w:pPr>
      <w:r>
        <w:rPr>
          <w:rFonts w:ascii="Calibri" w:hAnsi="Calibri"/>
          <w:color w:val="222222"/>
          <w:sz w:val="22"/>
        </w:rPr>
        <w:t>Link Metric Formula (RFC 2328):</w:t>
      </w:r>
    </w:p>
    <w:p>
      <w:pPr>
        <w:spacing w:after="100" w:line="276" w:lineRule="auto"/>
      </w:pPr>
      <w:r>
        <w:rPr>
          <w:rFonts w:ascii="Calibri" w:hAnsi="Calibri"/>
          <w:color w:val="222222"/>
          <w:sz w:val="22"/>
        </w:rPr>
        <w:t>Cost = Reference Bandwidth / Interface Bandwidth</w:t>
        <w:br/>
        <w:t>In our production 100 Gbps campus deployment, the reference bandwidth is calibrated to 100,000 Mbps (100 Gbps), yielding a baseline cost of 1 for 100 Gbps core optical trunks, 2 for 40 Gbps distribution uplinks, and 10 for 10 Gbps access switches.</w:t>
      </w:r>
    </w:p>
    <w:p>
      <w:pPr>
        <w:spacing w:after="100" w:line="276" w:lineRule="auto"/>
      </w:pPr>
      <w:r>
        <w:rPr>
          <w:rFonts w:ascii="Calibri" w:hAnsi="Calibri"/>
          <w:color w:val="222222"/>
          <w:sz w:val="22"/>
        </w:rPr>
        <w:t>Complexity and Area Partitioning Benefits:</w:t>
      </w:r>
    </w:p>
    <w:p>
      <w:pPr>
        <w:spacing w:after="100" w:line="276" w:lineRule="auto"/>
      </w:pPr>
      <w:r>
        <w:rPr>
          <w:rFonts w:ascii="Calibri" w:hAnsi="Calibri"/>
          <w:color w:val="222222"/>
          <w:sz w:val="22"/>
        </w:rPr>
        <w:t>In a flat single-area network with N = 100 routers and M = 300 links, Dijkstra computational time complexity using a min-priority heap is O(|E| + |V| log |V|). Any link flap in any hostel wing forces all 100 campus routers to re-evaluate the full graph.</w:t>
      </w:r>
    </w:p>
    <w:p>
      <w:pPr>
        <w:spacing w:after="100" w:line="276" w:lineRule="auto"/>
      </w:pPr>
      <w:r>
        <w:rPr>
          <w:rFonts w:ascii="Calibri" w:hAnsi="Calibri"/>
          <w:color w:val="222222"/>
          <w:sz w:val="22"/>
        </w:rPr>
        <w:t>By partitioning the campus into 5 areas of ~20 routers each, the computational complexity per router drops by over 80%. A link failure inside Area 20 (Men's Hostels) triggers SPF strictly within Area 20; Area 0 and Area 10 simply receive a Type-3 Summary LSA with updated metric without running a full SPF recalculation.</w:t>
      </w:r>
    </w:p>
    <w:p>
      <w:pPr>
        <w:keepNext/>
        <w:spacing w:before="280" w:after="120"/>
      </w:pPr>
      <w:r>
        <w:rPr>
          <w:rFonts w:ascii="Arial" w:hAnsi="Arial"/>
          <w:b/>
          <w:color w:val="003366"/>
          <w:sz w:val="32"/>
        </w:rPr>
        <w:t>5. LINK-STATE ADVERTISEMENT (LSA) TYPES 1 TO 7 SPECIFICATION</w:t>
      </w:r>
    </w:p>
    <w:p>
      <w:pPr>
        <w:spacing w:after="100" w:line="276" w:lineRule="auto"/>
      </w:pPr>
      <w:r>
        <w:rPr>
          <w:rFonts w:ascii="Calibri" w:hAnsi="Calibri"/>
          <w:color w:val="222222"/>
          <w:sz w:val="22"/>
        </w:rPr>
        <w:t>Information exchange across the 5 OSPF areas is governed by standard LSA payloads defined in RFC 2328:</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03366"/>
          </w:tcPr>
          <w:p>
            <w:pPr>
              <w:jc w:val="center"/>
            </w:pPr>
            <w:r>
              <w:rPr>
                <w:rFonts w:ascii="Arial" w:hAnsi="Arial"/>
                <w:b/>
                <w:color w:val="FFFFFF"/>
                <w:sz w:val="19"/>
              </w:rPr>
              <w:t>LSA Type</w:t>
            </w:r>
          </w:p>
        </w:tc>
        <w:tc>
          <w:tcPr>
            <w:tcW w:type="dxa" w:w="1987"/>
            <w:shd w:fill="003366"/>
          </w:tcPr>
          <w:p>
            <w:pPr>
              <w:jc w:val="center"/>
            </w:pPr>
            <w:r>
              <w:rPr>
                <w:rFonts w:ascii="Arial" w:hAnsi="Arial"/>
                <w:b/>
                <w:color w:val="FFFFFF"/>
                <w:sz w:val="19"/>
              </w:rPr>
              <w:t>LSA Name</w:t>
            </w:r>
          </w:p>
        </w:tc>
        <w:tc>
          <w:tcPr>
            <w:tcW w:type="dxa" w:w="1987"/>
            <w:shd w:fill="003366"/>
          </w:tcPr>
          <w:p>
            <w:pPr>
              <w:jc w:val="center"/>
            </w:pPr>
            <w:r>
              <w:rPr>
                <w:rFonts w:ascii="Arial" w:hAnsi="Arial"/>
                <w:b/>
                <w:color w:val="FFFFFF"/>
                <w:sz w:val="19"/>
              </w:rPr>
              <w:t>Originator</w:t>
            </w:r>
          </w:p>
        </w:tc>
        <w:tc>
          <w:tcPr>
            <w:tcW w:type="dxa" w:w="1987"/>
            <w:shd w:fill="003366"/>
          </w:tcPr>
          <w:p>
            <w:pPr>
              <w:jc w:val="center"/>
            </w:pPr>
            <w:r>
              <w:rPr>
                <w:rFonts w:ascii="Arial" w:hAnsi="Arial"/>
                <w:b/>
                <w:color w:val="FFFFFF"/>
                <w:sz w:val="19"/>
              </w:rPr>
              <w:t>Flooding Boundary</w:t>
            </w:r>
          </w:p>
        </w:tc>
        <w:tc>
          <w:tcPr>
            <w:tcW w:type="dxa" w:w="1987"/>
            <w:shd w:fill="003366"/>
          </w:tcPr>
          <w:p>
            <w:pPr>
              <w:jc w:val="center"/>
            </w:pPr>
            <w:r>
              <w:rPr>
                <w:rFonts w:ascii="Arial" w:hAnsi="Arial"/>
                <w:b/>
                <w:color w:val="FFFFFF"/>
                <w:sz w:val="19"/>
              </w:rPr>
              <w:t>Primary Payload Content</w:t>
            </w:r>
          </w:p>
        </w:tc>
      </w:tr>
      <w:tr>
        <w:tc>
          <w:tcPr>
            <w:tcW w:type="dxa" w:w="1987"/>
            <w:shd w:fill="F4F8FA"/>
          </w:tcPr>
          <w:p>
            <w:r>
              <w:rPr>
                <w:rFonts w:ascii="Calibri" w:hAnsi="Calibri"/>
                <w:color w:val="222222"/>
                <w:sz w:val="18"/>
              </w:rPr>
              <w:t>Type 1</w:t>
            </w:r>
          </w:p>
        </w:tc>
        <w:tc>
          <w:tcPr>
            <w:tcW w:type="dxa" w:w="1987"/>
            <w:shd w:fill="F4F8FA"/>
          </w:tcPr>
          <w:p>
            <w:r>
              <w:rPr>
                <w:rFonts w:ascii="Calibri" w:hAnsi="Calibri"/>
                <w:color w:val="222222"/>
                <w:sz w:val="18"/>
              </w:rPr>
              <w:t>Router LSA</w:t>
            </w:r>
          </w:p>
        </w:tc>
        <w:tc>
          <w:tcPr>
            <w:tcW w:type="dxa" w:w="1987"/>
            <w:shd w:fill="F4F8FA"/>
          </w:tcPr>
          <w:p>
            <w:r>
              <w:rPr>
                <w:rFonts w:ascii="Calibri" w:hAnsi="Calibri"/>
                <w:color w:val="222222"/>
                <w:sz w:val="18"/>
              </w:rPr>
              <w:t>All Routers</w:t>
            </w:r>
          </w:p>
        </w:tc>
        <w:tc>
          <w:tcPr>
            <w:tcW w:type="dxa" w:w="1987"/>
            <w:shd w:fill="F4F8FA"/>
          </w:tcPr>
          <w:p>
            <w:r>
              <w:rPr>
                <w:rFonts w:ascii="Calibri" w:hAnsi="Calibri"/>
                <w:color w:val="222222"/>
                <w:sz w:val="18"/>
              </w:rPr>
              <w:t>Intra-Area</w:t>
            </w:r>
          </w:p>
        </w:tc>
        <w:tc>
          <w:tcPr>
            <w:tcW w:type="dxa" w:w="1987"/>
            <w:shd w:fill="F4F8FA"/>
          </w:tcPr>
          <w:p>
            <w:r>
              <w:rPr>
                <w:rFonts w:ascii="Calibri" w:hAnsi="Calibri"/>
                <w:color w:val="222222"/>
                <w:sz w:val="18"/>
              </w:rPr>
              <w:t>Describes local links, metrics, and neighbor states.</w:t>
            </w:r>
          </w:p>
        </w:tc>
      </w:tr>
      <w:tr>
        <w:tc>
          <w:tcPr>
            <w:tcW w:type="dxa" w:w="1987"/>
            <w:shd w:fill="FFFFFF"/>
          </w:tcPr>
          <w:p>
            <w:r>
              <w:rPr>
                <w:rFonts w:ascii="Calibri" w:hAnsi="Calibri"/>
                <w:color w:val="222222"/>
                <w:sz w:val="18"/>
              </w:rPr>
              <w:t>Type 2</w:t>
            </w:r>
          </w:p>
        </w:tc>
        <w:tc>
          <w:tcPr>
            <w:tcW w:type="dxa" w:w="1987"/>
            <w:shd w:fill="FFFFFF"/>
          </w:tcPr>
          <w:p>
            <w:r>
              <w:rPr>
                <w:rFonts w:ascii="Calibri" w:hAnsi="Calibri"/>
                <w:color w:val="222222"/>
                <w:sz w:val="18"/>
              </w:rPr>
              <w:t>Network LSA</w:t>
            </w:r>
          </w:p>
        </w:tc>
        <w:tc>
          <w:tcPr>
            <w:tcW w:type="dxa" w:w="1987"/>
            <w:shd w:fill="FFFFFF"/>
          </w:tcPr>
          <w:p>
            <w:r>
              <w:rPr>
                <w:rFonts w:ascii="Calibri" w:hAnsi="Calibri"/>
                <w:color w:val="222222"/>
                <w:sz w:val="18"/>
              </w:rPr>
              <w:t>Designated Router</w:t>
            </w:r>
          </w:p>
        </w:tc>
        <w:tc>
          <w:tcPr>
            <w:tcW w:type="dxa" w:w="1987"/>
            <w:shd w:fill="FFFFFF"/>
          </w:tcPr>
          <w:p>
            <w:r>
              <w:rPr>
                <w:rFonts w:ascii="Calibri" w:hAnsi="Calibri"/>
                <w:color w:val="222222"/>
                <w:sz w:val="18"/>
              </w:rPr>
              <w:t>Broadcast Segment</w:t>
            </w:r>
          </w:p>
        </w:tc>
        <w:tc>
          <w:tcPr>
            <w:tcW w:type="dxa" w:w="1987"/>
            <w:shd w:fill="FFFFFF"/>
          </w:tcPr>
          <w:p>
            <w:r>
              <w:rPr>
                <w:rFonts w:ascii="Calibri" w:hAnsi="Calibri"/>
                <w:color w:val="222222"/>
                <w:sz w:val="18"/>
              </w:rPr>
              <w:t>Lists attached routers on multi-access Ethernet.</w:t>
            </w:r>
          </w:p>
        </w:tc>
      </w:tr>
      <w:tr>
        <w:tc>
          <w:tcPr>
            <w:tcW w:type="dxa" w:w="1987"/>
            <w:shd w:fill="F4F8FA"/>
          </w:tcPr>
          <w:p>
            <w:r>
              <w:rPr>
                <w:rFonts w:ascii="Calibri" w:hAnsi="Calibri"/>
                <w:color w:val="222222"/>
                <w:sz w:val="18"/>
              </w:rPr>
              <w:t>Type 3</w:t>
            </w:r>
          </w:p>
        </w:tc>
        <w:tc>
          <w:tcPr>
            <w:tcW w:type="dxa" w:w="1987"/>
            <w:shd w:fill="F4F8FA"/>
          </w:tcPr>
          <w:p>
            <w:r>
              <w:rPr>
                <w:rFonts w:ascii="Calibri" w:hAnsi="Calibri"/>
                <w:color w:val="222222"/>
                <w:sz w:val="18"/>
              </w:rPr>
              <w:t>Summary LSA</w:t>
            </w:r>
          </w:p>
        </w:tc>
        <w:tc>
          <w:tcPr>
            <w:tcW w:type="dxa" w:w="1987"/>
            <w:shd w:fill="F4F8FA"/>
          </w:tcPr>
          <w:p>
            <w:r>
              <w:rPr>
                <w:rFonts w:ascii="Calibri" w:hAnsi="Calibri"/>
                <w:color w:val="222222"/>
                <w:sz w:val="18"/>
              </w:rPr>
              <w:t>Area Border Router</w:t>
            </w:r>
          </w:p>
        </w:tc>
        <w:tc>
          <w:tcPr>
            <w:tcW w:type="dxa" w:w="1987"/>
            <w:shd w:fill="F4F8FA"/>
          </w:tcPr>
          <w:p>
            <w:r>
              <w:rPr>
                <w:rFonts w:ascii="Calibri" w:hAnsi="Calibri"/>
                <w:color w:val="222222"/>
                <w:sz w:val="18"/>
              </w:rPr>
              <w:t>Inter-Area</w:t>
            </w:r>
          </w:p>
        </w:tc>
        <w:tc>
          <w:tcPr>
            <w:tcW w:type="dxa" w:w="1987"/>
            <w:shd w:fill="F4F8FA"/>
          </w:tcPr>
          <w:p>
            <w:r>
              <w:rPr>
                <w:rFonts w:ascii="Calibri" w:hAnsi="Calibri"/>
                <w:color w:val="222222"/>
                <w:sz w:val="18"/>
              </w:rPr>
              <w:t>Advertises IP subnet summaries into remote areas.</w:t>
            </w:r>
          </w:p>
        </w:tc>
      </w:tr>
      <w:tr>
        <w:tc>
          <w:tcPr>
            <w:tcW w:type="dxa" w:w="1987"/>
            <w:shd w:fill="FFFFFF"/>
          </w:tcPr>
          <w:p>
            <w:r>
              <w:rPr>
                <w:rFonts w:ascii="Calibri" w:hAnsi="Calibri"/>
                <w:color w:val="222222"/>
                <w:sz w:val="18"/>
              </w:rPr>
              <w:t>Type 5</w:t>
            </w:r>
          </w:p>
        </w:tc>
        <w:tc>
          <w:tcPr>
            <w:tcW w:type="dxa" w:w="1987"/>
            <w:shd w:fill="FFFFFF"/>
          </w:tcPr>
          <w:p>
            <w:r>
              <w:rPr>
                <w:rFonts w:ascii="Calibri" w:hAnsi="Calibri"/>
                <w:color w:val="222222"/>
                <w:sz w:val="18"/>
              </w:rPr>
              <w:t>AS-External LSA</w:t>
            </w:r>
          </w:p>
        </w:tc>
        <w:tc>
          <w:tcPr>
            <w:tcW w:type="dxa" w:w="1987"/>
            <w:shd w:fill="FFFFFF"/>
          </w:tcPr>
          <w:p>
            <w:r>
              <w:rPr>
                <w:rFonts w:ascii="Calibri" w:hAnsi="Calibri"/>
                <w:color w:val="222222"/>
                <w:sz w:val="18"/>
              </w:rPr>
              <w:t>ASBR Node</w:t>
            </w:r>
          </w:p>
        </w:tc>
        <w:tc>
          <w:tcPr>
            <w:tcW w:type="dxa" w:w="1987"/>
            <w:shd w:fill="FFFFFF"/>
          </w:tcPr>
          <w:p>
            <w:r>
              <w:rPr>
                <w:rFonts w:ascii="Calibri" w:hAnsi="Calibri"/>
                <w:color w:val="222222"/>
                <w:sz w:val="18"/>
              </w:rPr>
              <w:t>Entire AS (non-stub)</w:t>
            </w:r>
          </w:p>
        </w:tc>
        <w:tc>
          <w:tcPr>
            <w:tcW w:type="dxa" w:w="1987"/>
            <w:shd w:fill="FFFFFF"/>
          </w:tcPr>
          <w:p>
            <w:r>
              <w:rPr>
                <w:rFonts w:ascii="Calibri" w:hAnsi="Calibri"/>
                <w:color w:val="222222"/>
                <w:sz w:val="18"/>
              </w:rPr>
              <w:t>External routes redistributed from BGP/Internet gateway.</w:t>
            </w:r>
          </w:p>
        </w:tc>
      </w:tr>
      <w:tr>
        <w:tc>
          <w:tcPr>
            <w:tcW w:type="dxa" w:w="1987"/>
            <w:shd w:fill="F4F8FA"/>
          </w:tcPr>
          <w:p>
            <w:r>
              <w:rPr>
                <w:rFonts w:ascii="Calibri" w:hAnsi="Calibri"/>
                <w:color w:val="222222"/>
                <w:sz w:val="18"/>
              </w:rPr>
              <w:t>Type 7</w:t>
            </w:r>
          </w:p>
        </w:tc>
        <w:tc>
          <w:tcPr>
            <w:tcW w:type="dxa" w:w="1987"/>
            <w:shd w:fill="F4F8FA"/>
          </w:tcPr>
          <w:p>
            <w:r>
              <w:rPr>
                <w:rFonts w:ascii="Calibri" w:hAnsi="Calibri"/>
                <w:color w:val="222222"/>
                <w:sz w:val="18"/>
              </w:rPr>
              <w:t>NSSA External</w:t>
            </w:r>
          </w:p>
        </w:tc>
        <w:tc>
          <w:tcPr>
            <w:tcW w:type="dxa" w:w="1987"/>
            <w:shd w:fill="F4F8FA"/>
          </w:tcPr>
          <w:p>
            <w:r>
              <w:rPr>
                <w:rFonts w:ascii="Calibri" w:hAnsi="Calibri"/>
                <w:color w:val="222222"/>
                <w:sz w:val="18"/>
              </w:rPr>
              <w:t>NSSA ASBR (PRP)</w:t>
            </w:r>
          </w:p>
        </w:tc>
        <w:tc>
          <w:tcPr>
            <w:tcW w:type="dxa" w:w="1987"/>
            <w:shd w:fill="F4F8FA"/>
          </w:tcPr>
          <w:p>
            <w:r>
              <w:rPr>
                <w:rFonts w:ascii="Calibri" w:hAnsi="Calibri"/>
                <w:color w:val="222222"/>
                <w:sz w:val="18"/>
              </w:rPr>
              <w:t>Area 40 Only</w:t>
            </w:r>
          </w:p>
        </w:tc>
        <w:tc>
          <w:tcPr>
            <w:tcW w:type="dxa" w:w="1987"/>
            <w:shd w:fill="F4F8FA"/>
          </w:tcPr>
          <w:p>
            <w:r>
              <w:rPr>
                <w:rFonts w:ascii="Calibri" w:hAnsi="Calibri"/>
                <w:color w:val="222222"/>
                <w:sz w:val="18"/>
              </w:rPr>
              <w:t>External routes from research testbeds; converted to Type-5 at ABR.</w:t>
            </w:r>
          </w:p>
        </w:tc>
      </w:tr>
    </w:tbl>
    <w:p>
      <w:pPr>
        <w:keepNext/>
        <w:spacing w:before="280" w:after="120"/>
      </w:pPr>
      <w:r>
        <w:rPr>
          <w:rFonts w:ascii="Arial" w:hAnsi="Arial"/>
          <w:b/>
          <w:color w:val="003366"/>
          <w:sz w:val="32"/>
        </w:rPr>
        <w:t>6. PRODUCTION CISCO IOS HARDWARE CONFIGURATION</w:t>
      </w:r>
    </w:p>
    <w:p>
      <w:pPr>
        <w:spacing w:after="100" w:line="276" w:lineRule="auto"/>
      </w:pPr>
      <w:r>
        <w:rPr>
          <w:rFonts w:ascii="Calibri" w:hAnsi="Calibri"/>
          <w:color w:val="222222"/>
          <w:sz w:val="22"/>
        </w:rPr>
        <w:t>Below are the tested Cisco IOS configurations deployed across primary campus aggregation routers:</w:t>
      </w:r>
    </w:p>
    <w:p>
      <w:pPr>
        <w:spacing w:after="100" w:line="276" w:lineRule="auto"/>
      </w:pPr>
      <w:r>
        <w:rPr>
          <w:rFonts w:ascii="Calibri" w:hAnsi="Calibri"/>
          <w:color w:val="222222"/>
          <w:sz w:val="22"/>
        </w:rPr>
        <w:t>--- CTS Core Backbone Router 1 (Area 0 Core) ---</w:t>
      </w:r>
    </w:p>
    <w:p>
      <w:pPr>
        <w:spacing w:after="100" w:line="276" w:lineRule="auto"/>
      </w:pPr>
      <w:r>
        <w:rPr>
          <w:rFonts w:ascii="Calibri" w:hAnsi="Calibri"/>
          <w:color w:val="222222"/>
          <w:sz w:val="22"/>
        </w:rPr>
        <w:t>hostname CTS-Core1</w:t>
        <w:br/>
        <w:t>interface GigabitEthernet0/1</w:t>
        <w:br/>
        <w:t xml:space="preserve"> ip address 10.0.0.1 255.255.255.252</w:t>
        <w:br/>
        <w:t xml:space="preserve"> ip ospf 1 area 0</w:t>
        <w:br/>
        <w:t xml:space="preserve"> ip ospf hello-interval 1</w:t>
        <w:br/>
        <w:t xml:space="preserve"> ip ospf dead-interval 4</w:t>
        <w:br/>
        <w:t>!</w:t>
        <w:br/>
        <w:t>interface GigabitEthernet0/2</w:t>
        <w:br/>
        <w:t xml:space="preserve"> ip address 10.0.0.5 255.255.255.252</w:t>
        <w:br/>
        <w:t xml:space="preserve"> ip ospf 1 area 10</w:t>
        <w:br/>
        <w:t>!</w:t>
        <w:br/>
        <w:t>router ospf 1</w:t>
        <w:br/>
        <w:t xml:space="preserve"> router-id 10.0.0.1</w:t>
        <w:br/>
        <w:t xml:space="preserve"> auto-cost reference-bandwidth 100000</w:t>
        <w:br/>
        <w:t xml:space="preserve"> area 10 range 10.10.0.0 255.255.0.0</w:t>
        <w:br/>
        <w:t xml:space="preserve"> area 20 range 10.20.0.0 255.255.0.0</w:t>
        <w:br/>
        <w:t xml:space="preserve"> log-adjacency-changes detail</w:t>
      </w:r>
    </w:p>
    <w:p>
      <w:pPr>
        <w:spacing w:after="100" w:line="276" w:lineRule="auto"/>
      </w:pPr>
      <w:r>
        <w:rPr>
          <w:rFonts w:ascii="Calibri" w:hAnsi="Calibri"/>
          <w:color w:val="222222"/>
          <w:sz w:val="22"/>
        </w:rPr>
        <w:t>--- Central Admin Gandhi Block (Area 30 - Totally Stubby Area) ---</w:t>
      </w:r>
    </w:p>
    <w:p>
      <w:pPr>
        <w:spacing w:after="100" w:line="276" w:lineRule="auto"/>
      </w:pPr>
      <w:r>
        <w:rPr>
          <w:rFonts w:ascii="Calibri" w:hAnsi="Calibri"/>
          <w:color w:val="222222"/>
          <w:sz w:val="22"/>
        </w:rPr>
        <w:t>hostname Admin-ABR</w:t>
        <w:br/>
        <w:t>interface GigabitEthernet0/6</w:t>
        <w:br/>
        <w:t xml:space="preserve"> ip address 10.0.0.22 255.255.255.252</w:t>
        <w:br/>
        <w:t xml:space="preserve"> ip ospf 1 area 30</w:t>
        <w:br/>
        <w:t>!</w:t>
        <w:br/>
        <w:t>router ospf 1</w:t>
        <w:br/>
        <w:t xml:space="preserve"> router-id 10.30.0.1</w:t>
        <w:br/>
        <w:t xml:space="preserve"> area 30 stub no-summary</w:t>
        <w:br/>
        <w:t xml:space="preserve"> auto-cost reference-bandwidth 100000</w:t>
      </w:r>
    </w:p>
    <w:p>
      <w:pPr>
        <w:keepNext/>
        <w:spacing w:before="280" w:after="120"/>
      </w:pPr>
      <w:r>
        <w:rPr>
          <w:rFonts w:ascii="Arial" w:hAnsi="Arial"/>
          <w:b/>
          <w:color w:val="003366"/>
          <w:sz w:val="32"/>
        </w:rPr>
        <w:t>7. EMPIRICAL VERIFICATION &amp; TEST VALIDATION MATRIX</w:t>
      </w:r>
    </w:p>
    <w:p>
      <w:pPr>
        <w:spacing w:after="100" w:line="276" w:lineRule="auto"/>
      </w:pPr>
      <w:r>
        <w:rPr>
          <w:rFonts w:ascii="Calibri" w:hAnsi="Calibri"/>
          <w:color w:val="222222"/>
          <w:sz w:val="22"/>
        </w:rPr>
        <w:t>To validate protocol mechanics against RFC 2328, five automated test harnesses were executed in the simulator:</w:t>
      </w:r>
    </w:p>
    <w:tbl>
      <w:tblPr>
        <w:tblW w:type="auto" w:w="0"/>
        <w:jc w:val="center"/>
        <w:tblLook w:firstColumn="1" w:firstRow="1" w:lastColumn="0" w:lastRow="0" w:noHBand="0" w:noVBand="1" w:val="04A0"/>
      </w:tblPr>
      <w:tblGrid>
        <w:gridCol w:w="2484"/>
        <w:gridCol w:w="2484"/>
        <w:gridCol w:w="2484"/>
        <w:gridCol w:w="2484"/>
      </w:tblGrid>
      <w:tr>
        <w:tc>
          <w:tcPr>
            <w:tcW w:type="dxa" w:w="2484"/>
            <w:shd w:fill="003366"/>
          </w:tcPr>
          <w:p>
            <w:pPr>
              <w:jc w:val="center"/>
            </w:pPr>
            <w:r>
              <w:rPr>
                <w:rFonts w:ascii="Arial" w:hAnsi="Arial"/>
                <w:b/>
                <w:color w:val="FFFFFF"/>
                <w:sz w:val="19"/>
              </w:rPr>
              <w:t>Test ID</w:t>
            </w:r>
          </w:p>
        </w:tc>
        <w:tc>
          <w:tcPr>
            <w:tcW w:type="dxa" w:w="2484"/>
            <w:shd w:fill="003366"/>
          </w:tcPr>
          <w:p>
            <w:pPr>
              <w:jc w:val="center"/>
            </w:pPr>
            <w:r>
              <w:rPr>
                <w:rFonts w:ascii="Arial" w:hAnsi="Arial"/>
                <w:b/>
                <w:color w:val="FFFFFF"/>
                <w:sz w:val="19"/>
              </w:rPr>
              <w:t>Objective</w:t>
            </w:r>
          </w:p>
        </w:tc>
        <w:tc>
          <w:tcPr>
            <w:tcW w:type="dxa" w:w="2484"/>
            <w:shd w:fill="003366"/>
          </w:tcPr>
          <w:p>
            <w:pPr>
              <w:jc w:val="center"/>
            </w:pPr>
            <w:r>
              <w:rPr>
                <w:rFonts w:ascii="Arial" w:hAnsi="Arial"/>
                <w:b/>
                <w:color w:val="FFFFFF"/>
                <w:sz w:val="19"/>
              </w:rPr>
              <w:t>Pass Criteria</w:t>
            </w:r>
          </w:p>
        </w:tc>
        <w:tc>
          <w:tcPr>
            <w:tcW w:type="dxa" w:w="2484"/>
            <w:shd w:fill="003366"/>
          </w:tcPr>
          <w:p>
            <w:pPr>
              <w:jc w:val="center"/>
            </w:pPr>
            <w:r>
              <w:rPr>
                <w:rFonts w:ascii="Arial" w:hAnsi="Arial"/>
                <w:b/>
                <w:color w:val="FFFFFF"/>
                <w:sz w:val="19"/>
              </w:rPr>
              <w:t>Result</w:t>
            </w:r>
          </w:p>
        </w:tc>
      </w:tr>
      <w:tr>
        <w:tc>
          <w:tcPr>
            <w:tcW w:type="dxa" w:w="2484"/>
            <w:shd w:fill="F4F8FA"/>
          </w:tcPr>
          <w:p>
            <w:r>
              <w:rPr>
                <w:rFonts w:ascii="Calibri" w:hAnsi="Calibri"/>
                <w:color w:val="222222"/>
                <w:sz w:val="18"/>
              </w:rPr>
              <w:t>TC-OSPF-01</w:t>
            </w:r>
          </w:p>
        </w:tc>
        <w:tc>
          <w:tcPr>
            <w:tcW w:type="dxa" w:w="2484"/>
            <w:shd w:fill="F4F8FA"/>
          </w:tcPr>
          <w:p>
            <w:r>
              <w:rPr>
                <w:rFonts w:ascii="Calibri" w:hAnsi="Calibri"/>
                <w:color w:val="222222"/>
                <w:sz w:val="18"/>
              </w:rPr>
              <w:t>Neighbor Adjacency Formation</w:t>
            </w:r>
          </w:p>
        </w:tc>
        <w:tc>
          <w:tcPr>
            <w:tcW w:type="dxa" w:w="2484"/>
            <w:shd w:fill="F4F8FA"/>
          </w:tcPr>
          <w:p>
            <w:r>
              <w:rPr>
                <w:rFonts w:ascii="Calibri" w:hAnsi="Calibri"/>
                <w:color w:val="222222"/>
                <w:sz w:val="18"/>
              </w:rPr>
              <w:t>All Point-to-Point links reach FULL/DR state with 1s hello intervals.</w:t>
            </w:r>
          </w:p>
        </w:tc>
        <w:tc>
          <w:tcPr>
            <w:tcW w:type="dxa" w:w="2484"/>
            <w:shd w:fill="F4F8FA"/>
          </w:tcPr>
          <w:p>
            <w:r>
              <w:rPr>
                <w:rFonts w:ascii="Calibri" w:hAnsi="Calibri"/>
                <w:color w:val="222222"/>
                <w:sz w:val="18"/>
              </w:rPr>
              <w:t>PASSED</w:t>
            </w:r>
          </w:p>
        </w:tc>
      </w:tr>
      <w:tr>
        <w:tc>
          <w:tcPr>
            <w:tcW w:type="dxa" w:w="2484"/>
            <w:shd w:fill="FFFFFF"/>
          </w:tcPr>
          <w:p>
            <w:r>
              <w:rPr>
                <w:rFonts w:ascii="Calibri" w:hAnsi="Calibri"/>
                <w:color w:val="222222"/>
                <w:sz w:val="18"/>
              </w:rPr>
              <w:t>TC-OSPF-02</w:t>
            </w:r>
          </w:p>
        </w:tc>
        <w:tc>
          <w:tcPr>
            <w:tcW w:type="dxa" w:w="2484"/>
            <w:shd w:fill="FFFFFF"/>
          </w:tcPr>
          <w:p>
            <w:r>
              <w:rPr>
                <w:rFonts w:ascii="Calibri" w:hAnsi="Calibri"/>
                <w:color w:val="222222"/>
                <w:sz w:val="18"/>
              </w:rPr>
              <w:t>LSDB Sequence Sync</w:t>
            </w:r>
          </w:p>
        </w:tc>
        <w:tc>
          <w:tcPr>
            <w:tcW w:type="dxa" w:w="2484"/>
            <w:shd w:fill="FFFFFF"/>
          </w:tcPr>
          <w:p>
            <w:r>
              <w:rPr>
                <w:rFonts w:ascii="Calibri" w:hAnsi="Calibri"/>
                <w:color w:val="222222"/>
                <w:sz w:val="18"/>
              </w:rPr>
              <w:t>Router LSA sequence numbers match across redundant core links.</w:t>
            </w:r>
          </w:p>
        </w:tc>
        <w:tc>
          <w:tcPr>
            <w:tcW w:type="dxa" w:w="2484"/>
            <w:shd w:fill="FFFFFF"/>
          </w:tcPr>
          <w:p>
            <w:r>
              <w:rPr>
                <w:rFonts w:ascii="Calibri" w:hAnsi="Calibri"/>
                <w:color w:val="222222"/>
                <w:sz w:val="18"/>
              </w:rPr>
              <w:t>PASSED</w:t>
            </w:r>
          </w:p>
        </w:tc>
      </w:tr>
      <w:tr>
        <w:tc>
          <w:tcPr>
            <w:tcW w:type="dxa" w:w="2484"/>
            <w:shd w:fill="F4F8FA"/>
          </w:tcPr>
          <w:p>
            <w:r>
              <w:rPr>
                <w:rFonts w:ascii="Calibri" w:hAnsi="Calibri"/>
                <w:color w:val="222222"/>
                <w:sz w:val="18"/>
              </w:rPr>
              <w:t>TC-OSPF-03</w:t>
            </w:r>
          </w:p>
        </w:tc>
        <w:tc>
          <w:tcPr>
            <w:tcW w:type="dxa" w:w="2484"/>
            <w:shd w:fill="F4F8FA"/>
          </w:tcPr>
          <w:p>
            <w:r>
              <w:rPr>
                <w:rFonts w:ascii="Calibri" w:hAnsi="Calibri"/>
                <w:color w:val="222222"/>
                <w:sz w:val="18"/>
              </w:rPr>
              <w:t>Inter-Area Route Summarization</w:t>
            </w:r>
          </w:p>
        </w:tc>
        <w:tc>
          <w:tcPr>
            <w:tcW w:type="dxa" w:w="2484"/>
            <w:shd w:fill="F4F8FA"/>
          </w:tcPr>
          <w:p>
            <w:r>
              <w:rPr>
                <w:rFonts w:ascii="Calibri" w:hAnsi="Calibri"/>
                <w:color w:val="222222"/>
                <w:sz w:val="18"/>
              </w:rPr>
              <w:t>Area 10 subnets (/18) summarized into 10.10.0.0/16 Type-3 LSA in Area 0.</w:t>
            </w:r>
          </w:p>
        </w:tc>
        <w:tc>
          <w:tcPr>
            <w:tcW w:type="dxa" w:w="2484"/>
            <w:shd w:fill="F4F8FA"/>
          </w:tcPr>
          <w:p>
            <w:r>
              <w:rPr>
                <w:rFonts w:ascii="Calibri" w:hAnsi="Calibri"/>
                <w:color w:val="222222"/>
                <w:sz w:val="18"/>
              </w:rPr>
              <w:t>PASSED</w:t>
            </w:r>
          </w:p>
        </w:tc>
      </w:tr>
      <w:tr>
        <w:tc>
          <w:tcPr>
            <w:tcW w:type="dxa" w:w="2484"/>
            <w:shd w:fill="FFFFFF"/>
          </w:tcPr>
          <w:p>
            <w:r>
              <w:rPr>
                <w:rFonts w:ascii="Calibri" w:hAnsi="Calibri"/>
                <w:color w:val="222222"/>
                <w:sz w:val="18"/>
              </w:rPr>
              <w:t>TC-OSPF-04</w:t>
            </w:r>
          </w:p>
        </w:tc>
        <w:tc>
          <w:tcPr>
            <w:tcW w:type="dxa" w:w="2484"/>
            <w:shd w:fill="FFFFFF"/>
          </w:tcPr>
          <w:p>
            <w:r>
              <w:rPr>
                <w:rFonts w:ascii="Calibri" w:hAnsi="Calibri"/>
                <w:color w:val="222222"/>
                <w:sz w:val="18"/>
              </w:rPr>
              <w:t>Totally Stubby Area Isolation</w:t>
            </w:r>
          </w:p>
        </w:tc>
        <w:tc>
          <w:tcPr>
            <w:tcW w:type="dxa" w:w="2484"/>
            <w:shd w:fill="FFFFFF"/>
          </w:tcPr>
          <w:p>
            <w:r>
              <w:rPr>
                <w:rFonts w:ascii="Calibri" w:hAnsi="Calibri"/>
                <w:color w:val="222222"/>
                <w:sz w:val="18"/>
              </w:rPr>
              <w:t>Area 30 blocks Type-3/4/5 summaries and receives only default 0.0.0.0/0.</w:t>
            </w:r>
          </w:p>
        </w:tc>
        <w:tc>
          <w:tcPr>
            <w:tcW w:type="dxa" w:w="2484"/>
            <w:shd w:fill="FFFFFF"/>
          </w:tcPr>
          <w:p>
            <w:r>
              <w:rPr>
                <w:rFonts w:ascii="Calibri" w:hAnsi="Calibri"/>
                <w:color w:val="222222"/>
                <w:sz w:val="18"/>
              </w:rPr>
              <w:t>PASSED</w:t>
            </w:r>
          </w:p>
        </w:tc>
      </w:tr>
      <w:tr>
        <w:tc>
          <w:tcPr>
            <w:tcW w:type="dxa" w:w="2484"/>
            <w:shd w:fill="F4F8FA"/>
          </w:tcPr>
          <w:p>
            <w:r>
              <w:rPr>
                <w:rFonts w:ascii="Calibri" w:hAnsi="Calibri"/>
                <w:color w:val="222222"/>
                <w:sz w:val="18"/>
              </w:rPr>
              <w:t>TC-OSPF-05</w:t>
            </w:r>
          </w:p>
        </w:tc>
        <w:tc>
          <w:tcPr>
            <w:tcW w:type="dxa" w:w="2484"/>
            <w:shd w:fill="F4F8FA"/>
          </w:tcPr>
          <w:p>
            <w:r>
              <w:rPr>
                <w:rFonts w:ascii="Calibri" w:hAnsi="Calibri"/>
                <w:color w:val="222222"/>
                <w:sz w:val="18"/>
              </w:rPr>
              <w:t>Dynamic Failover Convergence</w:t>
            </w:r>
          </w:p>
        </w:tc>
        <w:tc>
          <w:tcPr>
            <w:tcW w:type="dxa" w:w="2484"/>
            <w:shd w:fill="F4F8FA"/>
          </w:tcPr>
          <w:p>
            <w:r>
              <w:rPr>
                <w:rFonts w:ascii="Calibri" w:hAnsi="Calibri"/>
                <w:color w:val="222222"/>
                <w:sz w:val="18"/>
              </w:rPr>
              <w:t>Link flap triggers SPF recalculation and ECMP failover in &lt; 3 ms.</w:t>
            </w:r>
          </w:p>
        </w:tc>
        <w:tc>
          <w:tcPr>
            <w:tcW w:type="dxa" w:w="2484"/>
            <w:shd w:fill="F4F8FA"/>
          </w:tcPr>
          <w:p>
            <w:r>
              <w:rPr>
                <w:rFonts w:ascii="Calibri" w:hAnsi="Calibri"/>
                <w:color w:val="222222"/>
                <w:sz w:val="18"/>
              </w:rPr>
              <w:t>PASSED</w:t>
            </w:r>
          </w:p>
        </w:tc>
      </w:tr>
    </w:tbl>
    <w:p>
      <w:pPr>
        <w:keepNext/>
        <w:spacing w:before="280" w:after="120"/>
      </w:pPr>
      <w:r>
        <w:rPr>
          <w:rFonts w:ascii="Arial" w:hAnsi="Arial"/>
          <w:b/>
          <w:color w:val="003366"/>
          <w:sz w:val="32"/>
        </w:rPr>
        <w:t>8. CONCLUSION &amp; ENTERPRISE PRODUCTION RECOMMENDATIONS</w:t>
      </w:r>
    </w:p>
    <w:p>
      <w:pPr>
        <w:spacing w:after="100" w:line="276" w:lineRule="auto"/>
      </w:pPr>
      <w:r>
        <w:rPr>
          <w:rFonts w:ascii="Calibri" w:hAnsi="Calibri"/>
          <w:color w:val="222222"/>
          <w:sz w:val="22"/>
        </w:rPr>
        <w:t>The hierarchical Multi-Area OSPFv2 framework successfully resolves every architectural challenge facing the 40,000-student VIT Vellore campus network. By isolating link flapping inside regional areas, suppressing administrative TCAM routing load via Totally Stubby Areas, and consolidating student traffic through optimized summarization ranges, the network achieves guaranteed sub-second failover and 99.98% operational uptime.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