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network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ubsection"/>
        <w:keepNext/>
        <w:spacing w:before="190" w:after="70"/>
      </w:pPr>
      <w:r/>
      <w:r>
        <w:rPr>
          <w:rFonts w:ascii="Lato" w:hAnsi="Lato"/>
          <w:b/>
          <w:color w:val="0E6C78"/>
          <w:sz w:val="22"/>
        </w:rPr>
        <w:t>4.4 Central Administration Totally Stubby Router (Admin-ABR -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Admin-ABR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Gandhi Block Administration, Finance &amp; Exam Server Subnet</w:t>
              <w:br/>
            </w:r>
            <w:r>
              <w:rPr>
                <w:rFonts w:ascii="Consolas" w:hAnsi="Consolas"/>
                <w:color w:val="22272E"/>
                <w:sz w:val="15"/>
              </w:rPr>
              <w:t xml:space="preserve"> ip address 10.30.0.1 255.255.0.0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10G Secure Armored Optical Trunk l5 to CTS-Core1 (Area 0)</w:t>
              <w:br/>
            </w:r>
            <w:r>
              <w:rPr>
                <w:rFonts w:ascii="Consolas" w:hAnsi="Consolas"/>
                <w:color w:val="22272E"/>
                <w:sz w:val="15"/>
              </w:rPr>
              <w:t xml:space="preserve"> ip address 10.0.0.22 255.255.255.252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10.30.0.1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30 stub no-summary</w:t>
              <w:br/>
            </w:r>
            <w:r>
              <w:rPr>
                <w:rFonts w:ascii="Consolas" w:hAnsi="Consolas"/>
                <w:color w:val="22272E"/>
                <w:sz w:val="15"/>
              </w:rPr>
              <w:t xml:space="preserve"> network 10.0.0.20 0.0.0.3 area 0</w:t>
              <w:br/>
            </w:r>
            <w:r>
              <w:rPr>
                <w:rFonts w:ascii="Consolas" w:hAnsi="Consolas"/>
                <w:color w:val="22272E"/>
                <w:sz w:val="15"/>
              </w:rPr>
              <w:t xml:space="preserve"> network 10.30.0.0 0.0.255.255 area 30</w:t>
            </w:r>
          </w:p>
        </w:tc>
      </w:tr>
    </w:tbl>
    <w:p>
      <w:pPr>
        <w:pStyle w:val="ReportSubsection"/>
        <w:keepNext/>
        <w:spacing w:before="190" w:after="70"/>
      </w:pPr>
      <w:r/>
      <w:r>
        <w:rPr>
          <w:rFonts w:ascii="Lato" w:hAnsi="Lato"/>
          <w:b/>
          <w:color w:val="0E6C78"/>
          <w:sz w:val="22"/>
        </w:rPr>
        <w:t>4.5 Research &amp; Innovation NSSA Router (PRP-ABR - Area 40)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PRP-ABR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Pearl Research Park Supercomputing &amp; AI Lab Subnet</w:t>
              <w:br/>
            </w:r>
            <w:r>
              <w:rPr>
                <w:rFonts w:ascii="Consolas" w:hAnsi="Consolas"/>
                <w:color w:val="22272E"/>
                <w:sz w:val="15"/>
              </w:rPr>
              <w:t xml:space="preserve"> ip address 10.40.0.1 255.255.0.0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100G Research Optical Trunk l6 to CTS-Core1 (Area 0 Backbone)</w:t>
              <w:br/>
            </w:r>
            <w:r>
              <w:rPr>
                <w:rFonts w:ascii="Consolas" w:hAnsi="Consolas"/>
                <w:color w:val="22272E"/>
                <w:sz w:val="15"/>
              </w:rPr>
              <w:t xml:space="preserve"> ip address 10.0.0.26 255.255.255.252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10.40.0.1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40 nssa</w:t>
              <w:br/>
            </w:r>
            <w:r>
              <w:rPr>
                <w:rFonts w:ascii="Consolas" w:hAnsi="Consolas"/>
                <w:color w:val="22272E"/>
                <w:sz w:val="15"/>
              </w:rPr>
              <w:t xml:space="preserve"> area 40 range 10.40.0.0 255.255.0.0</w:t>
              <w:br/>
            </w:r>
            <w:r>
              <w:rPr>
                <w:rFonts w:ascii="Consolas" w:hAnsi="Consolas"/>
                <w:color w:val="22272E"/>
                <w:sz w:val="15"/>
              </w:rPr>
              <w:t xml:space="preserve"> network 10.0.0.24 0.0.0.3 area 0</w:t>
              <w:br/>
            </w:r>
            <w:r>
              <w:rPr>
                <w:rFonts w:ascii="Consolas" w:hAnsi="Consolas"/>
                <w:color w:val="22272E"/>
                <w:sz w:val="15"/>
              </w:rPr>
              <w:t xml:space="preserve"> network 10.40.0.0 0.0.255.255 area 40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123A5A"/>
                <w:sz w:val="15"/>
              </w:rPr>
              <w:t>Total Convergence Formula:</w:t>
              <w:br/>
            </w:r>
            <w:r>
              <w:rPr>
                <w:rFonts w:ascii="Consolas" w:hAnsi="Consolas"/>
                <w:b/>
                <w:color w:val="123A5A"/>
                <w:sz w:val="15"/>
              </w:rPr>
              <w:t xml:space="preserve">  Total Convergence Time = Hardware Fault Detection + LSA Propagation + Dijkstra Calculation + FIB 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Hardware Fault Detection (Loss of Light &amp; BFD Hardware Echo) : 1.00 ms</w:t>
              <w:br/>
            </w:r>
            <w:r>
              <w:rPr>
                <w:rFonts w:ascii="Consolas" w:hAnsi="Consolas"/>
                <w:color w:val="22272E"/>
                <w:sz w:val="15"/>
              </w:rPr>
              <w:t xml:space="preserve">  LSA Flood Propagation (Type-1 Router LSA Transmission)       : 0.12 ms</w:t>
              <w:br/>
            </w:r>
            <w:r>
              <w:rPr>
                <w:rFonts w:ascii="Consolas" w:hAnsi="Consolas"/>
                <w:color w:val="22272E"/>
                <w:sz w:val="15"/>
              </w:rPr>
              <w:t xml:space="preserve">  Dijkstra Shortest Path Tree Calculation (Area 10 Topology)   : 0.42 ms</w:t>
              <w:br/>
            </w:r>
            <w:r>
              <w:rPr>
                <w:rFonts w:ascii="Consolas" w:hAnsi="Consolas"/>
                <w:color w:val="22272E"/>
                <w:sz w:val="15"/>
              </w:rPr>
              <w:t xml:space="preserv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interactive network simulation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showcase_3d_campus.jpg"/>
                    <pic:cNvPicPr/>
                  </pic:nvPicPr>
                  <pic:blipFill>
                    <a:blip r:embed="rId28"/>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Topology Visualization of the 372-Acre VIT Vellore Campus.</w:t>
      </w:r>
    </w:p>
    <w:p>
      <w:pPr>
        <w:pStyle w:val="ReportSection"/>
        <w:keepNext/>
        <w:pageBreakBefore/>
        <w:spacing w:before="280" w:after="90"/>
      </w:pPr>
      <w:r/>
      <w:r>
        <w:rPr>
          <w:rFonts w:ascii="Lato" w:hAnsi="Lato"/>
          <w:b/>
          <w:color w:val="0D2B45"/>
          <w:sz w:val="27"/>
        </w:rPr>
        <w:t>11.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network simulator,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Web Platform</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p>
      <w:pPr>
        <w:pStyle w:val="ReportSection"/>
        <w:keepNext/>
        <w:spacing w:before="280" w:after="90"/>
      </w:pPr>
      <w:r/>
      <w:r>
        <w:rPr>
          <w:rFonts w:ascii="Lato" w:hAnsi="Lato"/>
          <w:b/>
          <w:color w:val="0D2B45"/>
          <w:sz w:val="27"/>
        </w:rPr>
        <w:t>Summary</w:t>
      </w:r>
    </w:p>
    <w:p>
      <w:pPr>
        <w:spacing w:before="30" w:after="90" w:line="264" w:lineRule="auto"/>
        <w:jc w:val="both"/>
      </w:pPr>
      <w:r/>
      <w:r>
        <w:rPr>
          <w:rFonts w:ascii="Caladea" w:hAnsi="Caladea"/>
          <w:color w:val="22272E"/>
          <w:sz w:val="20"/>
        </w:rPr>
        <w:t>This report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PLATFORM</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