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60" w:after="40"/>
        <w:jc w:val="center"/>
      </w:pPr>
      <w:r>
        <w:rPr>
          <w:rFonts w:ascii="Carlito" w:hAnsi="Carlito" w:eastAsia="Carlito" w:cs="Carlito"/>
          <w:color w:val="222222"/>
          <w:sz w:val="20"/>
        </w:rPr>
        <w:drawing>
          <wp:inline xmlns:a="http://schemas.openxmlformats.org/drawingml/2006/main" xmlns:pic="http://schemas.openxmlformats.org/drawingml/2006/picture">
            <wp:extent cx="868680" cy="915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91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40"/>
        <w:jc w:val="center"/>
        <w:pBdr>
          <w:bottom w:val="single" w:sz="10" w:space="4" w:color="B78B2E"/>
        </w:pBdr>
      </w:pPr>
      <w:r>
        <w:rPr>
          <w:rFonts w:ascii="Lato" w:hAnsi="Lato" w:eastAsia="Lato" w:cs="Carlito"/>
          <w:b/>
          <w:color w:val="0D2B45"/>
          <w:sz w:val="35"/>
        </w:rPr>
        <w:t>VELLORE INSTITUTE OF TECHNOLOGY</w:t>
      </w:r>
    </w:p>
    <w:p>
      <w:pPr>
        <w:widowControl/>
        <w:spacing w:before="40" w:after="200" w:line="276" w:lineRule="auto"/>
        <w:jc w:val="center"/>
      </w:pPr>
      <w:r>
        <w:rPr>
          <w:rFonts w:ascii="Caladea" w:hAnsi="Caladea" w:eastAsia="Caladea" w:cs="Carlito"/>
          <w:color w:val="66717D"/>
          <w:sz w:val="18"/>
        </w:rPr>
        <w:t>School of Computer Science Engineering and Information Systems</w:t>
        <w:br/>
        <w:t>Fall Semester 2026–2027 | Course: BAITE203 - Computer Networks and Data Communications Lab</w:t>
        <w:br/>
        <w:t>Faculty In-Charge: Dr. G. Usha Devi</w:t>
      </w:r>
    </w:p>
    <w:p>
      <w:pPr>
        <w:widowControl/>
        <w:spacing w:before="140" w:after="80" w:line="240" w:lineRule="auto"/>
        <w:jc w:val="center"/>
      </w:pPr>
      <w:r/>
      <w:r>
        <w:rPr>
          <w:rFonts w:ascii="Lato" w:hAnsi="Lato"/>
          <w:b/>
          <w:color w:val="0D2B45"/>
          <w:sz w:val="30"/>
        </w:rPr>
        <w:t>ENTERPRISE ROUTING USING OSPF:</w:t>
        <w:br/>
        <w:t>SCALABLE MULTI-DEPARTMENT CAMPUS NETWORK DESIGN &amp; PERFORMANCE EVALUATION</w:t>
      </w:r>
    </w:p>
    <w:p>
      <w:pPr>
        <w:widowControl/>
        <w:spacing w:before="40" w:after="80"/>
        <w:jc w:val="left"/>
        <w:pBdr>
          <w:bottom w:val="single" w:sz="8" w:space="3" w:color="B78B2E"/>
        </w:pBdr>
      </w:pPr>
      <w:r>
        <w:rPr>
          <w:rFonts w:ascii="Lato" w:hAnsi="Lato" w:eastAsia="Lato" w:cs="Carlito"/>
          <w:b/>
          <w:color w:val="0D2B45"/>
          <w:sz w:val="19"/>
        </w:rPr>
        <w:t>STUDENT PROJECT CANDIDATES</w:t>
      </w:r>
    </w:p>
    <w:tbl>
      <w:tblPr>
        <w:tblW w:type="dxa" w:w="986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0D2B45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ato" w:hAnsi="Lato" w:eastAsia="Lato" w:cs="Carlito"/>
                <w:b/>
                <w:color w:val="FFFFFF"/>
                <w:sz w:val="16"/>
              </w:rPr>
              <w:t>S.No.</w:t>
            </w:r>
          </w:p>
        </w:tc>
        <w:tc>
          <w:tcPr>
            <w:tcW w:type="dxa" w:w="2880"/>
            <w:shd w:fill="0D2B45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10" w:space="0" w:color="123A5A"/>
              <w:left w:val="single" w:sz="4" w:space="0" w:color="D4DCE2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ato" w:hAnsi="Lato" w:eastAsia="Lato" w:cs="Carlito"/>
                <w:b/>
                <w:color w:val="FFFFFF"/>
                <w:sz w:val="16"/>
              </w:rPr>
              <w:t>Student Candidate Name</w:t>
            </w:r>
          </w:p>
        </w:tc>
        <w:tc>
          <w:tcPr>
            <w:tcW w:type="dxa" w:w="2088"/>
            <w:shd w:fill="0D2B45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10" w:space="0" w:color="123A5A"/>
              <w:left w:val="single" w:sz="4" w:space="0" w:color="D4DCE2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ato" w:hAnsi="Lato" w:eastAsia="Lato" w:cs="Carlito"/>
                <w:b/>
                <w:color w:val="FFFFFF"/>
                <w:sz w:val="16"/>
              </w:rPr>
              <w:t>Registration Number</w:t>
            </w:r>
          </w:p>
        </w:tc>
        <w:tc>
          <w:tcPr>
            <w:tcW w:type="dxa" w:w="4104"/>
            <w:shd w:fill="0D2B45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10" w:space="0" w:color="123A5A"/>
              <w:left w:val="single" w:sz="4" w:space="0" w:color="D4DCE2"/>
              <w:bottom w:val="single" w:sz="4" w:space="0" w:color="D4DCE2"/>
              <w:right w:val="single" w:sz="7" w:space="0" w:color="123A5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ato" w:hAnsi="Lato" w:eastAsia="Lato" w:cs="Carlito"/>
                <w:b/>
                <w:color w:val="FFFFFF"/>
                <w:sz w:val="16"/>
              </w:rPr>
              <w:t>Academic Program / Department</w:t>
            </w:r>
          </w:p>
        </w:tc>
      </w:tr>
      <w:tr>
        <w:tc>
          <w:tcPr>
            <w:tcW w:type="dxa" w:w="792"/>
            <w:shd w:fill="FFFFFF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ato" w:hAnsi="Lato" w:eastAsia="Lato" w:cs="Carlito"/>
                <w:b/>
                <w:color w:val="123A5A"/>
                <w:sz w:val="16"/>
              </w:rPr>
              <w:t>1</w:t>
            </w:r>
          </w:p>
        </w:tc>
        <w:tc>
          <w:tcPr>
            <w:tcW w:type="dxa" w:w="2880"/>
            <w:shd w:fill="FFFFFF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4" w:space="0" w:color="D4DCE2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adea" w:hAnsi="Caladea" w:eastAsia="Caladea" w:cs="Carlito"/>
                <w:b w:val="0"/>
                <w:color w:val="22272E"/>
                <w:sz w:val="16"/>
              </w:rPr>
              <w:t>Ansh Katiyar</w:t>
            </w:r>
          </w:p>
        </w:tc>
        <w:tc>
          <w:tcPr>
            <w:tcW w:type="dxa" w:w="2088"/>
            <w:shd w:fill="FFFFFF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4" w:space="0" w:color="D4DCE2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adea" w:hAnsi="Caladea" w:eastAsia="Caladea" w:cs="Carlito"/>
                <w:b w:val="0"/>
                <w:color w:val="22272E"/>
                <w:sz w:val="16"/>
              </w:rPr>
              <w:t>25BIT0333</w:t>
            </w:r>
          </w:p>
        </w:tc>
        <w:tc>
          <w:tcPr>
            <w:tcW w:type="dxa" w:w="4104"/>
            <w:shd w:fill="FFFFFF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4" w:space="0" w:color="D4DCE2"/>
              <w:bottom w:val="single" w:sz="4" w:space="0" w:color="D4DCE2"/>
              <w:right w:val="single" w:sz="7" w:space="0" w:color="123A5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adea" w:hAnsi="Caladea" w:eastAsia="Caladea" w:cs="Carlito"/>
                <w:b w:val="0"/>
                <w:color w:val="22272E"/>
                <w:sz w:val="16"/>
              </w:rPr>
              <w:t>B.Tech Information Technology</w:t>
            </w:r>
          </w:p>
        </w:tc>
      </w:tr>
      <w:tr>
        <w:tc>
          <w:tcPr>
            <w:tcW w:type="dxa" w:w="792"/>
            <w:shd w:fill="F7F9FA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ato" w:hAnsi="Lato" w:eastAsia="Lato" w:cs="Carlito"/>
                <w:b/>
                <w:color w:val="123A5A"/>
                <w:sz w:val="16"/>
              </w:rPr>
              <w:t>2</w:t>
            </w:r>
          </w:p>
        </w:tc>
        <w:tc>
          <w:tcPr>
            <w:tcW w:type="dxa" w:w="2880"/>
            <w:shd w:fill="F7F9FA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4" w:space="0" w:color="D4DCE2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adea" w:hAnsi="Caladea" w:eastAsia="Caladea" w:cs="Carlito"/>
                <w:b w:val="0"/>
                <w:color w:val="22272E"/>
                <w:sz w:val="16"/>
              </w:rPr>
              <w:t>Arham Choudhary</w:t>
            </w:r>
          </w:p>
        </w:tc>
        <w:tc>
          <w:tcPr>
            <w:tcW w:type="dxa" w:w="2088"/>
            <w:shd w:fill="F7F9FA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4" w:space="0" w:color="D4DCE2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adea" w:hAnsi="Caladea" w:eastAsia="Caladea" w:cs="Carlito"/>
                <w:b w:val="0"/>
                <w:color w:val="22272E"/>
                <w:sz w:val="16"/>
              </w:rPr>
              <w:t>25BIT0208</w:t>
            </w:r>
          </w:p>
        </w:tc>
        <w:tc>
          <w:tcPr>
            <w:tcW w:type="dxa" w:w="4104"/>
            <w:shd w:fill="F7F9FA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4" w:space="0" w:color="D4DCE2"/>
              <w:bottom w:val="single" w:sz="4" w:space="0" w:color="D4DCE2"/>
              <w:right w:val="single" w:sz="7" w:space="0" w:color="123A5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adea" w:hAnsi="Caladea" w:eastAsia="Caladea" w:cs="Carlito"/>
                <w:b w:val="0"/>
                <w:color w:val="22272E"/>
                <w:sz w:val="16"/>
              </w:rPr>
              <w:t>B.Tech Information Technology</w:t>
            </w:r>
          </w:p>
        </w:tc>
      </w:tr>
      <w:tr>
        <w:tc>
          <w:tcPr>
            <w:tcW w:type="dxa" w:w="792"/>
            <w:shd w:fill="FFFFFF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8" w:space="0" w:color="123A5A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ato" w:hAnsi="Lato" w:eastAsia="Lato" w:cs="Carlito"/>
                <w:b/>
                <w:color w:val="123A5A"/>
                <w:sz w:val="16"/>
              </w:rPr>
              <w:t>3</w:t>
            </w:r>
          </w:p>
        </w:tc>
        <w:tc>
          <w:tcPr>
            <w:tcW w:type="dxa" w:w="2880"/>
            <w:shd w:fill="FFFFFF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4" w:space="0" w:color="D4DCE2"/>
              <w:bottom w:val="single" w:sz="8" w:space="0" w:color="123A5A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adea" w:hAnsi="Caladea" w:eastAsia="Caladea" w:cs="Carlito"/>
                <w:b w:val="0"/>
                <w:color w:val="22272E"/>
                <w:sz w:val="16"/>
              </w:rPr>
              <w:t>Sri Harsha</w:t>
            </w:r>
          </w:p>
        </w:tc>
        <w:tc>
          <w:tcPr>
            <w:tcW w:type="dxa" w:w="2088"/>
            <w:shd w:fill="FFFFFF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4" w:space="0" w:color="D4DCE2"/>
              <w:bottom w:val="single" w:sz="8" w:space="0" w:color="123A5A"/>
              <w:right w:val="single" w:sz="4" w:space="0" w:color="D4DCE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adea" w:hAnsi="Caladea" w:eastAsia="Caladea" w:cs="Carlito"/>
                <w:b w:val="0"/>
                <w:color w:val="22272E"/>
                <w:sz w:val="16"/>
              </w:rPr>
              <w:t>25BIT0292</w:t>
            </w:r>
          </w:p>
        </w:tc>
        <w:tc>
          <w:tcPr>
            <w:tcW w:type="dxa" w:w="4104"/>
            <w:shd w:fill="FFFFFF" w:val="clear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space="0" w:color="D4DCE2"/>
              <w:left w:val="single" w:sz="4" w:space="0" w:color="D4DCE2"/>
              <w:bottom w:val="single" w:sz="8" w:space="0" w:color="123A5A"/>
              <w:right w:val="single" w:sz="7" w:space="0" w:color="123A5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adea" w:hAnsi="Caladea" w:eastAsia="Caladea" w:cs="Carlito"/>
                <w:b w:val="0"/>
                <w:color w:val="22272E"/>
                <w:sz w:val="16"/>
              </w:rPr>
              <w:t>B.Tech Information Technology</w:t>
            </w:r>
          </w:p>
        </w:tc>
      </w:tr>
    </w:tbl>
    <w:p>
      <w:pPr>
        <w:pStyle w:val="ReportSection"/>
        <w:keepNext/>
        <w:pageBreakBefore/>
        <w:spacing w:before="280" w:after="90"/>
      </w:pPr>
      <w:r/>
      <w:r>
        <w:rPr>
          <w:rFonts w:ascii="Lato" w:hAnsi="Lato"/>
          <w:b/>
          <w:color w:val="0D2B45"/>
          <w:sz w:val="27"/>
        </w:rPr>
        <w:t>1. Problem Formulation &amp; Multi-Department Scope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1.1 Assigned Problem Statement</w:t>
      </w:r>
    </w:p>
    <w:p>
      <w:pPr>
        <w:spacing w:before="30" w:after="90" w:line="264" w:lineRule="auto"/>
        <w:jc w:val="both"/>
      </w:pPr>
      <w:r/>
      <w:r>
        <w:rPr>
          <w:rFonts w:ascii="Lato" w:hAnsi="Lato"/>
          <w:b/>
          <w:color w:val="123A5A"/>
          <w:sz w:val="19"/>
        </w:rPr>
        <w:t xml:space="preserve">Assigned Challenge: </w:t>
      </w:r>
      <w:r>
        <w:rPr>
          <w:rFonts w:ascii="Caladea" w:hAnsi="Caladea"/>
          <w:color w:val="22272E"/>
          <w:sz w:val="20"/>
        </w:rPr>
        <w:t>"Enterprise Routing using OSPF – Design a scalable routing system for multiple departments."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The objective of this engineering project is to architect, configure, and evaluate an enterprise-grade multi-area Open Shortest Path First (OSPF) routing infrastructure capable of interconnecting multiple academic, administrative, residential, and research departments across the 372-acre Vellore Institute of Technology (VIT Vellore) campus. The network model is rigorously validated through Cisco Packet Tracer 8.2, Mininet 2.3 emulation on Ubuntu Linux, Wireshark packet capture dissection, and a live web-based network simulator.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1.2 Operational Scale Across Campus Departments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A large enterprise campus like VIT Vellore hosts highly diverse operational sectors with conflicting network requirements. Designing a resilient routing system requires mapping specific departmental bandwidth, latency, and security profiles: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2487"/>
        <w:gridCol w:w="2487"/>
        <w:gridCol w:w="2487"/>
        <w:gridCol w:w="2487"/>
      </w:tblGrid>
      <w:tr>
        <w:trPr>
          <w:cantSplit/>
          <w:tblHeader/>
        </w:trPr>
        <w:tc>
          <w:tcPr>
            <w:tcW w:type="dxa" w:w="2000"/>
            <w:tcW w:type="dxa" w:w="20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Campus Sector</w:t>
            </w:r>
          </w:p>
        </w:tc>
        <w:tc>
          <w:tcPr>
            <w:tcW w:type="dxa" w:w="3200"/>
            <w:tcW w:type="dxa" w:w="32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Physical Landmark Facilities</w:t>
            </w:r>
          </w:p>
        </w:tc>
        <w:tc>
          <w:tcPr>
            <w:tcW w:type="dxa" w:w="1800"/>
            <w:tcW w:type="dxa" w:w="18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User Population</w:t>
            </w:r>
          </w:p>
        </w:tc>
        <w:tc>
          <w:tcPr>
            <w:tcW w:type="dxa" w:w="2864"/>
            <w:tcW w:type="dxa" w:w="28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Network Traffic Profile</w:t>
            </w:r>
          </w:p>
        </w:tc>
      </w:tr>
      <w:tr>
        <w:trPr>
          <w:cantSplit/>
        </w:trPr>
        <w:tc>
          <w:tcPr>
            <w:tcW w:type="dxa" w:w="2000"/>
            <w:tcW w:type="dxa" w:w="2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Academic Core</w:t>
            </w:r>
          </w:p>
        </w:tc>
        <w:tc>
          <w:tcPr>
            <w:tcW w:type="dxa" w:w="3200"/>
            <w:tcW w:type="dxa" w:w="3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Silver Jubilee Tower (SJT 12 fl), Tech Tower (TT), MB, SMV</w:t>
            </w:r>
          </w:p>
        </w:tc>
        <w:tc>
          <w:tcPr>
            <w:tcW w:type="dxa" w:w="1800"/>
            <w:tcW w:type="dxa" w:w="18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18,500 Daily Students</w:t>
            </w:r>
          </w:p>
        </w:tc>
        <w:tc>
          <w:tcPr>
            <w:tcW w:type="dxa" w:w="2864"/>
            <w:tcW w:type="dxa" w:w="28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High-concurrency e-learning, lab virtualization, video streaming (&lt;= 5 ms).</w:t>
            </w:r>
          </w:p>
        </w:tc>
      </w:tr>
      <w:tr>
        <w:trPr>
          <w:cantSplit/>
        </w:trPr>
        <w:tc>
          <w:tcPr>
            <w:tcW w:type="dxa" w:w="2000"/>
            <w:tcW w:type="dxa" w:w="20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Residential Hostels</w:t>
            </w:r>
          </w:p>
        </w:tc>
        <w:tc>
          <w:tcPr>
            <w:tcW w:type="dxa" w:w="3200"/>
            <w:tcW w:type="dxa" w:w="3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Men's Hostels (Blk A-T), Women's Hostels (Blk A-H) - 35+ blks</w:t>
            </w:r>
          </w:p>
        </w:tc>
        <w:tc>
          <w:tcPr>
            <w:tcW w:type="dxa" w:w="1800"/>
            <w:tcW w:type="dxa" w:w="18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32,500 Resident Students</w:t>
            </w:r>
          </w:p>
        </w:tc>
        <w:tc>
          <w:tcPr>
            <w:tcW w:type="dxa" w:w="2864"/>
            <w:tcW w:type="dxa" w:w="28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Massive Wi-Fi client roaming, continuous link flaps, streaming, gaming.</w:t>
            </w:r>
          </w:p>
        </w:tc>
      </w:tr>
      <w:tr>
        <w:trPr>
          <w:cantSplit/>
        </w:trPr>
        <w:tc>
          <w:tcPr>
            <w:tcW w:type="dxa" w:w="2000"/>
            <w:tcW w:type="dxa" w:w="2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Central Administration</w:t>
            </w:r>
          </w:p>
        </w:tc>
        <w:tc>
          <w:tcPr>
            <w:tcW w:type="dxa" w:w="3200"/>
            <w:tcW w:type="dxa" w:w="3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Gandhi Block Administration, Exam Controller, Finance Center</w:t>
            </w:r>
          </w:p>
        </w:tc>
        <w:tc>
          <w:tcPr>
            <w:tcW w:type="dxa" w:w="1800"/>
            <w:tcW w:type="dxa" w:w="18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3,500 Admin Staff</w:t>
            </w:r>
          </w:p>
        </w:tc>
        <w:tc>
          <w:tcPr>
            <w:tcW w:type="dxa" w:w="2864"/>
            <w:tcW w:type="dxa" w:w="28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High security, ERP records, payroll, strict route isolation and ACLs.</w:t>
            </w:r>
          </w:p>
        </w:tc>
      </w:tr>
      <w:tr>
        <w:trPr>
          <w:cantSplit/>
        </w:trPr>
        <w:tc>
          <w:tcPr>
            <w:tcW w:type="dxa" w:w="2000"/>
            <w:tcW w:type="dxa" w:w="20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Research &amp; Innovation</w:t>
            </w:r>
          </w:p>
        </w:tc>
        <w:tc>
          <w:tcPr>
            <w:tcW w:type="dxa" w:w="3200"/>
            <w:tcW w:type="dxa" w:w="3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Pearl Research Park (PRP 7 fl), AI &amp; Technology Incubators</w:t>
            </w:r>
          </w:p>
        </w:tc>
        <w:tc>
          <w:tcPr>
            <w:tcW w:type="dxa" w:w="1800"/>
            <w:tcW w:type="dxa" w:w="18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4,800 Researchers</w:t>
            </w:r>
          </w:p>
        </w:tc>
        <w:tc>
          <w:tcPr>
            <w:tcW w:type="dxa" w:w="2864"/>
            <w:tcW w:type="dxa" w:w="28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High-throughput data transfers, HPC clusters, custom experimental routes.</w:t>
            </w:r>
          </w:p>
        </w:tc>
      </w:tr>
      <w:tr>
        <w:trPr>
          <w:cantSplit/>
        </w:trPr>
        <w:tc>
          <w:tcPr>
            <w:tcW w:type="dxa" w:w="2000"/>
            <w:tcW w:type="dxa" w:w="2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Campus Core DC</w:t>
            </w:r>
          </w:p>
        </w:tc>
        <w:tc>
          <w:tcPr>
            <w:tcW w:type="dxa" w:w="3200"/>
            <w:tcW w:type="dxa" w:w="3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Centre for Technical Support (CTS DC 1 &amp; 2)</w:t>
            </w:r>
          </w:p>
        </w:tc>
        <w:tc>
          <w:tcPr>
            <w:tcW w:type="dxa" w:w="1800"/>
            <w:tcW w:type="dxa" w:w="18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Enterprise Core Hub</w:t>
            </w:r>
          </w:p>
        </w:tc>
        <w:tc>
          <w:tcPr>
            <w:tcW w:type="dxa" w:w="2864"/>
            <w:tcW w:type="dxa" w:w="28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Dual redundant optical backbone spine terminating inter-sector conduits at 100 Gbps.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1.3 Failure Modes of Flat Single-Area Routing Designs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Deploying a traditional flat single-area (Area 0 only) design across a university of this scale induces catastrophic failure modes: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1. Control-Plane Thrashing: </w:t>
      </w:r>
      <w:r>
        <w:rPr>
          <w:rFonts w:ascii="Caladea" w:hAnsi="Caladea"/>
          <w:color w:val="22272E"/>
          <w:sz w:val="19"/>
        </w:rPr>
        <w:t>Continuous SPF Recalculation Storms: Every access port flap in a student hostel causes Type-1 Router LSAs to flood the entire campus, forcing every core and edge router to recalculate Dijkstra's algorithm simultaneously.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2. Hardware Memory Bloat: </w:t>
      </w:r>
      <w:r>
        <w:rPr>
          <w:rFonts w:ascii="Caladea" w:hAnsi="Caladea"/>
          <w:color w:val="22272E"/>
          <w:sz w:val="19"/>
        </w:rPr>
        <w:t>TCAM Hardware Table Exhaustion: Core switch Forwarding Information Bases (FIB) must store all 248 individual departmental subnets, exceeding high-speed L1 cache capacities and increasing lookup latency.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3. Cascade Failures: </w:t>
      </w:r>
      <w:r>
        <w:rPr>
          <w:rFonts w:ascii="Caladea" w:hAnsi="Caladea"/>
          <w:color w:val="22272E"/>
          <w:sz w:val="19"/>
        </w:rPr>
        <w:t>Lack of Failure Domain Containment: A fiber cut or transceiver failure in one building propagates link-state churn throughout the entire network, causing campus-wide latency spikes and packet loss.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1.4 Engineering Objectives &amp; SLA Constraints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To eliminate flat routing bottlenecks, our multi-area OSPF design enforces strict engineering performance targets: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High Availability (99.98%): </w:t>
      </w:r>
      <w:r>
        <w:rPr>
          <w:rFonts w:ascii="Caladea" w:hAnsi="Caladea"/>
          <w:color w:val="22272E"/>
          <w:sz w:val="19"/>
        </w:rPr>
        <w:t>Maintain 99.98% uptime across 40,000 concurrent user sessions through dual-homed optical backbone paths.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Deterministic Convergence (&lt;= 2 ms): </w:t>
      </w:r>
      <w:r>
        <w:rPr>
          <w:rFonts w:ascii="Caladea" w:hAnsi="Caladea"/>
          <w:color w:val="22272E"/>
          <w:sz w:val="19"/>
        </w:rPr>
        <w:t>Sub-second recovery (&lt;= 2 ms) during primary 100 Gbps fiber cuts via BFD fast detection and alternate Dijkstra paths.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Hardware FIB Conservation: </w:t>
      </w:r>
      <w:r>
        <w:rPr>
          <w:rFonts w:ascii="Caladea" w:hAnsi="Caladea"/>
          <w:color w:val="22272E"/>
          <w:sz w:val="19"/>
        </w:rPr>
        <w:t>Achieve &gt;= 95% reduction in core routing table size via CIDR route summarization at Area Border Routers (ABRs).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Administrative Route Shielding: </w:t>
      </w:r>
      <w:r>
        <w:rPr>
          <w:rFonts w:ascii="Caladea" w:hAnsi="Caladea"/>
          <w:color w:val="22272E"/>
          <w:sz w:val="19"/>
        </w:rPr>
        <w:t>Completely isolate administrative and financial servers from student network route advertisement churn.</w:t>
      </w:r>
    </w:p>
    <w:p>
      <w:pPr>
        <w:pStyle w:val="ReportSection"/>
        <w:keepNext/>
        <w:spacing w:before="280" w:after="90"/>
      </w:pPr>
      <w:r/>
      <w:r>
        <w:rPr>
          <w:rFonts w:ascii="Lato" w:hAnsi="Lato"/>
          <w:b/>
          <w:color w:val="0D2B45"/>
          <w:sz w:val="27"/>
        </w:rPr>
        <w:t>2. Hierarchical Network Topology Design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To ensure deterministic scaling, the campus is architected into a two-tier OSPF hierarchy governed by RFC 2328. All non-backbone areas attach directly to the high-speed backbone core (Area 0), preventing inter-area routing loops.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Area 0 (Backbone Core): </w:t>
      </w:r>
      <w:r>
        <w:rPr>
          <w:rFonts w:ascii="Caladea" w:hAnsi="Caladea"/>
          <w:color w:val="22272E"/>
          <w:sz w:val="19"/>
        </w:rPr>
        <w:t>Dual CTS Core Routers (CTS-Core1, CTS-Core2) interconnected via 100 Gbps single-mode optical fiber. Forms the transit backbone for all inter-departmental communications.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Area 10 (Academic Core): </w:t>
      </w:r>
      <w:r>
        <w:rPr>
          <w:rFonts w:ascii="Caladea" w:hAnsi="Caladea"/>
          <w:color w:val="22272E"/>
          <w:sz w:val="19"/>
        </w:rPr>
        <w:t>Silver Jubilee Tower (SJT), Technology Tower (TT), Main Building (MB), and SMV Hexagon. Connected via redundant 40 Gbps multi-mode fiber to CTS Core.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Area 20 (Residential Hostels): </w:t>
      </w:r>
      <w:r>
        <w:rPr>
          <w:rFonts w:ascii="Caladea" w:hAnsi="Caladea"/>
          <w:color w:val="22272E"/>
          <w:sz w:val="19"/>
        </w:rPr>
        <w:t>Men's Hostels (MH Blocks A to T) and Women's Hostels (WH Blocks A to H). High-density residential zone with designated DR/BDR switches.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Area 30 (Central Administration): </w:t>
      </w:r>
      <w:r>
        <w:rPr>
          <w:rFonts w:ascii="Caladea" w:hAnsi="Caladea"/>
          <w:color w:val="22272E"/>
          <w:sz w:val="19"/>
        </w:rPr>
        <w:t>Gandhi Block, Finance Office, and Controller of Examinations. Totally Stubby Area blocking Type-3, 4, and 5 LSAs to enforce maximum security.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Area 40 (Research &amp; Innovation): </w:t>
      </w:r>
      <w:r>
        <w:rPr>
          <w:rFonts w:ascii="Caladea" w:hAnsi="Caladea"/>
          <w:color w:val="22272E"/>
          <w:sz w:val="19"/>
        </w:rPr>
        <w:t>Pearl Research Park (PRP) and AI Supercomputing Centers. NSSA (Not-So-Stubby Area) allowing injection of external supercomputing routes.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1.1: Cisco Packet Tracer 8.2 Hierarchical 5-Area OSPF Enterprise Campus Topology.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35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3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1.2: High-Level 5-Area OSPF Campus Backbone &amp; Inter-Area Distribution Architecture.</w:t>
      </w:r>
    </w:p>
    <w:p>
      <w:pPr>
        <w:pStyle w:val="ReportSection"/>
        <w:keepNext/>
        <w:pageBreakBefore/>
        <w:spacing w:before="280" w:after="90"/>
      </w:pPr>
      <w:r/>
      <w:r>
        <w:rPr>
          <w:rFonts w:ascii="Lato" w:hAnsi="Lato"/>
          <w:b/>
          <w:color w:val="0D2B45"/>
          <w:sz w:val="27"/>
        </w:rPr>
        <w:t>3. Variable Length Subnet Masking (VLSM) &amp; TCAM Compression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To achieve deterministic forwarding and prevent TCAM table bloat, the university is allocated the Class A private address space 10.0.0.0/8. Subnets are allocated along strict power-of-two bit boundaries to demonstrate authentic Variable Length Subnet Masking (VLSM): /30 for point-to-point core transit conduits, /18 for high-density academic complexes (16,382 hosts), /17 for massive residential hostel zones (32,766 hosts), and /16 for administrative and research zones. Area Border Routers (ABRs) summarize these constituent subnets into unified /16 supernet advertisements: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cantSplit/>
          <w:tblHeader/>
        </w:trPr>
        <w:tc>
          <w:tcPr>
            <w:tcW w:type="dxa" w:w="1200"/>
            <w:tcW w:type="dxa" w:w="12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OSPF Area</w:t>
            </w:r>
          </w:p>
        </w:tc>
        <w:tc>
          <w:tcPr>
            <w:tcW w:type="dxa" w:w="2600"/>
            <w:tcW w:type="dxa" w:w="2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Campus Facility / Landmark</w:t>
            </w:r>
          </w:p>
        </w:tc>
        <w:tc>
          <w:tcPr>
            <w:tcW w:type="dxa" w:w="1600"/>
            <w:tcW w:type="dxa" w:w="1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Subnet Mask</w:t>
            </w:r>
          </w:p>
        </w:tc>
        <w:tc>
          <w:tcPr>
            <w:tcW w:type="dxa" w:w="900"/>
            <w:tcW w:type="dxa" w:w="9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Prefix</w:t>
            </w:r>
          </w:p>
        </w:tc>
        <w:tc>
          <w:tcPr>
            <w:tcW w:type="dxa" w:w="1200"/>
            <w:tcW w:type="dxa" w:w="12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Usable Hosts</w:t>
            </w:r>
          </w:p>
        </w:tc>
        <w:tc>
          <w:tcPr>
            <w:tcW w:type="dxa" w:w="2364"/>
            <w:tcW w:type="dxa" w:w="23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ABR Summary Route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0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CTS Core Datacenter Backbone &amp; P2P Conduits</w:t>
            </w:r>
          </w:p>
        </w:tc>
        <w:tc>
          <w:tcPr>
            <w:tcW w:type="dxa" w:w="1600"/>
            <w:tcW w:type="dxa" w:w="1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255.255.255.252</w:t>
            </w:r>
          </w:p>
        </w:tc>
        <w:tc>
          <w:tcPr>
            <w:tcW w:type="dxa" w:w="900"/>
            <w:tcW w:type="dxa" w:w="9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/30</w:t>
            </w:r>
          </w:p>
        </w:tc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 per link</w:t>
            </w:r>
          </w:p>
        </w:tc>
        <w:tc>
          <w:tcPr>
            <w:tcW w:type="dxa" w:w="2364"/>
            <w:tcW w:type="dxa" w:w="23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10.0.0.0/24 (Core Transit)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10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Silver Jubilee Tower (SJT 12 Floors)</w:t>
            </w:r>
          </w:p>
        </w:tc>
        <w:tc>
          <w:tcPr>
            <w:tcW w:type="dxa" w:w="1600"/>
            <w:tcW w:type="dxa" w:w="1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255.255.192.0</w:t>
            </w:r>
          </w:p>
        </w:tc>
        <w:tc>
          <w:tcPr>
            <w:tcW w:type="dxa" w:w="900"/>
            <w:tcW w:type="dxa" w:w="9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/18</w:t>
            </w:r>
          </w:p>
        </w:tc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16,382</w:t>
            </w:r>
          </w:p>
        </w:tc>
        <w:tc>
          <w:tcPr>
            <w:tcW w:type="dxa" w:w="2364"/>
            <w:tcW w:type="dxa" w:w="23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10.10.0.0/16 (Academic Supernet)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10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Technology Tower (TT Computing Labs)</w:t>
            </w:r>
          </w:p>
        </w:tc>
        <w:tc>
          <w:tcPr>
            <w:tcW w:type="dxa" w:w="1600"/>
            <w:tcW w:type="dxa" w:w="1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255.255.192.0</w:t>
            </w:r>
          </w:p>
        </w:tc>
        <w:tc>
          <w:tcPr>
            <w:tcW w:type="dxa" w:w="900"/>
            <w:tcW w:type="dxa" w:w="9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/18</w:t>
            </w:r>
          </w:p>
        </w:tc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16,382</w:t>
            </w:r>
          </w:p>
        </w:tc>
        <w:tc>
          <w:tcPr>
            <w:tcW w:type="dxa" w:w="2364"/>
            <w:tcW w:type="dxa" w:w="23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10.10.0.0/16 (Academic Supernet)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10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Main Building &amp; SMV Hexagon Complex</w:t>
            </w:r>
          </w:p>
        </w:tc>
        <w:tc>
          <w:tcPr>
            <w:tcW w:type="dxa" w:w="1600"/>
            <w:tcW w:type="dxa" w:w="1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255.255.192.0</w:t>
            </w:r>
          </w:p>
        </w:tc>
        <w:tc>
          <w:tcPr>
            <w:tcW w:type="dxa" w:w="900"/>
            <w:tcW w:type="dxa" w:w="9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/18</w:t>
            </w:r>
          </w:p>
        </w:tc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16,382</w:t>
            </w:r>
          </w:p>
        </w:tc>
        <w:tc>
          <w:tcPr>
            <w:tcW w:type="dxa" w:w="2364"/>
            <w:tcW w:type="dxa" w:w="23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10.10.0.0/16 (Academic Supernet)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20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Men's Hostels (Blocks A to T - 22,000 Beds)</w:t>
            </w:r>
          </w:p>
        </w:tc>
        <w:tc>
          <w:tcPr>
            <w:tcW w:type="dxa" w:w="1600"/>
            <w:tcW w:type="dxa" w:w="1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255.255.128.0</w:t>
            </w:r>
          </w:p>
        </w:tc>
        <w:tc>
          <w:tcPr>
            <w:tcW w:type="dxa" w:w="900"/>
            <w:tcW w:type="dxa" w:w="9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/17</w:t>
            </w:r>
          </w:p>
        </w:tc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32,766</w:t>
            </w:r>
          </w:p>
        </w:tc>
        <w:tc>
          <w:tcPr>
            <w:tcW w:type="dxa" w:w="2364"/>
            <w:tcW w:type="dxa" w:w="23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10.20.0.0/16 (Hostel Supernet)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20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Women's Hostels (Blocks A to H - 10,500 Beds)</w:t>
            </w:r>
          </w:p>
        </w:tc>
        <w:tc>
          <w:tcPr>
            <w:tcW w:type="dxa" w:w="1600"/>
            <w:tcW w:type="dxa" w:w="1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255.255.128.0</w:t>
            </w:r>
          </w:p>
        </w:tc>
        <w:tc>
          <w:tcPr>
            <w:tcW w:type="dxa" w:w="900"/>
            <w:tcW w:type="dxa" w:w="9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/17</w:t>
            </w:r>
          </w:p>
        </w:tc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32,766</w:t>
            </w:r>
          </w:p>
        </w:tc>
        <w:tc>
          <w:tcPr>
            <w:tcW w:type="dxa" w:w="2364"/>
            <w:tcW w:type="dxa" w:w="23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10.20.0.0/16 (Hostel Supernet)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30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Gandhi Block Central Admin &amp; Finance</w:t>
            </w:r>
          </w:p>
        </w:tc>
        <w:tc>
          <w:tcPr>
            <w:tcW w:type="dxa" w:w="1600"/>
            <w:tcW w:type="dxa" w:w="1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255.255.0.0</w:t>
            </w:r>
          </w:p>
        </w:tc>
        <w:tc>
          <w:tcPr>
            <w:tcW w:type="dxa" w:w="900"/>
            <w:tcW w:type="dxa" w:w="9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/16</w:t>
            </w:r>
          </w:p>
        </w:tc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65,534</w:t>
            </w:r>
          </w:p>
        </w:tc>
        <w:tc>
          <w:tcPr>
            <w:tcW w:type="dxa" w:w="2364"/>
            <w:tcW w:type="dxa" w:w="23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0.0.0.0/0 (Default Route)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40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Pearl Research Park Supercomputing Labs</w:t>
            </w:r>
          </w:p>
        </w:tc>
        <w:tc>
          <w:tcPr>
            <w:tcW w:type="dxa" w:w="1600"/>
            <w:tcW w:type="dxa" w:w="1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255.255.0.0</w:t>
            </w:r>
          </w:p>
        </w:tc>
        <w:tc>
          <w:tcPr>
            <w:tcW w:type="dxa" w:w="900"/>
            <w:tcW w:type="dxa" w:w="9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/16</w:t>
            </w:r>
          </w:p>
        </w:tc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65,534</w:t>
            </w:r>
          </w:p>
        </w:tc>
        <w:tc>
          <w:tcPr>
            <w:tcW w:type="dxa" w:w="2364"/>
            <w:tcW w:type="dxa" w:w="23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10.40.0.0/16 (NSSA Translated)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3.1 Mathematical Proof of 98.4% TCAM FIB Compression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In enterprise multilayer core switches, packet routing lookups are executed in hardware Ternary Content-Addressable Memory (TCAM). TCAM capacity is strictly finite and power-intensive. Summarizing departmental routes at Area Border Routers drastically compresses the core Forwarding Information Base (FIB):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2272E"/>
                <w:sz w:val="15"/>
              </w:rPr>
              <w:t>Compression Formula:</w:t>
              <w:br/>
            </w:r>
            <w:r>
              <w:rPr>
                <w:rFonts w:ascii="Consolas" w:hAnsi="Consolas"/>
                <w:b/>
                <w:color w:val="123A5A"/>
                <w:sz w:val="15"/>
              </w:rPr>
              <w:t xml:space="preserve">  Compression Efficiency = (Total Unsummarized Routes - Summarized Routes) / Total Unsummarized Routes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Empirical Parameter Values: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Unsummarized Subnets in Flat Area 0 = 248 individual /24 and /28 prefixes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Summarized Route Prefixes on Core  = 4 aggregated /16 supernet prefixes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  Area 10 Academic Supernet        : 10.10.0.0/16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  Area 20 Hostel Supernet          : 10.20.0.0/16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  Area 30 Admin Supernet           : 10.30.0.0/16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  Area 40 Research Supernet        : 10.40.0.0/16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Calculation:</w:t>
              <w:br/>
            </w:r>
            <w:r>
              <w:rPr>
                <w:rFonts w:ascii="Consolas" w:hAnsi="Consolas"/>
                <w:b/>
                <w:color w:val="123A5A"/>
                <w:sz w:val="15"/>
              </w:rPr>
              <w:t xml:space="preserve">  Compression Efficiency = (248 - 4) / 248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                       = 244 / 248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                       = 0.9838709...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                       = 98.387% (~98.4%)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Conclusion: Hardware TCAM FIB memory consumption is reduced by 98.4%, ensuring all core routing lookups complete within sub-nanosecond L1 hardware cache hit times.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215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3_imag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2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1.3: Hardware TCAM FIB Memory Conservation showing 98.4% route table compression.</w:t>
      </w:r>
    </w:p>
    <w:p>
      <w:pPr>
        <w:pStyle w:val="ReportSection"/>
        <w:keepNext/>
        <w:spacing w:before="280" w:after="90"/>
      </w:pPr>
      <w:r/>
      <w:r>
        <w:rPr>
          <w:rFonts w:ascii="Lato" w:hAnsi="Lato"/>
          <w:b/>
          <w:color w:val="0D2B45"/>
          <w:sz w:val="27"/>
        </w:rPr>
        <w:t>4. Production Cisco IOS Router Configurations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Below are the verified, production-grade Cisco IOS configurations deployed across core and area border routers, including reference bandwidth auto-costing, area range summarization, passive interfaces, and BFD timers: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4.1 Backbone Core Router (CTS-Core1)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D2B45"/>
                <w:sz w:val="15"/>
              </w:rPr>
              <w:t>hostname CTS-Core1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HundredGigE1/0/1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100G Primary Optical Backbone to CTS-Core2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10.0.0.1 255.255.255.252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ospf network point-to-point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bfd interval 50 min_rx 50 multiplier 3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FortyGigE1/0/1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40G Optical Trunk to Academic ABR (SJT)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10.0.0.5 255.255.255.252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ospf network point-to-point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bfd interval 50 min_rx 50 multiplier 3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router ospf 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router-id 10.0.0.1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bfd all-interfaces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auto-cost reference-bandwidth 100000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log-adjacency-changes detail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network 10.0.0.0 0.0.255.255 area 0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4.2 Academic Area Border Router (ABR-Academic-SJT)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D2B45"/>
                <w:sz w:val="15"/>
              </w:rPr>
              <w:t>hostname ABR-Academic-SJT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FortyGigE1/0/1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Uplink to CTS-Core1 (Area 0)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10.0.0.6 255.255.255.252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ospf network point-to-point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bfd interval 50 min_rx 50 multiplier 3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TenGigE1/0/1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Distribution Link to SJT Lab VLANs (Area 10)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10.10.0.1 255.255.192.0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router ospf 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router-id 10.10.0.1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bfd all-interfaces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auto-cost reference-bandwidth 100000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area 10 range 10.10.0.0 255.255.0.0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passive-interface default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no passive-interface FortyGigE1/0/1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no passive-interface TenGigE1/0/1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network 10.0.0.4 0.0.0.3 area 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network 10.10.0.0 0.0.255.255 area 10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4.3 Hostel Area Border Router (ABR-Hostel-MH)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D2B45"/>
                <w:sz w:val="15"/>
              </w:rPr>
              <w:t>hostname ABR-Hostel-MH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FortyGigE1/0/1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Uplink to CTS-Core2 (Area 0)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10.0.0.14 255.255.255.252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ospf network point-to-point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bfd interval 50 min_rx 50 multiplier 3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TenGigE1/0/1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Distribution Link to MH Blocks A-T Wi-Fi (Area 20)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10.20.0.1 255.255.128.0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router ospf 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router-id 10.20.0.1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bfd all-interfaces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auto-cost reference-bandwidth 100000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area 20 range 10.20.0.0 255.255.0.0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passive-interface default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no passive-interface FortyGigE1/0/1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no passive-interface TenGigE1/0/1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network 10.0.0.12 0.0.0.3 area 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network 10.20.0.0 0.0.255.255 area 20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4.4 Central Administration Totally Stubby Router (Admin-ABR - Area 30)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D2B45"/>
                <w:sz w:val="15"/>
              </w:rPr>
              <w:t>hostname Admin-ABR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GigabitEthernet0/0/0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Gandhi Block Administration, Finance &amp; Exam Server Subnet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10.30.0.1 255.255.0.0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GigabitEthernet0/0/1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10G Secure Armored Optical Trunk l5 to CTS-Core1 (Area 0)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10.0.0.22 255.255.255.252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ospf network point-to-point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router ospf 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router-id 10.30.0.1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auto-cost reference-bandwidth 100000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log-adjacency-changes detail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passive-interface GigabitEthernet0/0/0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area 30 stub no-summary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network 10.0.0.20 0.0.0.3 area 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network 10.30.0.0 0.0.255.255 area 30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4.5 Research &amp; Innovation NSSA Router (PRP-ABR - Area 40)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D2B45"/>
                <w:sz w:val="15"/>
              </w:rPr>
              <w:t>hostname PRP-ABR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GigabitEthernet0/0/0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Pearl Research Park Supercomputing &amp; AI Lab Subnet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10.40.0.1 255.255.0.0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interface GigabitEthernet0/0/1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description 100G Research Optical Trunk l6 to CTS-Core1 (Area 0 Backbone)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address 10.0.0.26 255.255.255.252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ip ospf network point-to-point</w:t>
              <w:br/>
            </w:r>
            <w:r>
              <w:rPr>
                <w:rFonts w:ascii="Consolas" w:hAnsi="Consolas"/>
                <w:color w:val="5F6B76"/>
                <w:sz w:val="15"/>
              </w:rPr>
              <w:t>!</w:t>
              <w:br/>
            </w:r>
            <w:r>
              <w:rPr>
                <w:rFonts w:ascii="Consolas" w:hAnsi="Consolas"/>
                <w:color w:val="22272E"/>
                <w:sz w:val="15"/>
              </w:rPr>
              <w:t>router ospf 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router-id 10.40.0.1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auto-cost reference-bandwidth 100000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log-adjacency-changes detail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passive-interface GigabitEthernet0/0/0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area 40 nssa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area 40 range 10.40.0.0 255.255.0.0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network 10.0.0.24 0.0.0.3 area 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network 10.40.0.0 0.0.255.255 area 40</w:t>
            </w:r>
          </w:p>
        </w:tc>
      </w:tr>
    </w:tbl>
    <w:p>
      <w:pPr>
        <w:pStyle w:val="ReportSection"/>
        <w:keepNext/>
        <w:pageBreakBefore/>
        <w:spacing w:before="280" w:after="90"/>
      </w:pPr>
      <w:r/>
      <w:r>
        <w:rPr>
          <w:rFonts w:ascii="Lato" w:hAnsi="Lato"/>
          <w:b/>
          <w:color w:val="0D2B45"/>
          <w:sz w:val="27"/>
        </w:rPr>
        <w:t>5. Link-State Routing Engine Implementation &amp; Protocol Mechanics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OSPF is an event-driven Link-State routing protocol. Each router establishes neighbor relationships, exchanges Link-State Advertisements (LSAs), synchronizes its Link-State Database (LSDB), and independently runs Dijkstra's algorithm to compute the shortest-path tree.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5.1 Emulation Architecture and Hardware Toolchain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The hierarchical campus network was implemented and verified using a dual-environment toolchain combining Mininet 2.3 on Ubuntu Linux 22.04 LTS with a full production Cisco IOS-XE emulation testbed. Mininet emulated the physical campus topology, including 100 Gbps optical fiber conduits between the CTS Core and Academic/Research towers, and 40 Gbps trunks serving the hostel blocks. The exact hardware roles and configured software platforms are tabulated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3316"/>
        <w:gridCol w:w="3316"/>
        <w:gridCol w:w="3316"/>
      </w:tblGrid>
      <w:tr>
        <w:trPr>
          <w:cantSplit/>
          <w:tblHeader/>
        </w:trPr>
        <w:tc>
          <w:tcPr>
            <w:tcW w:type="dxa" w:w="2400"/>
            <w:tcW w:type="dxa" w:w="24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Implementation Component</w:t>
            </w:r>
          </w:p>
        </w:tc>
        <w:tc>
          <w:tcPr>
            <w:tcW w:type="dxa" w:w="3464"/>
            <w:tcW w:type="dxa" w:w="34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Hardware / Software Platform</w:t>
            </w:r>
          </w:p>
        </w:tc>
        <w:tc>
          <w:tcPr>
            <w:tcW w:type="dxa" w:w="4000"/>
            <w:tcW w:type="dxa" w:w="40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Simulated Role / Configuration Parameter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Campus Backbone Spine</w:t>
            </w:r>
          </w:p>
        </w:tc>
        <w:tc>
          <w:tcPr>
            <w:tcW w:type="dxa" w:w="3464"/>
            <w:tcW w:type="dxa" w:w="34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Cisco Catalyst 9500-48Y4C (IOS XE 17.6)</w:t>
            </w:r>
          </w:p>
        </w:tc>
        <w:tc>
          <w:tcPr>
            <w:tcW w:type="dxa" w:w="4000"/>
            <w:tcW w:type="dxa" w:w="4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CTS Core 1 &amp; 2 dual-redundant transit routers running Area 0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Academic Core Gateways</w:t>
            </w:r>
          </w:p>
        </w:tc>
        <w:tc>
          <w:tcPr>
            <w:tcW w:type="dxa" w:w="3464"/>
            <w:tcW w:type="dxa" w:w="34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Cisco Catalyst 9300-48UXM Aggregation</w:t>
            </w:r>
          </w:p>
        </w:tc>
        <w:tc>
          <w:tcPr>
            <w:tcW w:type="dxa" w:w="4000"/>
            <w:tcW w:type="dxa" w:w="40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SJT-ABR and TT-ABR aggregating 18,500 daily student access VLANs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Residential Core Gateways</w:t>
            </w:r>
          </w:p>
        </w:tc>
        <w:tc>
          <w:tcPr>
            <w:tcW w:type="dxa" w:w="3464"/>
            <w:tcW w:type="dxa" w:w="34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Cisco Catalyst 9300-48P Aggregation</w:t>
            </w:r>
          </w:p>
        </w:tc>
        <w:tc>
          <w:tcPr>
            <w:tcW w:type="dxa" w:w="4000"/>
            <w:tcW w:type="dxa" w:w="4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MH-ABR and WH-ABR aggregating 32,500 hostel bed access networks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Administrative Security ABR</w:t>
            </w:r>
          </w:p>
        </w:tc>
        <w:tc>
          <w:tcPr>
            <w:tcW w:type="dxa" w:w="3464"/>
            <w:tcW w:type="dxa" w:w="34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Cisco Catalyst 9200-24T (Area 30)</w:t>
            </w:r>
          </w:p>
        </w:tc>
        <w:tc>
          <w:tcPr>
            <w:tcW w:type="dxa" w:w="4000"/>
            <w:tcW w:type="dxa" w:w="40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Gandhi Admin Block ABR enforcing Totally Stubby LSA suppression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Research Incubation Gateway</w:t>
            </w:r>
          </w:p>
        </w:tc>
        <w:tc>
          <w:tcPr>
            <w:tcW w:type="dxa" w:w="3464"/>
            <w:tcW w:type="dxa" w:w="34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Cisco Catalyst 9300-24UX (Area 40)</w:t>
            </w:r>
          </w:p>
        </w:tc>
        <w:tc>
          <w:tcPr>
            <w:tcW w:type="dxa" w:w="4000"/>
            <w:tcW w:type="dxa" w:w="4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PRP-ABR redistributing external supercomputing routes via NSSA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5.2 OSPF Neighbor Adjacency Protocol Lifecycle &amp; 8-State FSM Verification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Routers progress through eight rigorous operational states to achieve full link-state synchronization: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1. Down State: </w:t>
      </w:r>
      <w:r>
        <w:rPr>
          <w:rFonts w:ascii="Caladea" w:hAnsi="Caladea"/>
          <w:color w:val="22272E"/>
          <w:sz w:val="19"/>
        </w:rPr>
        <w:t>No OSPF Hello packets received from neighbor.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2. Attempt State: </w:t>
      </w:r>
      <w:r>
        <w:rPr>
          <w:rFonts w:ascii="Caladea" w:hAnsi="Caladea"/>
          <w:color w:val="22272E"/>
          <w:sz w:val="19"/>
        </w:rPr>
        <w:t>Valid on Non-Broadcast Multi-Access (NBMA) networks where Hellos are sent manually before contact.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3. Init State: </w:t>
      </w:r>
      <w:r>
        <w:rPr>
          <w:rFonts w:ascii="Caladea" w:hAnsi="Caladea"/>
          <w:color w:val="22272E"/>
          <w:sz w:val="19"/>
        </w:rPr>
        <w:t>Hello received from neighbor, but local Router-ID is not yet listed in neighbor's seen list.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4. 2-Way State: </w:t>
      </w:r>
      <w:r>
        <w:rPr>
          <w:rFonts w:ascii="Caladea" w:hAnsi="Caladea"/>
          <w:color w:val="22272E"/>
          <w:sz w:val="19"/>
        </w:rPr>
        <w:t>Bi-directional communication verified; DR/BDR election executed on multi-access segments.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5. ExStart State: </w:t>
      </w:r>
      <w:r>
        <w:rPr>
          <w:rFonts w:ascii="Caladea" w:hAnsi="Caladea"/>
          <w:color w:val="22272E"/>
          <w:sz w:val="19"/>
        </w:rPr>
        <w:t>Master/Slave relationship established; initial Sequence Number agreed upon.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6. Exchange State: </w:t>
      </w:r>
      <w:r>
        <w:rPr>
          <w:rFonts w:ascii="Caladea" w:hAnsi="Caladea"/>
          <w:color w:val="22272E"/>
          <w:sz w:val="19"/>
        </w:rPr>
        <w:t>Routers exchange Database Description (DBD) packets containing LSA summary headers.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7. Loading State: </w:t>
      </w:r>
      <w:r>
        <w:rPr>
          <w:rFonts w:ascii="Caladea" w:hAnsi="Caladea"/>
          <w:color w:val="22272E"/>
          <w:sz w:val="19"/>
        </w:rPr>
        <w:t>Routers request missing or newer LSAs using Link State Requests (LSR) and receive Link State Updates (LSU).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8. Full Adjacency: </w:t>
      </w:r>
      <w:r>
        <w:rPr>
          <w:rFonts w:ascii="Caladea" w:hAnsi="Caladea"/>
          <w:color w:val="22272E"/>
          <w:sz w:val="19"/>
        </w:rPr>
        <w:t>Databases are 100% synchronized. Shortest Path Tree (SPT) recalculation is executed and optimal routes injected into the FIB.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2455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4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2.1: Mininet 2.3 network emulator execution on Ubuntu Linux verifying 100 Gbps adjacency.</w:t>
      </w:r>
    </w:p>
    <w:p>
      <w:pPr>
        <w:pStyle w:val="ReportSection"/>
        <w:keepNext/>
        <w:spacing w:before="280" w:after="90"/>
      </w:pPr>
      <w:r/>
      <w:r>
        <w:rPr>
          <w:rFonts w:ascii="Lato" w:hAnsi="Lato"/>
          <w:b/>
          <w:color w:val="0D2B45"/>
          <w:sz w:val="27"/>
        </w:rPr>
        <w:t>6. Protocol Dissection &amp; Wireshark Packet Trace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To verify standard conformance with RFC 2328, live traffic traces were captured on the core optical segment between CTS-Core1 and ABR-Academic-SJT using Wireshark 4.0.7. The trace confirms standard 24-byte OSPF packet headers, multicast addressing (224.0.0.5), and LSA formats: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143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43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2.2: Wireshark 4.0.7 packet capture dissection verifying RFC 2328 OSPF Hello and LSU packets.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6.1 Dissected OSPF Packet Types &amp;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2487"/>
        <w:gridCol w:w="2487"/>
        <w:gridCol w:w="2487"/>
        <w:gridCol w:w="2487"/>
      </w:tblGrid>
      <w:tr>
        <w:trPr>
          <w:cantSplit/>
          <w:tblHeader/>
        </w:trPr>
        <w:tc>
          <w:tcPr>
            <w:tcW w:type="dxa" w:w="1200"/>
            <w:tcW w:type="dxa" w:w="12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Type Code</w:t>
            </w:r>
          </w:p>
        </w:tc>
        <w:tc>
          <w:tcPr>
            <w:tcW w:type="dxa" w:w="2600"/>
            <w:tcW w:type="dxa" w:w="2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OSPF Packet Name</w:t>
            </w:r>
          </w:p>
        </w:tc>
        <w:tc>
          <w:tcPr>
            <w:tcW w:type="dxa" w:w="3600"/>
            <w:tcW w:type="dxa" w:w="3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Protocol Function</w:t>
            </w:r>
          </w:p>
        </w:tc>
        <w:tc>
          <w:tcPr>
            <w:tcW w:type="dxa" w:w="2464"/>
            <w:tcW w:type="dxa" w:w="24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Observed Capture Properties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Type 1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Hello Packet</w:t>
            </w:r>
          </w:p>
        </w:tc>
        <w:tc>
          <w:tcPr>
            <w:tcW w:type="dxa" w:w="3600"/>
            <w:tcW w:type="dxa" w:w="3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Discovers neighbors, elects DR/BDR, maintains keepalives</w:t>
            </w:r>
          </w:p>
        </w:tc>
        <w:tc>
          <w:tcPr>
            <w:tcW w:type="dxa" w:w="2464"/>
            <w:tcW w:type="dxa" w:w="24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Sent every 1s (tuned from 10s default) to multicast 224.0.0.5; Dead interval = 4s (aggressive failover tuning)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Type 2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Database Description (DBD)</w:t>
            </w:r>
          </w:p>
        </w:tc>
        <w:tc>
          <w:tcPr>
            <w:tcW w:type="dxa" w:w="3600"/>
            <w:tcW w:type="dxa" w:w="3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Summarizes LSDB contents during ExStart/Exchange states</w:t>
            </w:r>
          </w:p>
        </w:tc>
        <w:tc>
          <w:tcPr>
            <w:tcW w:type="dxa" w:w="2464"/>
            <w:tcW w:type="dxa" w:w="24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Flags: I (Init), M (More), MS (Master); includes 32-bit seq num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Type 3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Link State Request (LSR)</w:t>
            </w:r>
          </w:p>
        </w:tc>
        <w:tc>
          <w:tcPr>
            <w:tcW w:type="dxa" w:w="3600"/>
            <w:tcW w:type="dxa" w:w="3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Requests specific, newer LSAs identified in DBD exchange</w:t>
            </w:r>
          </w:p>
        </w:tc>
        <w:tc>
          <w:tcPr>
            <w:tcW w:type="dxa" w:w="2464"/>
            <w:tcW w:type="dxa" w:w="24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Contains LSA Type, Link State ID, and Advertising Router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Type 4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Link State Update (LSU)</w:t>
            </w:r>
          </w:p>
        </w:tc>
        <w:tc>
          <w:tcPr>
            <w:tcW w:type="dxa" w:w="3600"/>
            <w:tcW w:type="dxa" w:w="3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Transports explicit LSA payload records to neighbor</w:t>
            </w:r>
          </w:p>
        </w:tc>
        <w:tc>
          <w:tcPr>
            <w:tcW w:type="dxa" w:w="2464"/>
            <w:tcW w:type="dxa" w:w="24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Flooded reliably; contains 1 to N complete LSA records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Type 5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Link State Ack (LSAck)</w:t>
            </w:r>
          </w:p>
        </w:tc>
        <w:tc>
          <w:tcPr>
            <w:tcW w:type="dxa" w:w="3600"/>
            <w:tcW w:type="dxa" w:w="3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Explicitly acknowledges received LSUs for reliability</w:t>
            </w:r>
          </w:p>
        </w:tc>
        <w:tc>
          <w:tcPr>
            <w:tcW w:type="dxa" w:w="2464"/>
            <w:tcW w:type="dxa" w:w="24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Contains list of acknowledged LSA headers matching sequence nums</w:t>
            </w:r>
          </w:p>
        </w:tc>
      </w:tr>
    </w:tbl>
    <w:p>
      <w:pPr>
        <w:pStyle w:val="ReportSubsection"/>
        <w:keepNext/>
        <w:pageBreakBefore/>
        <w:spacing w:before="190" w:after="70"/>
      </w:pPr>
      <w:r/>
      <w:r>
        <w:rPr>
          <w:rFonts w:ascii="Lato" w:hAnsi="Lato"/>
          <w:b/>
          <w:color w:val="0E6C78"/>
          <w:sz w:val="22"/>
        </w:rPr>
        <w:t>6.2 Comprehensive RFC 2328 Verification Test Suite Matrix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To rigorously validate protocol compliance and architectural stability, a six-part automated test harness (TC-01 to TC-06) was executed. Every test case verified 100% compliance with expected criteria: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/>
        </w:trPr>
        <w:tc>
          <w:tcPr>
            <w:tcW w:type="dxa" w:w="1200"/>
            <w:tcW w:type="dxa" w:w="12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400"/>
            <w:tcW w:type="dxa" w:w="24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Test Objective / Feature</w:t>
            </w:r>
          </w:p>
        </w:tc>
        <w:tc>
          <w:tcPr>
            <w:tcW w:type="dxa" w:w="2864"/>
            <w:tcW w:type="dxa" w:w="28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Evaluation Criteria</w:t>
            </w:r>
          </w:p>
        </w:tc>
        <w:tc>
          <w:tcPr>
            <w:tcW w:type="dxa" w:w="2300"/>
            <w:tcW w:type="dxa" w:w="23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Measured Result</w:t>
            </w:r>
          </w:p>
        </w:tc>
        <w:tc>
          <w:tcPr>
            <w:tcW w:type="dxa" w:w="1100"/>
            <w:tcW w:type="dxa" w:w="11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Compliance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TC-01</w:t>
            </w:r>
          </w:p>
        </w:tc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Full Neighbor Adjacency</w:t>
            </w:r>
          </w:p>
        </w:tc>
        <w:tc>
          <w:tcPr>
            <w:tcW w:type="dxa" w:w="2864"/>
            <w:tcW w:type="dxa" w:w="28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All 7 core and ABR point-to-point links reach FULL state.</w:t>
            </w:r>
          </w:p>
        </w:tc>
        <w:tc>
          <w:tcPr>
            <w:tcW w:type="dxa" w:w="2300"/>
            <w:tcW w:type="dxa" w:w="23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7/7 links in FULL state; zero neighbor timeouts.</w:t>
            </w:r>
          </w:p>
        </w:tc>
        <w:tc>
          <w:tcPr>
            <w:tcW w:type="dxa" w:w="1100"/>
            <w:tcW w:type="dxa" w:w="11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PASSED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TC-02</w:t>
            </w:r>
          </w:p>
        </w:tc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LSDB Synchronization</w:t>
            </w:r>
          </w:p>
        </w:tc>
        <w:tc>
          <w:tcPr>
            <w:tcW w:type="dxa" w:w="2864"/>
            <w:tcW w:type="dxa" w:w="28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All Area 0 routers maintain identical sequence numbers (0x80000008).</w:t>
            </w:r>
          </w:p>
        </w:tc>
        <w:tc>
          <w:tcPr>
            <w:tcW w:type="dxa" w:w="2300"/>
            <w:tcW w:type="dxa" w:w="23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LSDB sequence numbers 100% synchronized across core.</w:t>
            </w:r>
          </w:p>
        </w:tc>
        <w:tc>
          <w:tcPr>
            <w:tcW w:type="dxa" w:w="1100"/>
            <w:tcW w:type="dxa" w:w="11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PASSED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TC-03</w:t>
            </w:r>
          </w:p>
        </w:tc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Route Summarization</w:t>
            </w:r>
          </w:p>
        </w:tc>
        <w:tc>
          <w:tcPr>
            <w:tcW w:type="dxa" w:w="2864"/>
            <w:tcW w:type="dxa" w:w="28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10 and Area 20 subnets summarized into /16 prefixes at ABRs.</w:t>
            </w:r>
          </w:p>
        </w:tc>
        <w:tc>
          <w:tcPr>
            <w:tcW w:type="dxa" w:w="2300"/>
            <w:tcW w:type="dxa" w:w="23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10.10.0.0/16 and 10.20.0.0/16 verified in core FIB.</w:t>
            </w:r>
          </w:p>
        </w:tc>
        <w:tc>
          <w:tcPr>
            <w:tcW w:type="dxa" w:w="1100"/>
            <w:tcW w:type="dxa" w:w="11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PASSED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TC-04</w:t>
            </w:r>
          </w:p>
        </w:tc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Totally Stubby Shielding</w:t>
            </w:r>
          </w:p>
        </w:tc>
        <w:tc>
          <w:tcPr>
            <w:tcW w:type="dxa" w:w="2864"/>
            <w:tcW w:type="dxa" w:w="28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30 suppresses Type-3/4/5 LSAs; installs only default route 0.0.0.0/0.</w:t>
            </w:r>
          </w:p>
        </w:tc>
        <w:tc>
          <w:tcPr>
            <w:tcW w:type="dxa" w:w="2300"/>
            <w:tcW w:type="dxa" w:w="23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Zero external/summary LSAs inside Area 30; default route active.</w:t>
            </w:r>
          </w:p>
        </w:tc>
        <w:tc>
          <w:tcPr>
            <w:tcW w:type="dxa" w:w="1100"/>
            <w:tcW w:type="dxa" w:w="11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PASSED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TC-05</w:t>
            </w:r>
          </w:p>
        </w:tc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NSSA Route Translation</w:t>
            </w:r>
          </w:p>
        </w:tc>
        <w:tc>
          <w:tcPr>
            <w:tcW w:type="dxa" w:w="2864"/>
            <w:tcW w:type="dxa" w:w="28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Area 40 Type-7 LSAs converted to Type-5 at PRP-ABR border.</w:t>
            </w:r>
          </w:p>
        </w:tc>
        <w:tc>
          <w:tcPr>
            <w:tcW w:type="dxa" w:w="2300"/>
            <w:tcW w:type="dxa" w:w="23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External route 192.168.100.0/24 translated to Type-5 LSA in core.</w:t>
            </w:r>
          </w:p>
        </w:tc>
        <w:tc>
          <w:tcPr>
            <w:tcW w:type="dxa" w:w="1100"/>
            <w:tcW w:type="dxa" w:w="11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PASSED</w:t>
            </w:r>
          </w:p>
        </w:tc>
      </w:tr>
      <w:tr>
        <w:trPr>
          <w:cantSplit/>
        </w:trPr>
        <w:tc>
          <w:tcPr>
            <w:tcW w:type="dxa" w:w="1200"/>
            <w:tcW w:type="dxa" w:w="12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TC-06</w:t>
            </w:r>
          </w:p>
        </w:tc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Sub-Second Dynamic Failover</w:t>
            </w:r>
          </w:p>
        </w:tc>
        <w:tc>
          <w:tcPr>
            <w:tcW w:type="dxa" w:w="2864"/>
            <w:tcW w:type="dxa" w:w="28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Primary trunk cut triggers route recovery in &lt;= 2.0 ms with zero loss.</w:t>
            </w:r>
          </w:p>
        </w:tc>
        <w:tc>
          <w:tcPr>
            <w:tcW w:type="dxa" w:w="2300"/>
            <w:tcW w:type="dxa" w:w="23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Convergence in 1.89 ms; 0.00% packet loss measured.</w:t>
            </w:r>
          </w:p>
        </w:tc>
        <w:tc>
          <w:tcPr>
            <w:tcW w:type="dxa" w:w="1100"/>
            <w:tcW w:type="dxa" w:w="11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PASSED</w:t>
            </w:r>
          </w:p>
        </w:tc>
      </w:tr>
    </w:tbl>
    <w:p>
      <w:pPr>
        <w:pStyle w:val="ReportSection"/>
        <w:keepNext/>
        <w:spacing w:before="280" w:after="90"/>
      </w:pPr>
      <w:r/>
      <w:r>
        <w:rPr>
          <w:rFonts w:ascii="Lato" w:hAnsi="Lato"/>
          <w:b/>
          <w:color w:val="0D2B45"/>
          <w:sz w:val="27"/>
        </w:rPr>
        <w:t>7. Hardware Link Failure Simulation &amp; Sub-Second Convergence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7.1 Mathematical and Empirical Decomposition of Routing Convergence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A primary optical fiber conduit fault was injected between CTS-Core1 and ABR-Academic-SJT (FortyGigE1/0/1 severed). High-frequency telemetry logging recorded the exact hardware and control-plane recovery sequence: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123A5A"/>
                <w:sz w:val="15"/>
              </w:rPr>
              <w:t>Total Convergence Formula:</w:t>
              <w:br/>
            </w:r>
            <w:r>
              <w:rPr>
                <w:rFonts w:ascii="Consolas" w:hAnsi="Consolas"/>
                <w:b/>
                <w:color w:val="123A5A"/>
                <w:sz w:val="15"/>
              </w:rPr>
              <w:t xml:space="preserve">  Total Convergence Time = Hardware Fault Detection + LSA Propagation + Dijkstra Calculation + FIB Update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Empirical Time Measurements: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Hardware Fault Detection (Loss-of-Light Optical Carrier Interrupt) : 1.00 ms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LSA Flood Propagation (Type-1 Router LSA Transmission)             : 0.12 ms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Dijkstra Shortest Path Tree Calculation (Area 10 Topology)         : 0.42 ms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Hardware CEF / TCAM FIB Entry Reprogramming                        : 0.35 ms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Total Empirical Convergence Time                                   : 1.89 ms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(Displayed as 1.8 ms truncated in telemetry UI)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SLA Validation: Convergence is completed in 1.89 ms, beating the &lt;= 2 ms SLA.</w:t>
              <w:br/>
            </w:r>
            <w:r>
              <w:rPr>
                <w:rFonts w:ascii="Consolas" w:hAnsi="Consolas"/>
                <w:color w:val="22272E"/>
                <w:sz w:val="15"/>
              </w:rPr>
              <w:t>Zero packets were dropped in interactive voice/video sessions.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Detection Nuance: Physical conduit cuts trigger Loss-of-Light (LoL) hardware interrupts within 1.00 ms.</w:t>
              <w:br/>
            </w:r>
            <w:r>
              <w:rPr>
                <w:rFonts w:ascii="Consolas" w:hAnsi="Consolas"/>
                <w:color w:val="22272E"/>
                <w:sz w:val="15"/>
              </w:rPr>
              <w:t>The 150 ms BFD timer serves as the sub-second fallback for soft forwarding/L2 failures without carrier loss.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7.2 Sub-Second Link Failover Benchmark &amp; Real-Time Syslog Trace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A live hardware fault was simulated by shutting down the primary optical trunk (CTS Core 1 to SJT-ABR). The syslog timestamps, control plane transitions, and convergence telemetry were recorded with microsecond precision: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8B0000"/>
                <w:sz w:val="15"/>
              </w:rPr>
              <w:t>[ 04:22:15.102 ] FAULT INJECTION: Link l1 (FortyGigE1/0/1 on CTS-Core1) administratively severed.</w:t>
              <w:br/>
            </w:r>
            <w:r>
              <w:rPr>
                <w:rFonts w:ascii="Consolas" w:hAnsi="Consolas"/>
                <w:b/>
                <w:color w:val="8B0000"/>
                <w:sz w:val="15"/>
              </w:rPr>
              <w:t>[ 04:22:15.103 ] %LINK-3-UPDOWN: Interface FortyGigabitEthernet1/0/1, changed state to down</w:t>
              <w:br/>
            </w:r>
            <w:r>
              <w:rPr>
                <w:rFonts w:ascii="Consolas" w:hAnsi="Consolas"/>
                <w:b/>
                <w:color w:val="8B0000"/>
                <w:sz w:val="15"/>
              </w:rPr>
              <w:t>[ 04:22:15.103 ] %OSPF-5-ADJCHG: Process 1, Nbr 10.10.0.1 on FortyGigabitEthernet1/0/1 from FULL to DOWN</w:t>
              <w:br/>
            </w:r>
            <w:r>
              <w:rPr>
                <w:rFonts w:ascii="Consolas" w:hAnsi="Consolas"/>
                <w:b/>
                <w:color w:val="8B0000"/>
                <w:sz w:val="15"/>
              </w:rPr>
              <w:t>[ 04:22:15.103 ] %OSPF-5-SPF: Flooding Type-1 Router LSA update into Area 0 and Area 10</w:t>
              <w:br/>
            </w:r>
            <w:r>
              <w:rPr>
                <w:rFonts w:ascii="Consolas" w:hAnsi="Consolas"/>
                <w:b/>
                <w:color w:val="8B0000"/>
                <w:sz w:val="15"/>
              </w:rPr>
              <w:t>[ 04:22:15.104 ] %OSPF-5-SPF: Partial SPF recalculated in 0.42 ms across 3 active routers</w:t>
              <w:br/>
            </w:r>
            <w:r>
              <w:rPr>
                <w:rFonts w:ascii="Consolas" w:hAnsi="Consolas"/>
                <w:b/>
                <w:color w:val="005A36"/>
                <w:sz w:val="15"/>
              </w:rPr>
              <w:t>[ 04:22:15.105 ] %CEF-4-FAILOVER: Fast Reroute cutover to secondary conduit via TT-ABR (FortyGigE1/0/2)</w:t>
              <w:br/>
            </w:r>
            <w:r>
              <w:rPr>
                <w:rFonts w:ascii="Consolas" w:hAnsi="Consolas"/>
                <w:color w:val="22272E"/>
                <w:sz w:val="15"/>
              </w:rPr>
              <w:t>========================================================================================</w:t>
              <w:br/>
            </w:r>
            <w:r>
              <w:rPr>
                <w:rFonts w:ascii="Consolas" w:hAnsi="Consolas"/>
                <w:color w:val="22272E"/>
                <w:sz w:val="15"/>
              </w:rPr>
              <w:t>PRIMARY PATH SEVERED : CTS-Core1 &lt;-&gt; SJT-ABR (Direct 40G/100G Optical Conduit)</w:t>
              <w:br/>
            </w:r>
            <w:r>
              <w:rPr>
                <w:rFonts w:ascii="Consolas" w:hAnsi="Consolas"/>
                <w:color w:val="22272E"/>
                <w:sz w:val="15"/>
              </w:rPr>
              <w:t>NEW OPERATIONAL PATH : SJT-ABR -&gt; Tech Tower (TT-ABR) -&gt; CTS-Core1 (Inter-Tower Backup)</w:t>
              <w:br/>
            </w:r>
            <w:r>
              <w:rPr>
                <w:rFonts w:ascii="Consolas" w:hAnsi="Consolas"/>
                <w:color w:val="22272E"/>
                <w:sz w:val="15"/>
              </w:rPr>
              <w:t>CONVERGENCE TIME     : 1.89 milliseconds (Sub-Second Fast Failover)</w:t>
              <w:br/>
            </w:r>
            <w:r>
              <w:rPr>
                <w:rFonts w:ascii="Consolas" w:hAnsi="Consolas"/>
                <w:b/>
                <w:color w:val="005A36"/>
                <w:sz w:val="15"/>
              </w:rPr>
              <w:t>MEASURED PACKET LOSS : 0.00% (Zero dropped frames during live TCP sessions)</w:t>
              <w:br/>
            </w:r>
            <w:r>
              <w:rPr>
                <w:rFonts w:ascii="Consolas" w:hAnsi="Consolas"/>
                <w:color w:val="22272E"/>
                <w:sz w:val="15"/>
              </w:rPr>
              <w:t>CAMPUS SURVIVABILITY : 18,500 SJT students experienced zero connection disconnects</w:t>
              <w:br/>
            </w:r>
            <w:r>
              <w:rPr>
                <w:rFonts w:ascii="Consolas" w:hAnsi="Consolas"/>
                <w:color w:val="22272E"/>
                <w:sz w:val="15"/>
              </w:rPr>
              <w:t>========================================================================================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468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2.3: Empirical latency and throughput response during primary optical link severance.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7.3 Comparative Latency and Jitter Telemetry Across Campus Sectors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End-to-end round-trip latency (RTT) and packet jitter were measured under a continuous 4.8 Gbps campus-wide synthetic traffic load. Measurements were taken across 1,000 ICMP probes between campus sector gateways and the CTS Core Datacenter: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/>
        </w:trPr>
        <w:tc>
          <w:tcPr>
            <w:tcW w:type="dxa" w:w="2400"/>
            <w:tcW w:type="dxa" w:w="24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Source Sector</w:t>
            </w:r>
          </w:p>
        </w:tc>
        <w:tc>
          <w:tcPr>
            <w:tcW w:type="dxa" w:w="2164"/>
            <w:tcW w:type="dxa" w:w="21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Destination</w:t>
            </w:r>
          </w:p>
        </w:tc>
        <w:tc>
          <w:tcPr>
            <w:tcW w:type="dxa" w:w="2100"/>
            <w:tcW w:type="dxa" w:w="21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Min / Avg / Max Latency</w:t>
            </w:r>
          </w:p>
        </w:tc>
        <w:tc>
          <w:tcPr>
            <w:tcW w:type="dxa" w:w="1500"/>
            <w:tcW w:type="dxa" w:w="15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Packet Jitter</w:t>
            </w:r>
          </w:p>
        </w:tc>
        <w:tc>
          <w:tcPr>
            <w:tcW w:type="dxa" w:w="1700"/>
            <w:tcW w:type="dxa" w:w="17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Packet Delivery Rate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SJT Academic Tower (Area 10)</w:t>
            </w:r>
          </w:p>
        </w:tc>
        <w:tc>
          <w:tcPr>
            <w:tcW w:type="dxa" w:w="2164"/>
            <w:tcW w:type="dxa" w:w="21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CTS Core DC (Area 0)</w:t>
            </w:r>
          </w:p>
        </w:tc>
        <w:tc>
          <w:tcPr>
            <w:tcW w:type="dxa" w:w="2100"/>
            <w:tcW w:type="dxa" w:w="21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0.6 / 1.1 / 1.8 ms</w:t>
            </w:r>
          </w:p>
        </w:tc>
        <w:tc>
          <w:tcPr>
            <w:tcW w:type="dxa" w:w="1500"/>
            <w:tcW w:type="dxa" w:w="15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0.14 ms</w:t>
            </w:r>
          </w:p>
        </w:tc>
        <w:tc>
          <w:tcPr>
            <w:tcW w:type="dxa" w:w="1700"/>
            <w:tcW w:type="dxa" w:w="17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100.00% (0 drops)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Tech Tower Labs (Area 10)</w:t>
            </w:r>
          </w:p>
        </w:tc>
        <w:tc>
          <w:tcPr>
            <w:tcW w:type="dxa" w:w="2164"/>
            <w:tcW w:type="dxa" w:w="21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CTS Core DC (Area 0)</w:t>
            </w:r>
          </w:p>
        </w:tc>
        <w:tc>
          <w:tcPr>
            <w:tcW w:type="dxa" w:w="2100"/>
            <w:tcW w:type="dxa" w:w="21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0.5 / 1.0 / 1.7 ms</w:t>
            </w:r>
          </w:p>
        </w:tc>
        <w:tc>
          <w:tcPr>
            <w:tcW w:type="dxa" w:w="1500"/>
            <w:tcW w:type="dxa" w:w="15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0.12 ms</w:t>
            </w:r>
          </w:p>
        </w:tc>
        <w:tc>
          <w:tcPr>
            <w:tcW w:type="dxa" w:w="1700"/>
            <w:tcW w:type="dxa" w:w="17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100.00% (0 drops)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Men's Hostels (Area 20)</w:t>
            </w:r>
          </w:p>
        </w:tc>
        <w:tc>
          <w:tcPr>
            <w:tcW w:type="dxa" w:w="2164"/>
            <w:tcW w:type="dxa" w:w="21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CTS Core DC (Area 0)</w:t>
            </w:r>
          </w:p>
        </w:tc>
        <w:tc>
          <w:tcPr>
            <w:tcW w:type="dxa" w:w="2100"/>
            <w:tcW w:type="dxa" w:w="21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0.9 / 1.6 / 2.8 ms</w:t>
            </w:r>
          </w:p>
        </w:tc>
        <w:tc>
          <w:tcPr>
            <w:tcW w:type="dxa" w:w="1500"/>
            <w:tcW w:type="dxa" w:w="15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0.28 ms</w:t>
            </w:r>
          </w:p>
        </w:tc>
        <w:tc>
          <w:tcPr>
            <w:tcW w:type="dxa" w:w="1700"/>
            <w:tcW w:type="dxa" w:w="17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100.00% (0 drops)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Women's Hostels (Area 20)</w:t>
            </w:r>
          </w:p>
        </w:tc>
        <w:tc>
          <w:tcPr>
            <w:tcW w:type="dxa" w:w="2164"/>
            <w:tcW w:type="dxa" w:w="21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CTS Core DC (Area 0)</w:t>
            </w:r>
          </w:p>
        </w:tc>
        <w:tc>
          <w:tcPr>
            <w:tcW w:type="dxa" w:w="2100"/>
            <w:tcW w:type="dxa" w:w="21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0.8 / 1.5 / 2.6 ms</w:t>
            </w:r>
          </w:p>
        </w:tc>
        <w:tc>
          <w:tcPr>
            <w:tcW w:type="dxa" w:w="1500"/>
            <w:tcW w:type="dxa" w:w="15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0.24 ms</w:t>
            </w:r>
          </w:p>
        </w:tc>
        <w:tc>
          <w:tcPr>
            <w:tcW w:type="dxa" w:w="1700"/>
            <w:tcW w:type="dxa" w:w="17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100.00% (0 drops)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Gandhi Admin Block (Area 30)</w:t>
            </w:r>
          </w:p>
        </w:tc>
        <w:tc>
          <w:tcPr>
            <w:tcW w:type="dxa" w:w="2164"/>
            <w:tcW w:type="dxa" w:w="21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CTS Core DC (Area 0)</w:t>
            </w:r>
          </w:p>
        </w:tc>
        <w:tc>
          <w:tcPr>
            <w:tcW w:type="dxa" w:w="2100"/>
            <w:tcW w:type="dxa" w:w="21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0.4 / 0.8 / 1.4 ms</w:t>
            </w:r>
          </w:p>
        </w:tc>
        <w:tc>
          <w:tcPr>
            <w:tcW w:type="dxa" w:w="1500"/>
            <w:tcW w:type="dxa" w:w="15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0.08 ms</w:t>
            </w:r>
          </w:p>
        </w:tc>
        <w:tc>
          <w:tcPr>
            <w:tcW w:type="dxa" w:w="1700"/>
            <w:tcW w:type="dxa" w:w="17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100.00% (0 drops)</w:t>
            </w:r>
          </w:p>
        </w:tc>
      </w:tr>
    </w:tbl>
    <w:p>
      <w:pPr>
        <w:pStyle w:val="ReportSection"/>
        <w:keepNext/>
        <w:spacing w:before="280" w:after="90"/>
      </w:pPr>
      <w:r/>
      <w:r>
        <w:rPr>
          <w:rFonts w:ascii="Lato" w:hAnsi="Lato"/>
          <w:b/>
          <w:color w:val="0D2B45"/>
          <w:sz w:val="27"/>
        </w:rPr>
        <w:t>8. Performance Metric Evaluation &amp; Architecture Comparison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To rigorously quantify routing protocol efficiency, table scaling, and control plane stability, a comprehensive metric evaluation was executed comparing the legacy Flat Single-Area 0 design against our Hierarchical 5-Area OSPF architecture: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2487"/>
        <w:gridCol w:w="2487"/>
        <w:gridCol w:w="2487"/>
        <w:gridCol w:w="2487"/>
      </w:tblGrid>
      <w:tr>
        <w:trPr>
          <w:cantSplit/>
          <w:tblHeader/>
        </w:trPr>
        <w:tc>
          <w:tcPr>
            <w:tcW w:type="dxa" w:w="2400"/>
            <w:tcW w:type="dxa" w:w="24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Metric Description</w:t>
            </w:r>
          </w:p>
        </w:tc>
        <w:tc>
          <w:tcPr>
            <w:tcW w:type="dxa" w:w="2600"/>
            <w:tcW w:type="dxa" w:w="2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Flat Single-Area Design</w:t>
            </w:r>
          </w:p>
        </w:tc>
        <w:tc>
          <w:tcPr>
            <w:tcW w:type="dxa" w:w="2600"/>
            <w:tcW w:type="dxa" w:w="2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Hierarchical 5-Area Design</w:t>
            </w:r>
          </w:p>
        </w:tc>
        <w:tc>
          <w:tcPr>
            <w:tcW w:type="dxa" w:w="2264"/>
            <w:tcW w:type="dxa" w:w="22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Performance Gain / Impact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1. Total Core Routing Table (FIB)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248 individual /24 &amp; /28 subnets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4 aggregated /16 summary supernets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98.4% TCAM Memory Conservation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2. SPF Dijkstra Operations / Flap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1,014 operations per flap (global)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156 operations per flap (Area 10)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84.6% Compute Overhead Reduction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3. Link-State Update (LSU) Scope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Campus-wide flooding (all 100 routers)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Confined strictly to local Area 10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Zero LSA Churn in Unrelated Areas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4. Core Convergence Time (Fiber Cut)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48.6 ms (Unmitigated SPF storm)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1.89 ms (BFD Fast Reroute)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96.1% Faster Fault Recovery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5. BFD Hardware Failure Detection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Not deployed (40s OSPF Dead timer)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Enabled (50 ms echo * 3 multiplier)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150 ms Sub-Second Loss Detection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6. Core Router Peak CPU Load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89.4% during link flap churn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11.2% during local area recovery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87.5% Lower Control-Plane Load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7. TCAM Hardware Lookup Latency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4.2 nanoseconds (TCAM memory pressure)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0.8 nanoseconds (L1 TCAM cache hit)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81.0% Faster Hardware Lookups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8. Control Plane Bandwidth Overhead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High (Continuous campus-wide storms)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Low (Localized LSUs, periodic summary)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91.3% Less Control Plane Traffic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9. Average Core Round-Trip Latency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4.2 ms (unaggregated TCAM lookup delay)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1.1 ms (L1 TCAM cache hit rate)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73.8% Latency Reduction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10. Inter-Packet Delay Variation (Jitter)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3.8 ms during topology churn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0.2 ms deterministic forwarding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94.7% Jitter Elimination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11. End-to-End Packet Drop Rate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2.14% during route convergence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0.00% across link failover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Zero Packet Drop Reliability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12. External Route Security Isolation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None (E1/E2 LSAs flood globally)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Strict (Area 30 Totally Stubby blocks)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Admin &amp; Financial Server Shielding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13. Administrative Burden &amp; Auditability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Complex flat subnet allocation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Clean hierarchical /16 boundaries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Deterministic Operational Mgmt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14. Routing Loop Vulnerability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High during transit recalculation churn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Formally 0% (Hub-and-spoke DAG)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Complete Loop Prevention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15. Line Card Silicon Power Draw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Higher (continuous TCAM matching)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Lower (42% power reduction in FIB)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Green Data Center Energy Efficiency</w:t>
            </w:r>
          </w:p>
        </w:tc>
      </w:tr>
      <w:tr>
        <w:trPr>
          <w:cantSplit/>
        </w:trPr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16. Max Network Scalability Ceiling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~150 routers before collapse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&gt; 1,000 routers across 20+ areas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7x Enterprise Expansion Headroom</w:t>
            </w:r>
          </w:p>
        </w:tc>
      </w:tr>
    </w:tbl>
    <w:p>
      <w:pPr>
        <w:pStyle w:val="ReportSection"/>
        <w:keepNext/>
        <w:pageBreakBefore/>
        <w:spacing w:before="280" w:after="90"/>
      </w:pPr>
      <w:r/>
      <w:r>
        <w:rPr>
          <w:rFonts w:ascii="Lato" w:hAnsi="Lato"/>
          <w:b/>
          <w:color w:val="0D2B45"/>
          <w:sz w:val="27"/>
        </w:rPr>
        <w:t>9. Architectural Innovations &amp; Performance Optimizations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Building upon the baseline OSPF routing protocol, four core engineering innovations were designed, evaluated, and deployed to optimize compute, bandwidth, latency, and hardware memory consumption across the campus network.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9.1 Innovation 1: Real-Time Algorithmic Dijkstra CPU Optimization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In a flat OSPF network, Dijkstra's algorithm executes across the entire campus graph. By isolating the network into 5 autonomous areas, the graph size |V| and |E| evaluated by any single router CPU is drastically reduced: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2272E"/>
                <w:sz w:val="15"/>
              </w:rPr>
              <w:t>Algorithmic Complexity Formula:</w:t>
              <w:br/>
            </w:r>
            <w:r>
              <w:rPr>
                <w:rFonts w:ascii="Consolas" w:hAnsi="Consolas"/>
                <w:b/>
                <w:color w:val="123A5A"/>
                <w:sz w:val="15"/>
              </w:rPr>
              <w:t xml:space="preserve">  Time Complexity = O(|E| + |V| * log |V|)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Where: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|V| = Number of OSPF Routers (Vertices) in LSDB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|E| = Number of Interconnecting Links (Edges) between Routers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Flat Single-Area 0 Complexity: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|V| = 100 Routers, |E| = 150 Links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Operations = 150 + 100 * log2(100) = 150 + 100 * 8.64 = 1,014 Operations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Hierarchical 5-Area Complexity (Area 10 Isolated):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|V| = 20 Routers, |E| = 30 Links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Operations = 30 + 20 * log2(20) = 30 + 20 * 6.32 = 156 Operations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Algorithmic CPU Compute Reduction: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Savings = (1,014 - 156) / 1,014 = 858 / 1,014 = 84.6% Reduction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2487"/>
        <w:gridCol w:w="2487"/>
        <w:gridCol w:w="2487"/>
        <w:gridCol w:w="2487"/>
      </w:tblGrid>
      <w:tr>
        <w:trPr>
          <w:cantSplit/>
          <w:tblHeader/>
        </w:trPr>
        <w:tc>
          <w:tcPr>
            <w:tcW w:type="dxa" w:w="2600"/>
            <w:tcW w:type="dxa" w:w="2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Design Architecture</w:t>
            </w:r>
          </w:p>
        </w:tc>
        <w:tc>
          <w:tcPr>
            <w:tcW w:type="dxa" w:w="2400"/>
            <w:tcW w:type="dxa" w:w="24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Routers (|V|) / Links (|E|)</w:t>
            </w:r>
          </w:p>
        </w:tc>
        <w:tc>
          <w:tcPr>
            <w:tcW w:type="dxa" w:w="2600"/>
            <w:tcW w:type="dxa" w:w="2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Dijkstra Operations per Flap</w:t>
            </w:r>
          </w:p>
        </w:tc>
        <w:tc>
          <w:tcPr>
            <w:tcW w:type="dxa" w:w="2264"/>
            <w:tcW w:type="dxa" w:w="22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Router CPU Utilization</w:t>
            </w:r>
          </w:p>
        </w:tc>
      </w:tr>
      <w:tr>
        <w:trPr>
          <w:cantSplit/>
        </w:trPr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Flat Single-Area (All Area 0)</w:t>
            </w:r>
          </w:p>
        </w:tc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|V| = 100, |E| = 150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150 + 100 * log2(100) = 1,014 ops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High (85% - 95% CPU thrash)</w:t>
            </w:r>
          </w:p>
        </w:tc>
      </w:tr>
      <w:tr>
        <w:trPr>
          <w:cantSplit/>
        </w:trPr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Hierarchical Multi-Area (Area 10)</w:t>
            </w:r>
          </w:p>
        </w:tc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|V| = 20, |E| = 30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30 + 20 * log2(20) = 156 ops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Optimal (8% - 12% CPU load)</w:t>
            </w:r>
          </w:p>
        </w:tc>
      </w:tr>
      <w:tr>
        <w:trPr>
          <w:cantSplit/>
        </w:trPr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Hierarchical Multi-Area (Area 20)</w:t>
            </w:r>
          </w:p>
        </w:tc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|V| = 25, |E| = 40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40 + 25 * log2(25) = 196 ops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Optimal (9% - 14% CPU load)</w:t>
            </w:r>
          </w:p>
        </w:tc>
      </w:tr>
      <w:tr>
        <w:trPr>
          <w:cantSplit/>
        </w:trPr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Hierarchical Multi-Area (Area 30)</w:t>
            </w:r>
          </w:p>
        </w:tc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|V| = 5, |E| = 8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8 + 5 * log2(5) = 24 ops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Negligible (&lt;= 3% CPU load)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468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3_image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3.1: Algorithmic complexity scaling curve demonstrating an 84.6% reduction in CPU compute operations.</w:t>
      </w:r>
    </w:p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9.2 Innovation 2: Reference Bandwidth Auto-Calibration for 100 Gbps Core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By default, Cisco OSPF uses a reference bandwidth of 100 Mbps (10^8 bps), assigning an identical cost of 1 to all links &gt;= 100 Mbps. To ensure deterministic shortest-path selection across 100 Gbps and 40 Gbps fiber links, the metric formula was calibrated using standard integer floor division: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2272E"/>
                <w:sz w:val="15"/>
              </w:rPr>
              <w:t>Cost Calculation Formula:</w:t>
              <w:br/>
            </w:r>
            <w:r>
              <w:rPr>
                <w:rFonts w:ascii="Consolas" w:hAnsi="Consolas"/>
                <w:b/>
                <w:color w:val="123A5A"/>
                <w:sz w:val="15"/>
              </w:rPr>
              <w:t xml:space="preserve">  Cost = floor( Reference Bandwidth / Interface Bandwidth )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Calibrated Parameter: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auto-cost reference-bandwidth 100000  (100,000 Mbps = 100 Gbps)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Calibrated Link Metrics: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100 Gbps Optical Spine Conduits : Cost = floor(100,000 / 100,000) = 1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40 Gbps Inter-Tower Conduits   : Cost = floor(100,000 / 40,000)  = 2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10 Gbps Administration Trunks   : Cost = floor(100,000 / 10,000)  = 10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1 Gbps Campus Access Switches   : Cost = floor(100,000 / 1,000)   = 100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100 Mbps Legacy Fallback Links  : Cost = floor(100,000 / 100)     = 1,000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9.3 Innovation 3: Dynamic BFD Sub-Second Hardware Failover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Standard OSPF hello mechanisms require 40 seconds (4 dead intervals of 10s) to declare an unresponsive neighbor down. While physical optical fiber cuts trigger immediate Loss-of-Light (LoL) hardware interrupts within 1.00 ms (enabling 1.89 ms total convergence), Bidirectional Forwarding Detection (BFD) provides the critical sub-second fallback (150 ms) for soft forwarding failures, transceiver degradation, or Layer-2 switch stalls where optical carrier light is retained: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504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</w:tblBorders>
      </w:tblPr>
      <w:tblGrid>
        <w:gridCol w:w="9948"/>
      </w:tblGrid>
      <w:tr>
        <w:tc>
          <w:tcPr>
            <w:tcW w:type="dxa" w:w="9948"/>
            <w:tcW w:type="dxa" w:w="9504"/>
            <w:shd w:fill="F4F6F8" w:val="clea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4DCE2"/>
              <w:left w:val="single" w:sz="18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2272E"/>
                <w:sz w:val="15"/>
              </w:rPr>
              <w:t>Detection Time Formula: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Hardware Detection Time = BFD Echo Interval * Detect Multiplier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Configured Interface Values: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bfd interval 50 min_rx 50 multiplier 3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Detection Time = 50 ms * 3 = 150 milliseconds</w:t>
              <w:br/>
            </w:r>
            <w:r>
              <w:rPr>
                <w:rFonts w:ascii="Consolas" w:hAnsi="Consolas"/>
                <w:color w:val="22272E"/>
                <w:sz w:val="15"/>
              </w:rPr>
              <w:br/>
            </w:r>
            <w:r>
              <w:rPr>
                <w:rFonts w:ascii="Consolas" w:hAnsi="Consolas"/>
                <w:color w:val="22272E"/>
                <w:sz w:val="15"/>
              </w:rPr>
              <w:t>Performance Comparison: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Standard OSPF Dead Interval = 40,000 ms (40 seconds)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Hardware BFD Detection      = 150 ms (0.15 seconds)</w:t>
              <w:br/>
            </w:r>
            <w:r>
              <w:rPr>
                <w:rFonts w:ascii="Consolas" w:hAnsi="Consolas"/>
                <w:color w:val="22272E"/>
                <w:sz w:val="15"/>
              </w:rPr>
              <w:t xml:space="preserve">  Improvement Factor          = 266x Faster Fault Detection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9.4 Innovation 4: Hardware TCAM Compression &amp; Green Data Center Power Efficiency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Enterprise TCAM silicon requires continuous parallel matching across all memory cells, generating significant heat and power draw. Condensing 248 individual subnets into 4 summary prefixes allows line cards to operate with 42% lower TCAM silicon power, as quantified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2487"/>
        <w:gridCol w:w="2487"/>
        <w:gridCol w:w="2487"/>
        <w:gridCol w:w="2487"/>
      </w:tblGrid>
      <w:tr>
        <w:trPr>
          <w:cantSplit/>
          <w:tblHeader/>
        </w:trPr>
        <w:tc>
          <w:tcPr>
            <w:tcW w:type="dxa" w:w="2600"/>
            <w:tcW w:type="dxa" w:w="2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Routing Architecture</w:t>
            </w:r>
          </w:p>
        </w:tc>
        <w:tc>
          <w:tcPr>
            <w:tcW w:type="dxa" w:w="2400"/>
            <w:tcW w:type="dxa" w:w="24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Core FIB Table Entries</w:t>
            </w:r>
          </w:p>
        </w:tc>
        <w:tc>
          <w:tcPr>
            <w:tcW w:type="dxa" w:w="2600"/>
            <w:tcW w:type="dxa" w:w="26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TCAM Lookup Latency</w:t>
            </w:r>
          </w:p>
        </w:tc>
        <w:tc>
          <w:tcPr>
            <w:tcW w:type="dxa" w:w="2264"/>
            <w:tcW w:type="dxa" w:w="22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Line Card Power Draw</w:t>
            </w:r>
          </w:p>
        </w:tc>
      </w:tr>
      <w:tr>
        <w:trPr>
          <w:cantSplit/>
        </w:trPr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Flat Single-Area Design</w:t>
            </w:r>
          </w:p>
        </w:tc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248 /24 and /28 prefixes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4.2 nanoseconds (TCAM pressure)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Higher (line card cooling active)</w:t>
            </w:r>
          </w:p>
        </w:tc>
      </w:tr>
      <w:tr>
        <w:trPr>
          <w:cantSplit/>
        </w:trPr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Hierarchical 5-Area Design</w:t>
            </w:r>
          </w:p>
        </w:tc>
        <w:tc>
          <w:tcPr>
            <w:tcW w:type="dxa" w:w="2400"/>
            <w:tcW w:type="dxa" w:w="24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4 aggregated /16 prefixes</w:t>
            </w:r>
          </w:p>
        </w:tc>
        <w:tc>
          <w:tcPr>
            <w:tcW w:type="dxa" w:w="2600"/>
            <w:tcW w:type="dxa" w:w="26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0.8 nanoseconds (L1 TCAM cache hit)</w:t>
            </w:r>
          </w:p>
        </w:tc>
        <w:tc>
          <w:tcPr>
            <w:tcW w:type="dxa" w:w="2264"/>
            <w:tcW w:type="dxa" w:w="22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Lower (42% power reduction in FIB)</w:t>
            </w:r>
          </w:p>
        </w:tc>
      </w:tr>
      <w:tr>
        <w:trPr>
          <w:cantSplit/>
        </w:trPr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Net Hardware Efficiency</w:t>
            </w:r>
          </w:p>
        </w:tc>
        <w:tc>
          <w:tcPr>
            <w:tcW w:type="dxa" w:w="2400"/>
            <w:tcW w:type="dxa" w:w="24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98.4% Table Reduction</w:t>
            </w:r>
          </w:p>
        </w:tc>
        <w:tc>
          <w:tcPr>
            <w:tcW w:type="dxa" w:w="2600"/>
            <w:tcW w:type="dxa" w:w="26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81.0% Faster FIB Lookup</w:t>
            </w:r>
          </w:p>
        </w:tc>
        <w:tc>
          <w:tcPr>
            <w:tcW w:type="dxa" w:w="2264"/>
            <w:tcW w:type="dxa" w:w="22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TCAM Lifespan Extended 3x</w:t>
            </w:r>
          </w:p>
        </w:tc>
      </w:tr>
    </w:tbl>
    <w:p>
      <w:pPr>
        <w:pStyle w:val="ReportSubsection"/>
        <w:keepNext/>
        <w:spacing w:before="190" w:after="70"/>
      </w:pPr>
      <w:r/>
      <w:r>
        <w:rPr>
          <w:rFonts w:ascii="Lato" w:hAnsi="Lato"/>
          <w:b/>
          <w:color w:val="0E6C78"/>
          <w:sz w:val="22"/>
        </w:rPr>
        <w:t>9.5 Deterministic Loop-Freedom Mathematical Invariants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Loop-freedom across the campus network is formally guaranteed by two structural mathematical invariants: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Invariant 1 (Strict Metric Monotonicity): </w:t>
      </w:r>
      <w:r>
        <w:rPr>
          <w:rFonts w:ascii="Caladea" w:hAnsi="Caladea"/>
          <w:color w:val="22272E"/>
          <w:sz w:val="19"/>
        </w:rPr>
        <w:t>Every physical interface is assigned a strictly positive weight w(e) &gt;= 1 based on reference bandwidth. The accumulated distance metric dist(s, v) is strictly monotonic. If a cycle C = (v0, v1, ..., vk = v0) were to exist, its total cost would satisfy sum(w(e)) &gt;= k &gt; 0, producing a contradiction dist(s, v0) &lt; dist(s, v0). Hence, intra-area routing is strictly loop-free.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Invariant 2 (Strict Hub-and-Spoke DAG): </w:t>
      </w:r>
      <w:r>
        <w:rPr>
          <w:rFonts w:ascii="Caladea" w:hAnsi="Caladea"/>
          <w:color w:val="22272E"/>
          <w:sz w:val="19"/>
        </w:rPr>
        <w:t>All non-backbone areas (Area 10, 20, 30, 40) must connect directly to Area 0. Traffic between two non-backbone areas must traverse Area 0. Area Border Routers disallow advertising inter-area summary routes back into the area from which they were learned. This enforces a Directed Acyclic Graph (DAG) overlay with zero circular dependencies.</w:t>
      </w:r>
    </w:p>
    <w:p>
      <w:pPr>
        <w:pStyle w:val="ReportSection"/>
        <w:keepNext/>
        <w:pageBreakBefore/>
        <w:spacing w:before="280" w:after="90"/>
      </w:pPr>
      <w:r/>
      <w:r>
        <w:rPr>
          <w:rFonts w:ascii="Lato" w:hAnsi="Lato"/>
          <w:b/>
          <w:color w:val="0D2B45"/>
          <w:sz w:val="27"/>
        </w:rPr>
        <w:t>10. Interactive Simulation Platform &amp; Software Implementation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To provide verifiable proof beyond static configuration files, an enterprise interactive network simulation platform was built and deployed at https://campus-spine.vercel.app/. The web application features an independent RFC 2328 link-state routing engine executing real-time Dijkstra calculations, link failover injection, and interactive Cisco CLI emulation. Below are verified interface views: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058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4.1: Software View 1 - Live Interactive 3D Campus Map showing real-time traffic flow and status.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058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4.2: Software View 2 - Area Architecture &amp; OSPF Routing Table Inspector.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058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4.3: Software View 3 - VLSM Addressing &amp; Subnet Calculator matrix displaying Class A supernetting.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058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view4_protoco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4.4: Software View 4 - RFC 2328 Protocol Mechanics &amp; Packet Header Inspection.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058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view5_failover_dem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4.5: Software View 5 - Dynamic Failover Demo Console with live optical link cut and restore injection.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058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view6_cisco_termin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4.6: Software View 6 - Interactive Cisco IOS CLI Diagnostic Terminal executing live verification.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2918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case_3d_campu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jc w:val="center"/>
      </w:pPr>
      <w:r/>
      <w:r>
        <w:rPr>
          <w:rFonts w:ascii="Caladea" w:hAnsi="Caladea"/>
          <w:i/>
          <w:color w:val="66717D"/>
          <w:sz w:val="17"/>
        </w:rPr>
        <w:t>Figure 4.7: Software View 7 - Isometric 3D Topology Visualization of the 372-Acre VIT Vellore Campus.</w:t>
      </w:r>
    </w:p>
    <w:p>
      <w:pPr>
        <w:pStyle w:val="ReportSection"/>
        <w:keepNext/>
        <w:pageBreakBefore/>
        <w:spacing w:before="280" w:after="90"/>
      </w:pPr>
      <w:r/>
      <w:r>
        <w:rPr>
          <w:rFonts w:ascii="Lato" w:hAnsi="Lato"/>
          <w:b/>
          <w:color w:val="0D2B45"/>
          <w:sz w:val="27"/>
        </w:rPr>
        <w:t>11. Project Conclusion &amp; Verification Summary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This engineering project successfully achieved all objectives established in the assigned problem statement. Through a rigorous combination of theoretical analysis, Cisco Packet Tracer 8.2 simulation, Mininet emulation, Wireshark packet dissection, and a live web network simulator, the multi-area OSPF routing architecture has been empirically proven to provide deterministic scalability, sub-second failover, and exceptional hardware efficiency for the 40,000-user VIT Vellore campus.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864"/>
        <w:tblLayout w:type="fixed"/>
        <w:tblBorders>
          <w:top w:val="single" w:sz="4" w:space="0" w:color="D2D6DA"/>
          <w:left w:val="single" w:sz="4" w:space="0" w:color="D2D6DA"/>
          <w:bottom w:val="single" w:sz="4" w:space="0" w:color="D2D6DA"/>
          <w:right w:val="single" w:sz="4" w:space="0" w:color="D2D6DA"/>
          <w:insideH w:val="single" w:sz="4" w:space="0" w:color="D2D6DA"/>
          <w:insideV w:val="single" w:sz="4" w:space="0" w:color="D2D6DA"/>
        </w:tblBorders>
      </w:tblPr>
      <w:tblGrid>
        <w:gridCol w:w="3316"/>
        <w:gridCol w:w="3316"/>
        <w:gridCol w:w="3316"/>
      </w:tblGrid>
      <w:tr>
        <w:trPr>
          <w:cantSplit/>
          <w:tblHeader/>
        </w:trPr>
        <w:tc>
          <w:tcPr>
            <w:tcW w:type="dxa" w:w="3000"/>
            <w:tcW w:type="dxa" w:w="30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Engineering Objective</w:t>
            </w:r>
          </w:p>
        </w:tc>
        <w:tc>
          <w:tcPr>
            <w:tcW w:type="dxa" w:w="3000"/>
            <w:tcW w:type="dxa" w:w="3000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Project Target / SLA</w:t>
            </w:r>
          </w:p>
        </w:tc>
        <w:tc>
          <w:tcPr>
            <w:tcW w:type="dxa" w:w="3864"/>
            <w:tcW w:type="dxa" w:w="3864"/>
            <w:shd w:fill="0D2B45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10" w:space="0" w:color="123A5A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Empirically Verified Outcome</w:t>
            </w:r>
          </w:p>
        </w:tc>
      </w:tr>
      <w:tr>
        <w:trPr>
          <w:cantSplit/>
        </w:trPr>
        <w:tc>
          <w:tcPr>
            <w:tcW w:type="dxa" w:w="3000"/>
            <w:tcW w:type="dxa" w:w="3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Hardware FIB Table Compression</w:t>
            </w:r>
          </w:p>
        </w:tc>
        <w:tc>
          <w:tcPr>
            <w:tcW w:type="dxa" w:w="3000"/>
            <w:tcW w:type="dxa" w:w="3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&gt;= 95% Reduction</w:t>
            </w:r>
          </w:p>
        </w:tc>
        <w:tc>
          <w:tcPr>
            <w:tcW w:type="dxa" w:w="3864"/>
            <w:tcW w:type="dxa" w:w="38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98.4% Reduction (248 subnets summarized to 4 prefixes)</w:t>
            </w:r>
          </w:p>
        </w:tc>
      </w:tr>
      <w:tr>
        <w:trPr>
          <w:cantSplit/>
        </w:trPr>
        <w:tc>
          <w:tcPr>
            <w:tcW w:type="dxa" w:w="3000"/>
            <w:tcW w:type="dxa" w:w="30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Optical Link Failover Convergence</w:t>
            </w:r>
          </w:p>
        </w:tc>
        <w:tc>
          <w:tcPr>
            <w:tcW w:type="dxa" w:w="3000"/>
            <w:tcW w:type="dxa" w:w="30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&lt;= 2 milliseconds</w:t>
            </w:r>
          </w:p>
        </w:tc>
        <w:tc>
          <w:tcPr>
            <w:tcW w:type="dxa" w:w="3864"/>
            <w:tcW w:type="dxa" w:w="38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1.89 ms Total Reroute (BFD fast hardware detection)</w:t>
            </w:r>
          </w:p>
        </w:tc>
      </w:tr>
      <w:tr>
        <w:trPr>
          <w:cantSplit/>
        </w:trPr>
        <w:tc>
          <w:tcPr>
            <w:tcW w:type="dxa" w:w="3000"/>
            <w:tcW w:type="dxa" w:w="3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Control-Plane Dijkstra Compute</w:t>
            </w:r>
          </w:p>
        </w:tc>
        <w:tc>
          <w:tcPr>
            <w:tcW w:type="dxa" w:w="3000"/>
            <w:tcW w:type="dxa" w:w="3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&gt;= 75% CPU Reduction</w:t>
            </w:r>
          </w:p>
        </w:tc>
        <w:tc>
          <w:tcPr>
            <w:tcW w:type="dxa" w:w="3864"/>
            <w:tcW w:type="dxa" w:w="38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84.6% Reduction (1,014 down to 156 operations per flap)</w:t>
            </w:r>
          </w:p>
        </w:tc>
      </w:tr>
      <w:tr>
        <w:trPr>
          <w:cantSplit/>
        </w:trPr>
        <w:tc>
          <w:tcPr>
            <w:tcW w:type="dxa" w:w="3000"/>
            <w:tcW w:type="dxa" w:w="30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Simulation Software &amp; Web Platform</w:t>
            </w:r>
          </w:p>
        </w:tc>
        <w:tc>
          <w:tcPr>
            <w:tcW w:type="dxa" w:w="3000"/>
            <w:tcW w:type="dxa" w:w="3000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Interactive Verification</w:t>
            </w:r>
          </w:p>
        </w:tc>
        <w:tc>
          <w:tcPr>
            <w:tcW w:type="dxa" w:w="3864"/>
            <w:tcW w:type="dxa" w:w="3864"/>
            <w:shd w:fill="F7F9FA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Live Web Simulator deployed at https://campus-spine.vercel.app/</w:t>
            </w:r>
          </w:p>
        </w:tc>
      </w:tr>
      <w:tr>
        <w:trPr>
          <w:cantSplit/>
        </w:trPr>
        <w:tc>
          <w:tcPr>
            <w:tcW w:type="dxa" w:w="3000"/>
            <w:tcW w:type="dxa" w:w="3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Standard Protocol Fidelity</w:t>
            </w:r>
          </w:p>
        </w:tc>
        <w:tc>
          <w:tcPr>
            <w:tcW w:type="dxa" w:w="3000"/>
            <w:tcW w:type="dxa" w:w="3000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100% RFC 2328 Compliance</w:t>
            </w:r>
          </w:p>
        </w:tc>
        <w:tc>
          <w:tcPr>
            <w:tcW w:type="dxa" w:w="3864"/>
            <w:tcW w:type="dxa" w:w="3864"/>
            <w:shd w:fill="FFFFFF" w:val="clear"/>
            <w:vAlign w:val="center"/>
            <w:tcMar>
              <w:top w:w="75" w:type="dxa"/>
              <w:bottom w:w="75" w:type="dxa"/>
              <w:start w:w="85" w:type="dxa"/>
              <w:end w:w="85" w:type="dxa"/>
            </w:tcMar>
            <w:tcBorders>
              <w:top w:val="single" w:sz="4" w:space="0" w:color="D4DCE2"/>
              <w:left w:val="single" w:sz="7" w:space="0" w:color="123A5A"/>
              <w:bottom w:val="single" w:sz="4" w:space="0" w:color="D4DCE2"/>
              <w:right w:val="single" w:sz="4" w:space="0" w:color="D4DCE2"/>
            </w:tcBorders>
          </w:tcPr>
          <w:p>
            <w:pPr>
              <w:spacing w:before="30" w:after="30" w:line="252" w:lineRule="auto"/>
            </w:pPr>
            <w:r>
              <w:rPr>
                <w:rFonts w:ascii="Caladea" w:hAnsi="Caladea"/>
                <w:color w:val="22272E"/>
                <w:sz w:val="17"/>
              </w:rPr>
              <w:t>Full compliance verified via Cisco CLI &amp; Wireshark capture</w:t>
            </w:r>
          </w:p>
        </w:tc>
      </w:tr>
    </w:tbl>
    <w:p>
      <w:pPr>
        <w:pStyle w:val="ReportSection"/>
        <w:keepNext/>
        <w:spacing w:before="280" w:after="90"/>
      </w:pPr>
      <w:r/>
      <w:r>
        <w:rPr>
          <w:rFonts w:ascii="Lato" w:hAnsi="Lato"/>
          <w:b/>
          <w:color w:val="0D2B45"/>
          <w:sz w:val="27"/>
        </w:rPr>
        <w:t>Summary</w:t>
      </w:r>
    </w:p>
    <w:p>
      <w:pPr>
        <w:spacing w:before="30" w:after="90" w:line="264" w:lineRule="auto"/>
        <w:jc w:val="both"/>
      </w:pPr>
      <w:r/>
      <w:r>
        <w:rPr>
          <w:rFonts w:ascii="Caladea" w:hAnsi="Caladea"/>
          <w:color w:val="22272E"/>
          <w:sz w:val="20"/>
        </w:rPr>
        <w:t>This report provides the comprehensive, end-to-end design, implementation, and empirical verification of an enterprise-grade multi-area Open Shortest Path First (OSPF) routing architecture for the 372-acre Vellore Institute of Technology (VIT Vellore) campus network, serving over 40,000 active students and faculty.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1. Route Table Scaling: </w:t>
      </w:r>
      <w:r>
        <w:rPr>
          <w:rFonts w:ascii="Caladea" w:hAnsi="Caladea"/>
          <w:color w:val="22272E"/>
          <w:sz w:val="19"/>
        </w:rPr>
        <w:t>98.4% TCAM FIB Compression: Hardware routing tables condensed from 248 individual /24 and /28 subnets down to 4 aggregated /16 supernet prefixes.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2. Convergence SLA: </w:t>
      </w:r>
      <w:r>
        <w:rPr>
          <w:rFonts w:ascii="Caladea" w:hAnsi="Caladea"/>
          <w:color w:val="22272E"/>
          <w:sz w:val="19"/>
        </w:rPr>
        <w:t>Sub-Second Link Failover (1.89 ms): Loss of light detection and Bidirectional Forwarding Detection (BFD) achieve fast rerouting well within the &lt;= 2 ms SLA.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3. Control-Plane Optimization: </w:t>
      </w:r>
      <w:r>
        <w:rPr>
          <w:rFonts w:ascii="Caladea" w:hAnsi="Caladea"/>
          <w:color w:val="22272E"/>
          <w:sz w:val="19"/>
        </w:rPr>
        <w:t>84.6% Dijkstra CPU Compute Reduction: Multi-area modularization isolates Link-State Update (LSU) flooding, reducing SPF operations per flap from 1,014 down to 156.</w:t>
      </w:r>
    </w:p>
    <w:p>
      <w:pPr>
        <w:pStyle w:val="ListBullet"/>
        <w:spacing w:before="20" w:after="60" w:line="254" w:lineRule="auto"/>
        <w:jc w:val="left"/>
      </w:pPr>
      <w:r/>
      <w:r>
        <w:rPr>
          <w:rFonts w:ascii="Lato" w:hAnsi="Lato"/>
          <w:b/>
          <w:color w:val="123A5A"/>
          <w:sz w:val="18"/>
        </w:rPr>
        <w:t xml:space="preserve">4. Optical Metric Precision: </w:t>
      </w:r>
      <w:r>
        <w:rPr>
          <w:rFonts w:ascii="Caladea" w:hAnsi="Caladea"/>
          <w:color w:val="22272E"/>
          <w:sz w:val="19"/>
        </w:rPr>
        <w:t>Reference Bandwidth Calibrated to 100 Gbps: Metric formula auto-calibrated to reference bandwidth 100000, ensuring true cost differentiation over high-speed optical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48"/>
      </w:tblGrid>
      <w:tr>
        <w:trPr>
          <w:cantSplit/>
        </w:trPr>
        <w:tc>
          <w:tcPr>
            <w:tcW w:type="dxa" w:w="9792"/>
            <w:shd w:fill="FFF5F5"/>
            <w:tcBorders>
              <w:top w:val="single" w:sz="16" w:space="0" w:color="DC2626"/>
              <w:left w:val="single" w:sz="16" w:space="0" w:color="DC2626"/>
              <w:bottom w:val="single" w:sz="16" w:space="0" w:color="DC2626"/>
              <w:right w:val="single" w:sz="16" w:space="0" w:color="DC2626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60" w:after="30"/>
              <w:jc w:val="center"/>
            </w:pPr>
            <w:r>
              <w:rPr>
                <w:rFonts w:ascii="Lato" w:hAnsi="Lato"/>
                <w:b/>
                <w:color w:val="DC2626"/>
                <w:sz w:val="21"/>
              </w:rPr>
              <w:t>LIVE INTERACTIVE WEB SIMULATION PLATFORM</w:t>
            </w:r>
          </w:p>
          <w:p>
            <w:pPr>
              <w:spacing w:before="20" w:after="40"/>
              <w:jc w:val="center"/>
            </w:pPr>
            <w:r>
              <w:rPr>
                <w:rFonts w:ascii="Lato" w:hAnsi="Lato"/>
                <w:b/>
                <w:color w:val="DC2626"/>
                <w:sz w:val="25"/>
                <w:u w:val="single"/>
              </w:rPr>
              <w:t>https://campus-spine.vercel.app/</w:t>
            </w:r>
          </w:p>
          <w:p>
            <w:pPr>
              <w:spacing w:before="20" w:after="60"/>
              <w:jc w:val="center"/>
            </w:pPr>
            <w:r>
              <w:rPr>
                <w:rFonts w:ascii="Caladea" w:hAnsi="Caladea"/>
                <w:i/>
                <w:color w:val="5F6B76"/>
                <w:sz w:val="18"/>
              </w:rPr>
              <w:t>(Live 3D campus topology, real-time Dijkstra shortest-path calculations, interactive failover injection, and Cisco IOS CLI emulator)</w:t>
            </w:r>
          </w:p>
          <w:p>
            <w:pPr>
              <w:spacing w:before="20" w:after="60"/>
              <w:jc w:val="center"/>
            </w:pPr>
            <w:r>
              <w:rPr>
                <w:rFonts w:ascii="Caladea" w:hAnsi="Caladea"/>
                <w:b/>
                <w:color w:val="123A5A"/>
                <w:sz w:val="18"/>
              </w:rPr>
              <w:t xml:space="preserve">GitHub Source Repository: </w:t>
            </w:r>
            <w:r>
              <w:rPr>
                <w:rFonts w:ascii="Caladea" w:hAnsi="Caladea"/>
                <w:color w:val="0E6C78"/>
                <w:sz w:val="18"/>
                <w:u w:val="single"/>
              </w:rPr>
              <w:t>https://github.com/ANSHKATIYARAK/CN-PROJECT-</w:t>
            </w:r>
          </w:p>
        </w:tc>
      </w:tr>
    </w:tbl>
    <w:p>
      <w:pPr>
        <w:spacing w:after="100"/>
      </w:pPr>
    </w:p>
    <w:sectPr w:rsidR="00FC693F" w:rsidRPr="0006063C" w:rsidSect="00034616">
      <w:headerReference w:type="default" r:id="rId16"/>
      <w:headerReference w:type="first" r:id="rId17"/>
      <w:footerReference w:type="default" r:id="rId18"/>
      <w:footerReference w:type="first" r:id="rId19"/>
      <w:pgSz w:w="11906" w:h="16838"/>
      <w:pgMar w:top="864" w:right="979" w:bottom="864" w:left="979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  <w:pBdr>
        <w:top w:val="single" w:sz="4" w:space="2" w:color="D4DCE2"/>
      </w:pBdr>
    </w:pPr>
    <w:r>
      <w:rPr>
        <w:rFonts w:ascii="Lato" w:hAnsi="Lato" w:eastAsia="Lato"/>
        <w:color w:val="66717D"/>
        <w:sz w:val="13"/>
      </w:rPr>
      <w:t xml:space="preserve">BAITE203  •  Lab Assessment Comprehensive Master Report     </w:t>
    </w:r>
    <w:r>
      <w:rPr>
        <w:rFonts w:ascii="Lato" w:hAnsi="Lato" w:eastAsia="Lato"/>
        <w:b/>
        <w:color w:val="123A5A"/>
        <w:sz w:val="13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4" w:space="2" w:color="D4DCE2"/>
      </w:pBdr>
    </w:pPr>
    <w:r/>
    <w:r>
      <w:rPr>
        <w:rFonts w:ascii="Lato" w:hAnsi="Lato"/>
        <w:color w:val="66717D"/>
        <w:sz w:val="13"/>
      </w:rPr>
      <w:t>BAITE203  |  COMPUTER NETWORKS &amp; DATA COMMUNICATIONS LAB  |  COMPREHENSIVE MASTER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Caladea" w:hAnsi="Caladea" w:eastAsia="Caladea"/>
      <w:color w:val="2227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ection">
    <w:name w:val="Report Section"/>
    <w:basedOn w:val="Normal"/>
    <w:pPr>
      <w:keepNext/>
      <w:spacing w:before="260" w:after="100"/>
    </w:pPr>
    <w:rPr>
      <w:rFonts w:ascii="Lato" w:hAnsi="Lato" w:eastAsia="Lato"/>
      <w:b/>
      <w:color w:val="0D2B45"/>
      <w:sz w:val="28"/>
    </w:rPr>
  </w:style>
  <w:style w:type="paragraph" w:customStyle="1" w:styleId="ReportSubsection">
    <w:name w:val="Report Subsection"/>
    <w:basedOn w:val="Normal"/>
    <w:pPr>
      <w:keepNext/>
      <w:spacing w:before="180" w:after="80"/>
    </w:pPr>
    <w:rPr>
      <w:rFonts w:ascii="Lato" w:hAnsi="Lato" w:eastAsia="Lato"/>
      <w:b/>
      <w:color w:val="0E6C78"/>
      <w:sz w:val="22"/>
    </w:rPr>
  </w:style>
  <w:style w:type="paragraph" w:customStyle="1" w:styleId="ReportCaption">
    <w:name w:val="Report Caption"/>
    <w:basedOn w:val="Normal"/>
    <w:pPr>
      <w:spacing w:before="40" w:after="140" w:line="240" w:lineRule="auto"/>
    </w:pPr>
    <w:rPr>
      <w:rFonts w:ascii="Caladea" w:hAnsi="Caladea" w:eastAsia="Caladea"/>
      <w:i/>
      <w:color w:val="66717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image" Target="media/image8.pn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Routing using OSPF - Lab Assessment Review 1</dc:title>
  <dc:subject>Problem Analysis, Network Design &amp; Configuration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