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X44bfff57cb15a3818dadd78919f97a4c1ada92c"/>
    <w:p>
      <w:pPr>
        <w:pStyle w:val="Heading1"/>
      </w:pPr>
      <w:r>
        <w:t xml:space="preserve">Product Requirements Document: KLA — AI-Based Restoration of Degraded Semiconductor Inspection Images</w:t>
      </w:r>
    </w:p>
    <w:bookmarkStart w:id="17" w:name="X6922c6a71cf91acbeeb3f24bc69255356ccfd9a"/>
    <w:p>
      <w:pPr>
        <w:pStyle w:val="Heading2"/>
      </w:pPr>
      <w:r>
        <w:t xml:space="preserve">1. Background and Problem Statement</w:t>
      </w:r>
    </w:p>
    <w:p>
      <w:pPr>
        <w:pStyle w:val="FirstParagraph"/>
      </w:pPr>
      <w:r>
        <w:t xml:space="preserve">In semiconductor manufacturing, microscopic inspection images are used to measure and verify chip quality at every stage of production. These images must be extremely sharp and clean because a single pixel of noise or a small loss of detail can hide a defect that causes a chip to fail. In practice, inspection images are often degraded by two principal signal losses: speckle noise (random pixel-level noise that makes the image look grainy and may push pixel values beyond the true range) and spatial resolution reduction (downsampling that removes fine structure). Current workflows require engineers to work with degraded images, which reduces defect-detection accuracy and increases downstream verification effort. AI-powered restoration can remove noise and reconstruct lost detail to produce images that match the original ground-truth as closely as possible.</w:t>
      </w:r>
    </w:p>
    <w:bookmarkEnd w:id="17"/>
    <w:bookmarkStart w:id="18" w:name="X5019a551470683946bb85271c1ccb84e5b94035"/>
    <w:p>
      <w:pPr>
        <w:pStyle w:val="Heading2"/>
      </w:pPr>
      <w:r>
        <w:t xml:space="preserve">2. Objective</w:t>
      </w:r>
    </w:p>
    <w:p>
      <w:pPr>
        <w:pStyle w:val="FirstParagraph"/>
      </w:pPr>
      <w:r>
        <w:t xml:space="preserve">Design, train, and deliver a robust AI model and reproducible pipeline that accepts a single-channel degraded wafer image (noisy and downsampled) and outputs a restored image at the ground-truth resolution, handling speckle noise, Gaussian-like blur, and super-resolution simultaneously. The solution must generalize to out-of-distribution samples and meet practical constraints on inference time and model size so it is useful in realistic inspection settings.</w:t>
      </w:r>
    </w:p>
    <w:bookmarkEnd w:id="18"/>
    <w:bookmarkStart w:id="19" w:name="X016267bbd3fe83c36eefd20e393db88a2bc723c"/>
    <w:p>
      <w:pPr>
        <w:pStyle w:val="Heading2"/>
      </w:pPr>
      <w:r>
        <w:t xml:space="preserve">3. Success Criteria &amp; Metrics</w:t>
      </w:r>
    </w:p>
    <w:p>
      <w:pPr>
        <w:pStyle w:val="Compact"/>
        <w:numPr>
          <w:ilvl w:val="0"/>
          <w:numId w:val="1001"/>
        </w:numPr>
      </w:pPr>
      <w:r>
        <w:t xml:space="preserve">Quantitative image quality:</w:t>
      </w:r>
      <w:r>
        <w:rPr>
          <w:b/>
          <w:bCs/>
        </w:rPr>
        <w:t xml:space="preserve">PSNR (Peak Signal-to-Noise Ratio)</w:t>
      </w:r>
      <w:r>
        <w:t xml:space="preserve"> </w:t>
      </w:r>
      <w:r>
        <w:t xml:space="preserve">and</w:t>
      </w:r>
      <w:r>
        <w:t xml:space="preserve"> </w:t>
      </w:r>
      <w:r>
        <w:rPr>
          <w:b/>
          <w:bCs/>
        </w:rPr>
        <w:t xml:space="preserve">SSIM (Structural Similarity Index)</w:t>
      </w:r>
      <w:r>
        <w:t xml:space="preserve"> </w:t>
      </w:r>
      <w:r>
        <w:t xml:space="preserve">measured on the held-out test set. Target: PSNR ≥ 30 dB and SSIM ≥ 0.88 on in-distribution data; robust degradation on OOD data.</w:t>
      </w:r>
    </w:p>
    <w:p>
      <w:pPr>
        <w:pStyle w:val="Compact"/>
        <w:numPr>
          <w:ilvl w:val="0"/>
          <w:numId w:val="1001"/>
        </w:numPr>
      </w:pPr>
      <w:r>
        <w:t xml:space="preserve">Perceptual quality:</w:t>
      </w:r>
      <w:r>
        <w:rPr>
          <w:b/>
          <w:bCs/>
        </w:rPr>
        <w:t xml:space="preserve">LPIPS</w:t>
      </w:r>
      <w:r>
        <w:t xml:space="preserve"> </w:t>
      </w:r>
      <w:r>
        <w:t xml:space="preserve">and visual before/after comparisons used in the submission slides.</w:t>
      </w:r>
    </w:p>
    <w:p>
      <w:pPr>
        <w:pStyle w:val="Compact"/>
        <w:numPr>
          <w:ilvl w:val="0"/>
          <w:numId w:val="1001"/>
        </w:numPr>
      </w:pPr>
      <w:r>
        <w:t xml:space="preserve">Inference latency: average runtime per 512×512 image on benchmark hardware (H100 for official scoring). Target: ≤ 1 second if possible; acceptable up to ~10 seconds depending on complexity.</w:t>
      </w:r>
    </w:p>
    <w:p>
      <w:pPr>
        <w:pStyle w:val="Compact"/>
        <w:numPr>
          <w:ilvl w:val="0"/>
          <w:numId w:val="1001"/>
        </w:numPr>
      </w:pPr>
      <w:r>
        <w:t xml:space="preserve">Memory footprint: model size and GPU memory during inference. Target: keep model weights ≤ 1 GB if possible; document if larger.</w:t>
      </w:r>
    </w:p>
    <w:p>
      <w:pPr>
        <w:pStyle w:val="Compact"/>
        <w:numPr>
          <w:ilvl w:val="0"/>
          <w:numId w:val="1001"/>
        </w:numPr>
      </w:pPr>
      <w:r>
        <w:t xml:space="preserve">Reproducibility: evaluation script runs out-of-the-box and reproduces scores within tolerance.</w:t>
      </w:r>
    </w:p>
    <w:p>
      <w:pPr>
        <w:pStyle w:val="Compact"/>
        <w:numPr>
          <w:ilvl w:val="0"/>
          <w:numId w:val="1001"/>
        </w:numPr>
      </w:pPr>
      <w:r>
        <w:t xml:space="preserve">Generalization: maintained performance on out-of-distribution test images with minimal degradation vs. in-distribution scores.</w:t>
      </w:r>
    </w:p>
    <w:bookmarkEnd w:id="19"/>
    <w:bookmarkStart w:id="20" w:name="X6442938728f13e1d8e164fcc1ad0f7b71eddb37"/>
    <w:p>
      <w:pPr>
        <w:pStyle w:val="Heading2"/>
      </w:pPr>
      <w:r>
        <w:t xml:space="preserve">4. Data Specification</w:t>
      </w:r>
    </w:p>
    <w:p>
      <w:pPr>
        <w:pStyle w:val="FirstParagraph"/>
      </w:pPr>
      <w:r>
        <w:t xml:space="preserve">Training Data (provided by KLA): Paired samples where each sample includes: Ground truth image (clean, full resolution) at either 512×512 or 256×256 pixels (single-channel grayscale); and Degraded image (noisy and downsampled) at 256×256 or 128×128 pixels. Key characteristics to consider:</w:t>
      </w:r>
    </w:p>
    <w:p>
      <w:pPr>
        <w:pStyle w:val="Compact"/>
        <w:numPr>
          <w:ilvl w:val="0"/>
          <w:numId w:val="1002"/>
        </w:numPr>
      </w:pPr>
      <w:r>
        <w:t xml:space="preserve">Speckle noise can push pixel values beyond the true intensity range; normalizing or clamping must be handled carefully.</w:t>
      </w:r>
    </w:p>
    <w:p>
      <w:pPr>
        <w:pStyle w:val="Compact"/>
        <w:numPr>
          <w:ilvl w:val="0"/>
          <w:numId w:val="1002"/>
        </w:numPr>
      </w:pPr>
      <w:r>
        <w:t xml:space="preserve">Downsampling factors are 2× (512→256) and 2× (256→128). The model must perform upsampling to the ground-truth resolution.</w:t>
      </w:r>
    </w:p>
    <w:p>
      <w:pPr>
        <w:pStyle w:val="Compact"/>
        <w:numPr>
          <w:ilvl w:val="0"/>
          <w:numId w:val="1002"/>
        </w:numPr>
      </w:pPr>
      <w:r>
        <w:t xml:space="preserve">Images come from diverse semiconductor structures (different patterns, textures). Data is single-channel (grayscale).</w:t>
      </w:r>
    </w:p>
    <w:p>
      <w:pPr>
        <w:pStyle w:val="Compact"/>
        <w:numPr>
          <w:ilvl w:val="0"/>
          <w:numId w:val="1002"/>
        </w:numPr>
      </w:pPr>
      <w:r>
        <w:t xml:space="preserve">Test data will include in-distribution and out-of-distribution samples to evaluate generalization.</w:t>
      </w:r>
    </w:p>
    <w:bookmarkEnd w:id="20"/>
    <w:bookmarkStart w:id="21" w:name="X052d9d50bef594c4dcaeeac6011093e4925597a"/>
    <w:p>
      <w:pPr>
        <w:pStyle w:val="Heading2"/>
      </w:pPr>
      <w:r>
        <w:t xml:space="preserve">5. Functional Requirements</w:t>
      </w:r>
    </w:p>
    <w:p>
      <w:pPr>
        <w:pStyle w:val="Compact"/>
        <w:numPr>
          <w:ilvl w:val="0"/>
          <w:numId w:val="1003"/>
        </w:numPr>
      </w:pPr>
      <w:r>
        <w:t xml:space="preserve">Input: single-channel degraded image (128×128 or 256×256).</w:t>
      </w:r>
    </w:p>
    <w:p>
      <w:pPr>
        <w:pStyle w:val="Compact"/>
        <w:numPr>
          <w:ilvl w:val="0"/>
          <w:numId w:val="1003"/>
        </w:numPr>
      </w:pPr>
      <w:r>
        <w:t xml:space="preserve">Output: restored single-channel image at full resolution (256×256 or 512×512 respectively) with pixel intensities in the appropriate range for the provided ground truth.</w:t>
      </w:r>
    </w:p>
    <w:p>
      <w:pPr>
        <w:pStyle w:val="Compact"/>
        <w:numPr>
          <w:ilvl w:val="0"/>
          <w:numId w:val="1003"/>
        </w:numPr>
      </w:pPr>
      <w:r>
        <w:t xml:space="preserve">Single-model requirement: A single trained model (or well-documented ensemble strategy) must handle all degradation types simultaneously in inference.</w:t>
      </w:r>
    </w:p>
    <w:p>
      <w:pPr>
        <w:pStyle w:val="Compact"/>
        <w:numPr>
          <w:ilvl w:val="0"/>
          <w:numId w:val="1003"/>
        </w:numPr>
      </w:pPr>
      <w:r>
        <w:t xml:space="preserve">Evaluation script: A standalone Python script that accepts (a) input image directory, (b) output directory, and writes restored images in the original filename format. The script must also optionally print PSNR/SSIM when ground-truth images are present.</w:t>
      </w:r>
    </w:p>
    <w:p>
      <w:pPr>
        <w:pStyle w:val="Compact"/>
        <w:numPr>
          <w:ilvl w:val="0"/>
          <w:numId w:val="1003"/>
        </w:numPr>
      </w:pPr>
      <w:r>
        <w:t xml:space="preserve">Training script &amp; reproducibility: Scripts to train from scratch with configurable hyperparameters and dataset paths.</w:t>
      </w:r>
    </w:p>
    <w:p>
      <w:pPr>
        <w:pStyle w:val="Compact"/>
        <w:numPr>
          <w:ilvl w:val="0"/>
          <w:numId w:val="1003"/>
        </w:numPr>
      </w:pPr>
      <w:r>
        <w:t xml:space="preserve">Model artifact: Final weights in a common exchangeable format (.pt, .onnx, or .h5) with clear loading instructions.</w:t>
      </w:r>
    </w:p>
    <w:p>
      <w:pPr>
        <w:pStyle w:val="Compact"/>
        <w:numPr>
          <w:ilvl w:val="0"/>
          <w:numId w:val="1003"/>
        </w:numPr>
      </w:pPr>
      <w:r>
        <w:t xml:space="preserve">Performance logging: training/validation curves (PSNR, SSIM, loss) and a small ablation study comparing major design choices.</w:t>
      </w:r>
    </w:p>
    <w:p>
      <w:pPr>
        <w:pStyle w:val="Compact"/>
        <w:numPr>
          <w:ilvl w:val="0"/>
          <w:numId w:val="1003"/>
        </w:numPr>
      </w:pPr>
      <w:r>
        <w:t xml:space="preserve">Resource notes: document GPUs used, average training time, and peak VRAM.</w:t>
      </w:r>
    </w:p>
    <w:bookmarkEnd w:id="21"/>
    <w:bookmarkStart w:id="22" w:name="Xe36f9835cb95b6de93d3355b4e29db600105dfd"/>
    <w:p>
      <w:pPr>
        <w:pStyle w:val="Heading2"/>
      </w:pPr>
      <w:r>
        <w:t xml:space="preserve">6. Non-functional Requirements</w:t>
      </w:r>
    </w:p>
    <w:p>
      <w:pPr>
        <w:pStyle w:val="Compact"/>
        <w:numPr>
          <w:ilvl w:val="0"/>
          <w:numId w:val="1004"/>
        </w:numPr>
      </w:pPr>
      <w:r>
        <w:t xml:space="preserve">Robustness: The model must generalize to OOD test samples and not rely on brittle preprocessing.</w:t>
      </w:r>
    </w:p>
    <w:p>
      <w:pPr>
        <w:pStyle w:val="Compact"/>
        <w:numPr>
          <w:ilvl w:val="0"/>
          <w:numId w:val="1004"/>
        </w:numPr>
      </w:pPr>
      <w:r>
        <w:t xml:space="preserve">Latency: Provide CPU and GPU inference time; optimize model for H100 benchmark. Prioritize inference speed vs. quality trade-offs where necessary.</w:t>
      </w:r>
    </w:p>
    <w:p>
      <w:pPr>
        <w:pStyle w:val="Compact"/>
        <w:numPr>
          <w:ilvl w:val="0"/>
          <w:numId w:val="1004"/>
        </w:numPr>
      </w:pPr>
      <w:r>
        <w:t xml:space="preserve">Portability: Provide an ONNX export and inference example to support different runtimes.</w:t>
      </w:r>
    </w:p>
    <w:p>
      <w:pPr>
        <w:pStyle w:val="Compact"/>
        <w:numPr>
          <w:ilvl w:val="0"/>
          <w:numId w:val="1004"/>
        </w:numPr>
      </w:pPr>
      <w:r>
        <w:t xml:space="preserve">Security: Do not include any proprietary or private data in the public repository.</w:t>
      </w:r>
    </w:p>
    <w:p>
      <w:pPr>
        <w:pStyle w:val="Compact"/>
        <w:numPr>
          <w:ilvl w:val="0"/>
          <w:numId w:val="1004"/>
        </w:numPr>
      </w:pPr>
      <w:r>
        <w:t xml:space="preserve">Documentation: README must enable a reviewer to run inference on a fresh machine without additional help.</w:t>
      </w:r>
    </w:p>
    <w:bookmarkEnd w:id="22"/>
    <w:bookmarkStart w:id="26" w:name="Xcabe752738dea469f9c03c6da9a62978044a230"/>
    <w:p>
      <w:pPr>
        <w:pStyle w:val="Heading2"/>
      </w:pPr>
      <w:r>
        <w:t xml:space="preserve">7. Proposed Solution Overview</w:t>
      </w:r>
    </w:p>
    <w:p>
      <w:pPr>
        <w:pStyle w:val="FirstParagraph"/>
      </w:pPr>
      <w:r>
        <w:t xml:space="preserve">We propose a hybrid deep-learning architecture optimized for image restoration that combines a super-resolution backbone with denoising residual blocks and perceptual losses. The approach focuses on a U-Net-like encoder-decoder to preserve local structure, multi-scale residual blocks to handle noise, and a small adversarial branch (optional) for perceptual realism. A multi-loss training regime (L1/L2 + perceptual + SSIM + edge loss) encourages both pixel fidelity and structural accuracy.</w:t>
      </w:r>
    </w:p>
    <w:bookmarkStart w:id="23" w:name="X13c9b73679625fe03df2e60a40ecda216591844"/>
    <w:p>
      <w:pPr>
        <w:pStyle w:val="Heading3"/>
      </w:pPr>
      <w:r>
        <w:t xml:space="preserve">7.1 Model Architecture (recommended baseline)</w:t>
      </w:r>
    </w:p>
    <w:p>
      <w:pPr>
        <w:pStyle w:val="Compact"/>
        <w:numPr>
          <w:ilvl w:val="0"/>
          <w:numId w:val="1005"/>
        </w:numPr>
      </w:pPr>
      <w:r>
        <w:rPr>
          <w:b/>
          <w:bCs/>
        </w:rPr>
        <w:t xml:space="preserve">Backbone:</w:t>
      </w:r>
      <w:r>
        <w:t xml:space="preserve"> </w:t>
      </w:r>
      <w:r>
        <w:t xml:space="preserve">U-Net style encoder-decoder with skip connections. Encoder uses strided convolutions; decoder uses pixel shuffle upsampling for better super-resolution performance.</w:t>
      </w:r>
    </w:p>
    <w:p>
      <w:pPr>
        <w:pStyle w:val="Compact"/>
        <w:numPr>
          <w:ilvl w:val="0"/>
          <w:numId w:val="1005"/>
        </w:numPr>
      </w:pPr>
      <w:r>
        <w:rPr>
          <w:b/>
          <w:bCs/>
        </w:rPr>
        <w:t xml:space="preserve">Denoising Modules:</w:t>
      </w:r>
      <w:r>
        <w:t xml:space="preserve"> </w:t>
      </w:r>
      <w:r>
        <w:t xml:space="preserve">Residual blocks with batch norm or group norm and attention (optional lightweight channel attention such as SE or ECA) placed at multiple scales.</w:t>
      </w:r>
    </w:p>
    <w:p>
      <w:pPr>
        <w:pStyle w:val="Compact"/>
        <w:numPr>
          <w:ilvl w:val="0"/>
          <w:numId w:val="1005"/>
        </w:numPr>
      </w:pPr>
      <w:r>
        <w:rPr>
          <w:b/>
          <w:bCs/>
        </w:rPr>
        <w:t xml:space="preserve">Multi-scale Feature Fusion:</w:t>
      </w:r>
      <w:r>
        <w:t xml:space="preserve"> </w:t>
      </w:r>
      <w:r>
        <w:t xml:space="preserve">Atrous or dilated convolutions in the bottleneck to give larger receptive field for structure reconstruction.</w:t>
      </w:r>
    </w:p>
    <w:p>
      <w:pPr>
        <w:pStyle w:val="Compact"/>
        <w:numPr>
          <w:ilvl w:val="0"/>
          <w:numId w:val="1005"/>
        </w:numPr>
      </w:pPr>
      <w:r>
        <w:rPr>
          <w:b/>
          <w:bCs/>
        </w:rPr>
        <w:t xml:space="preserve">Output Head:</w:t>
      </w:r>
      <w:r>
        <w:t xml:space="preserve"> </w:t>
      </w:r>
      <w:r>
        <w:t xml:space="preserve">Single-channel convolution to produce restored intensities, followed by optional clipping to valid intensity range or learned range calibration.</w:t>
      </w:r>
    </w:p>
    <w:p>
      <w:pPr>
        <w:pStyle w:val="Compact"/>
        <w:numPr>
          <w:ilvl w:val="0"/>
          <w:numId w:val="1005"/>
        </w:numPr>
      </w:pPr>
      <w:r>
        <w:rPr>
          <w:b/>
          <w:bCs/>
        </w:rPr>
        <w:t xml:space="preserve">Optional Adversarial Branch:</w:t>
      </w:r>
      <w:r>
        <w:t xml:space="preserve"> </w:t>
      </w:r>
      <w:r>
        <w:t xml:space="preserve">Small PatchGAN discriminator during training to improve perceptual sharpness; use only if stability is manageable.</w:t>
      </w:r>
    </w:p>
    <w:bookmarkEnd w:id="23"/>
    <w:bookmarkStart w:id="24" w:name="X6b8a13f555c00862571d90c50e60bccecd178c9"/>
    <w:p>
      <w:pPr>
        <w:pStyle w:val="Heading3"/>
      </w:pPr>
      <w:r>
        <w:t xml:space="preserve">7.2 Loss Functions</w:t>
      </w:r>
    </w:p>
    <w:p>
      <w:pPr>
        <w:pStyle w:val="Compact"/>
        <w:numPr>
          <w:ilvl w:val="0"/>
          <w:numId w:val="1006"/>
        </w:numPr>
      </w:pPr>
      <w:r>
        <w:t xml:space="preserve">Primary pixel loss: L1 or MSE between restored and ground-truth (L1 preferred to reduce blurring).</w:t>
      </w:r>
    </w:p>
    <w:p>
      <w:pPr>
        <w:pStyle w:val="Compact"/>
        <w:numPr>
          <w:ilvl w:val="0"/>
          <w:numId w:val="1006"/>
        </w:numPr>
      </w:pPr>
      <w:r>
        <w:t xml:space="preserve">Perceptual loss: feature-space loss using a pre-trained backbone (e.g., VGG) applied to single-channel input (tile/duplicate channel or use a shallow feature extractor trained on wafer textures).</w:t>
      </w:r>
    </w:p>
    <w:p>
      <w:pPr>
        <w:pStyle w:val="Compact"/>
        <w:numPr>
          <w:ilvl w:val="0"/>
          <w:numId w:val="1006"/>
        </w:numPr>
      </w:pPr>
      <w:r>
        <w:t xml:space="preserve">SSIM loss: include 1−SSIM to directly optimize structural similarity.</w:t>
      </w:r>
    </w:p>
    <w:p>
      <w:pPr>
        <w:pStyle w:val="Compact"/>
        <w:numPr>
          <w:ilvl w:val="0"/>
          <w:numId w:val="1006"/>
        </w:numPr>
      </w:pPr>
      <w:r>
        <w:t xml:space="preserve">Edge-aware loss: Sobel or Laplacian on restored vs ground-truth to promote sharp edges.</w:t>
      </w:r>
    </w:p>
    <w:p>
      <w:pPr>
        <w:pStyle w:val="Compact"/>
        <w:numPr>
          <w:ilvl w:val="0"/>
          <w:numId w:val="1006"/>
        </w:numPr>
      </w:pPr>
      <w:r>
        <w:t xml:space="preserve">Adversarial loss (optional): if used, balance with pixel and perceptual losses to avoid hallucinations.</w:t>
      </w:r>
    </w:p>
    <w:bookmarkEnd w:id="24"/>
    <w:bookmarkStart w:id="25" w:name="X0b5a519ae02d8ebbefd8c08d966090f40ed409f"/>
    <w:p>
      <w:pPr>
        <w:pStyle w:val="Heading3"/>
      </w:pPr>
      <w:r>
        <w:t xml:space="preserve">7.3 Data Augmentation &amp; Preprocessing</w:t>
      </w:r>
    </w:p>
    <w:p>
      <w:pPr>
        <w:pStyle w:val="Compact"/>
        <w:numPr>
          <w:ilvl w:val="0"/>
          <w:numId w:val="1007"/>
        </w:numPr>
      </w:pPr>
      <w:r>
        <w:t xml:space="preserve">Intensity handling: Allow out-of-range degraded intensities in preprocessing; scale data using robust methods (e.g., percentile clipping then min-max) rather than blind clipping that loses signal.</w:t>
      </w:r>
    </w:p>
    <w:p>
      <w:pPr>
        <w:pStyle w:val="Compact"/>
        <w:numPr>
          <w:ilvl w:val="0"/>
          <w:numId w:val="1007"/>
        </w:numPr>
      </w:pPr>
      <w:r>
        <w:t xml:space="preserve">Geometric augmentations: rotations (multiples of 90°), horizontal/vertical flips, small random crops to simulate slight misalignment.</w:t>
      </w:r>
    </w:p>
    <w:p>
      <w:pPr>
        <w:pStyle w:val="Compact"/>
        <w:numPr>
          <w:ilvl w:val="0"/>
          <w:numId w:val="1007"/>
        </w:numPr>
      </w:pPr>
      <w:r>
        <w:t xml:space="preserve">Noise augmentation: synthetically add speckle and Gaussian noise variants to increase robustness; vary noise amplitude distributions.</w:t>
      </w:r>
    </w:p>
    <w:p>
      <w:pPr>
        <w:pStyle w:val="Compact"/>
        <w:numPr>
          <w:ilvl w:val="0"/>
          <w:numId w:val="1007"/>
        </w:numPr>
      </w:pPr>
      <w:r>
        <w:t xml:space="preserve">Blur/Downsample simulation: randomly apply additional mild blur and varying downsample/upsample filters during training to encourage robustness to OOD.</w:t>
      </w:r>
    </w:p>
    <w:p>
      <w:pPr>
        <w:pStyle w:val="Compact"/>
        <w:numPr>
          <w:ilvl w:val="0"/>
          <w:numId w:val="1007"/>
        </w:numPr>
      </w:pPr>
      <w:r>
        <w:t xml:space="preserve">Patch-based training: use overlapping patches (e.g., 128×128) when GPU memory is constrained; reconstruct full image during inference using overlap-tile strategy to avoid seams.</w:t>
      </w:r>
    </w:p>
    <w:bookmarkEnd w:id="25"/>
    <w:bookmarkEnd w:id="26"/>
    <w:bookmarkStart w:id="27" w:name="X5243026c05d279d28b997817f7e5436ccf826af"/>
    <w:p>
      <w:pPr>
        <w:pStyle w:val="Heading2"/>
      </w:pPr>
      <w:r>
        <w:t xml:space="preserve">8. System Pipeline &amp; Components</w:t>
      </w:r>
    </w:p>
    <w:p>
      <w:pPr>
        <w:pStyle w:val="Compact"/>
        <w:numPr>
          <w:ilvl w:val="0"/>
          <w:numId w:val="1008"/>
        </w:numPr>
      </w:pPr>
      <w:r>
        <w:t xml:space="preserve">Data ingestion: read paired degraded/ground-truth images, apply augmentations, build train/val/test splits (suggest 70/15/15).</w:t>
      </w:r>
    </w:p>
    <w:p>
      <w:pPr>
        <w:pStyle w:val="Compact"/>
        <w:numPr>
          <w:ilvl w:val="0"/>
          <w:numId w:val="1008"/>
        </w:numPr>
      </w:pPr>
      <w:r>
        <w:t xml:space="preserve">Training loop: dataset loader → model → loss calculation (multi-loss) → backprop → checkpointing best validation metrics.</w:t>
      </w:r>
    </w:p>
    <w:p>
      <w:pPr>
        <w:pStyle w:val="Compact"/>
        <w:numPr>
          <w:ilvl w:val="0"/>
          <w:numId w:val="1008"/>
        </w:numPr>
      </w:pPr>
      <w:r>
        <w:t xml:space="preserve">Evaluation: run evaluation script on validation/test images, compute PSNR/SSIM/LPIPS/runtime, produce before/after visualizations and metric table.</w:t>
      </w:r>
    </w:p>
    <w:p>
      <w:pPr>
        <w:pStyle w:val="Compact"/>
        <w:numPr>
          <w:ilvl w:val="0"/>
          <w:numId w:val="1008"/>
        </w:numPr>
      </w:pPr>
      <w:r>
        <w:t xml:space="preserve">Optimization &amp; export: optional quantization/pruning and ONNX export for faster inference. Provide both original model weights and optimized export.</w:t>
      </w:r>
    </w:p>
    <w:p>
      <w:pPr>
        <w:pStyle w:val="Compact"/>
        <w:numPr>
          <w:ilvl w:val="0"/>
          <w:numId w:val="1008"/>
        </w:numPr>
      </w:pPr>
      <w:r>
        <w:t xml:space="preserve">Submission packaging: PDF/PPT of results, GitHub repository with required files, and hosted model weights if large.</w:t>
      </w:r>
    </w:p>
    <w:bookmarkEnd w:id="27"/>
    <w:bookmarkStart w:id="28" w:name="Xcc6307662f99d8dc33bb3d7e5cd4bb7652d4c1e"/>
    <w:p>
      <w:pPr>
        <w:pStyle w:val="Heading2"/>
      </w:pPr>
      <w:r>
        <w:t xml:space="preserve">9. Evaluation Plan</w:t>
      </w:r>
    </w:p>
    <w:p>
      <w:pPr>
        <w:pStyle w:val="Compact"/>
        <w:numPr>
          <w:ilvl w:val="0"/>
          <w:numId w:val="1009"/>
        </w:numPr>
      </w:pPr>
      <w:r>
        <w:t xml:space="preserve">Primary metrics: PSNR and SSIM on in-distribution and out-of-distribution test sets.</w:t>
      </w:r>
    </w:p>
    <w:p>
      <w:pPr>
        <w:pStyle w:val="Compact"/>
        <w:numPr>
          <w:ilvl w:val="0"/>
          <w:numId w:val="1009"/>
        </w:numPr>
      </w:pPr>
      <w:r>
        <w:t xml:space="preserve">Perceptual metrics: LPIPS and visual inspection of multiple before/after pairs focusing on edge preservation and absence of hallucinated structures.</w:t>
      </w:r>
    </w:p>
    <w:p>
      <w:pPr>
        <w:pStyle w:val="Compact"/>
        <w:numPr>
          <w:ilvl w:val="0"/>
          <w:numId w:val="1009"/>
        </w:numPr>
      </w:pPr>
      <w:r>
        <w:t xml:space="preserve">Runtime benchmarking: measure average and percentile inference time on a single H100 (official) and on a representative consumer GPU (e.g., RTX 3090) and CPU fallback estimate.</w:t>
      </w:r>
    </w:p>
    <w:p>
      <w:pPr>
        <w:pStyle w:val="Compact"/>
        <w:numPr>
          <w:ilvl w:val="0"/>
          <w:numId w:val="1009"/>
        </w:numPr>
      </w:pPr>
      <w:r>
        <w:t xml:space="preserve">Ablation study: compare baseline U-Net, U-Net+residual blocks, and U-Net+adversarial component; show effects of loss terms and augmentations.</w:t>
      </w:r>
    </w:p>
    <w:p>
      <w:pPr>
        <w:pStyle w:val="Compact"/>
        <w:numPr>
          <w:ilvl w:val="0"/>
          <w:numId w:val="1009"/>
        </w:numPr>
      </w:pPr>
      <w:r>
        <w:t xml:space="preserve">Robustness checks: evaluate on varying SNR levels, unseen wafer patterns, and intentionally corrupted intensity ranges to ensure stability.</w:t>
      </w:r>
    </w:p>
    <w:bookmarkEnd w:id="28"/>
    <w:bookmarkStart w:id="29" w:name="Xcee743fc5428fe1c41abbec35e11a4a6833080b"/>
    <w:p>
      <w:pPr>
        <w:pStyle w:val="Heading2"/>
      </w:pPr>
      <w:r>
        <w:t xml:space="preserve">10. Implementation Plan and Timeline (2-week sprint to submission)</w:t>
      </w:r>
    </w:p>
    <w:tbl>
      <w:tblPr>
        <w:tblStyle w:val="Table"/>
        <w:tblW w:type="auto" w:w="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firstRow="1" w:lastRow="0" w:firstColumn="0" w:lastColumn="0" w:noHBand="0" w:noVBand="0" w:val="0020"/>
      </w:tblPr>
      <w:tblGrid>
        <w:gridCol w:w="2640"/>
        <w:gridCol w:w="2640"/>
        <w:gridCol w:w="2640"/>
      </w:tblGrid>
      <w:tr>
        <w:trPr>
          <w:tblHeader w:val="on"/>
        </w:trPr>
        <w:tc>
          <w:tcPr/>
          <w:p>
            <w:pPr>
              <w:pStyle w:val="Compact"/>
              <w:jc w:val="left"/>
            </w:pPr>
            <w:r>
              <w:t xml:space="preserve">Dates</w:t>
            </w:r>
          </w:p>
        </w:tc>
        <w:tc>
          <w:tcPr/>
          <w:p>
            <w:pPr>
              <w:pStyle w:val="Compact"/>
              <w:jc w:val="left"/>
            </w:pPr>
            <w:r>
              <w:t xml:space="preserve">Milestone</w:t>
            </w:r>
          </w:p>
        </w:tc>
        <w:tc>
          <w:tcPr/>
          <w:p>
            <w:pPr>
              <w:pStyle w:val="Compact"/>
              <w:jc w:val="left"/>
            </w:pPr>
            <w:r>
              <w:t xml:space="preserve">Deliverables</w:t>
            </w:r>
          </w:p>
        </w:tc>
      </w:tr>
      <w:tr>
        <w:tc>
          <w:tcPr/>
          <w:p>
            <w:pPr>
              <w:pStyle w:val="Compact"/>
              <w:jc w:val="left"/>
            </w:pPr>
            <w:r>
              <w:t xml:space="preserve">Day 1–2</w:t>
            </w:r>
          </w:p>
        </w:tc>
        <w:tc>
          <w:tcPr/>
          <w:p>
            <w:pPr>
              <w:pStyle w:val="Compact"/>
              <w:jc w:val="left"/>
            </w:pPr>
            <w:r>
              <w:t xml:space="preserve">Team alignment &amp; data exploration</w:t>
            </w:r>
          </w:p>
        </w:tc>
        <w:tc>
          <w:tcPr/>
          <w:p>
            <w:pPr>
              <w:pStyle w:val="Compact"/>
              <w:jc w:val="left"/>
            </w:pPr>
            <w:r>
              <w:t xml:space="preserve">Assign roles, download dataset, exploratory analysis (distribution, sample visualizations).</w:t>
            </w:r>
          </w:p>
        </w:tc>
      </w:tr>
      <w:tr>
        <w:tc>
          <w:tcPr/>
          <w:p>
            <w:pPr>
              <w:pStyle w:val="Compact"/>
              <w:jc w:val="left"/>
            </w:pPr>
            <w:r>
              <w:t xml:space="preserve">Day 3–5</w:t>
            </w:r>
          </w:p>
        </w:tc>
        <w:tc>
          <w:tcPr/>
          <w:p>
            <w:pPr>
              <w:pStyle w:val="Compact"/>
              <w:jc w:val="left"/>
            </w:pPr>
            <w:r>
              <w:t xml:space="preserve">Baseline model &amp; preprocessing</w:t>
            </w:r>
          </w:p>
        </w:tc>
        <w:tc>
          <w:tcPr/>
          <w:p>
            <w:pPr>
              <w:pStyle w:val="Compact"/>
              <w:jc w:val="left"/>
            </w:pPr>
            <w:r>
              <w:t xml:space="preserve">Implement baseline U-Net, preprocessing pipeline, train minimal checkpoint to validate training loop.</w:t>
            </w:r>
          </w:p>
        </w:tc>
      </w:tr>
      <w:tr>
        <w:tc>
          <w:tcPr/>
          <w:p>
            <w:pPr>
              <w:pStyle w:val="Compact"/>
              <w:jc w:val="left"/>
            </w:pPr>
            <w:r>
              <w:t xml:space="preserve">Day 6–8</w:t>
            </w:r>
          </w:p>
        </w:tc>
        <w:tc>
          <w:tcPr/>
          <w:p>
            <w:pPr>
              <w:pStyle w:val="Compact"/>
              <w:jc w:val="left"/>
            </w:pPr>
            <w:r>
              <w:t xml:space="preserve">Improvements &amp; augmentation</w:t>
            </w:r>
          </w:p>
        </w:tc>
        <w:tc>
          <w:tcPr/>
          <w:p>
            <w:pPr>
              <w:pStyle w:val="Compact"/>
              <w:jc w:val="left"/>
            </w:pPr>
            <w:r>
              <w:t xml:space="preserve">Add residual blocks/attention, implement multi-loss, augmentations, train best model, evaluate on validation set.</w:t>
            </w:r>
          </w:p>
        </w:tc>
      </w:tr>
      <w:tr>
        <w:tc>
          <w:tcPr/>
          <w:p>
            <w:pPr>
              <w:pStyle w:val="Compact"/>
              <w:jc w:val="left"/>
            </w:pPr>
            <w:r>
              <w:t xml:space="preserve">Day 9–11</w:t>
            </w:r>
          </w:p>
        </w:tc>
        <w:tc>
          <w:tcPr/>
          <w:p>
            <w:pPr>
              <w:pStyle w:val="Compact"/>
              <w:jc w:val="left"/>
            </w:pPr>
            <w:r>
              <w:t xml:space="preserve">Optimization &amp; export</w:t>
            </w:r>
          </w:p>
        </w:tc>
        <w:tc>
          <w:tcPr/>
          <w:p>
            <w:pPr>
              <w:pStyle w:val="Compact"/>
              <w:jc w:val="left"/>
            </w:pPr>
            <w:r>
              <w:t xml:space="preserve">Optimize for inference (mixed precision, export ONNX), measure runtime, run ablations.</w:t>
            </w:r>
          </w:p>
        </w:tc>
      </w:tr>
      <w:tr>
        <w:tc>
          <w:tcPr/>
          <w:p>
            <w:pPr>
              <w:pStyle w:val="Compact"/>
              <w:jc w:val="left"/>
            </w:pPr>
            <w:r>
              <w:t xml:space="preserve">Day 12–13</w:t>
            </w:r>
          </w:p>
        </w:tc>
        <w:tc>
          <w:tcPr/>
          <w:p>
            <w:pPr>
              <w:pStyle w:val="Compact"/>
              <w:jc w:val="left"/>
            </w:pPr>
            <w:r>
              <w:t xml:space="preserve">Prepare submission materials</w:t>
            </w:r>
          </w:p>
        </w:tc>
        <w:tc>
          <w:tcPr/>
          <w:p>
            <w:pPr>
              <w:pStyle w:val="Compact"/>
              <w:jc w:val="left"/>
            </w:pPr>
            <w:r>
              <w:t xml:space="preserve">Create PDF/PPT slides (max 8–9), assemble GitHub repo, lightweight demo video.</w:t>
            </w:r>
          </w:p>
        </w:tc>
      </w:tr>
      <w:tr>
        <w:tc>
          <w:tcPr/>
          <w:p>
            <w:pPr>
              <w:pStyle w:val="Compact"/>
              <w:jc w:val="left"/>
            </w:pPr>
            <w:r>
              <w:t xml:space="preserve">Day 14</w:t>
            </w:r>
          </w:p>
        </w:tc>
        <w:tc>
          <w:tcPr/>
          <w:p>
            <w:pPr>
              <w:pStyle w:val="Compact"/>
              <w:jc w:val="left"/>
            </w:pPr>
            <w:r>
              <w:t xml:space="preserve">Final validation &amp; submission</w:t>
            </w:r>
          </w:p>
        </w:tc>
        <w:tc>
          <w:tcPr/>
          <w:p>
            <w:pPr>
              <w:pStyle w:val="Compact"/>
              <w:jc w:val="left"/>
            </w:pPr>
            <w:r>
              <w:t xml:space="preserve">Run evaluation script on fresh environment, finalize README, submit via portal (TeamName_KLA_PS01.pdf + GitHub link).</w:t>
            </w:r>
          </w:p>
        </w:tc>
      </w:tr>
    </w:tbl>
    <w:bookmarkEnd w:id="29"/>
    <w:bookmarkStart w:id="30" w:name="X101c9e5253d462eb5d767c0b6066d507be0357b"/>
    <w:p>
      <w:pPr>
        <w:pStyle w:val="Heading2"/>
      </w:pPr>
      <w:r>
        <w:t xml:space="preserve">11. Team Roles and Responsibilities (example for 4-person IT team)</w:t>
      </w:r>
    </w:p>
    <w:p>
      <w:pPr>
        <w:pStyle w:val="Compact"/>
        <w:numPr>
          <w:ilvl w:val="0"/>
          <w:numId w:val="1010"/>
        </w:numPr>
      </w:pPr>
      <w:r>
        <w:t xml:space="preserve">Model Lead: design network architecture, implement training loop, main model improvements.</w:t>
      </w:r>
    </w:p>
    <w:p>
      <w:pPr>
        <w:pStyle w:val="Compact"/>
        <w:numPr>
          <w:ilvl w:val="0"/>
          <w:numId w:val="1010"/>
        </w:numPr>
      </w:pPr>
      <w:r>
        <w:t xml:space="preserve">Data &amp; Augmentation Engineer: preprocessing pipeline, augmentation strategies, data loaders and OOD simulations.</w:t>
      </w:r>
    </w:p>
    <w:p>
      <w:pPr>
        <w:pStyle w:val="Compact"/>
        <w:numPr>
          <w:ilvl w:val="0"/>
          <w:numId w:val="1010"/>
        </w:numPr>
      </w:pPr>
      <w:r>
        <w:t xml:space="preserve">Optimization &amp; Evaluation: runtime optimization, ONNX export, benchmarking scripts, metric computation.</w:t>
      </w:r>
    </w:p>
    <w:p>
      <w:pPr>
        <w:pStyle w:val="Compact"/>
        <w:numPr>
          <w:ilvl w:val="0"/>
          <w:numId w:val="1010"/>
        </w:numPr>
      </w:pPr>
      <w:r>
        <w:t xml:space="preserve">Documentation &amp; Demo: manage GitHub repository, write README, prepare slides/PDF, produce demo video and handle submissions.</w:t>
      </w:r>
    </w:p>
    <w:bookmarkEnd w:id="30"/>
    <w:bookmarkStart w:id="31" w:name="X21e7f620b04c16ce5a40c25374b855465455b9c"/>
    <w:p>
      <w:pPr>
        <w:pStyle w:val="Heading2"/>
      </w:pPr>
      <w:r>
        <w:t xml:space="preserve">12. Deliverables (per hackathon rules)</w:t>
      </w:r>
    </w:p>
    <w:p>
      <w:pPr>
        <w:pStyle w:val="Compact"/>
        <w:numPr>
          <w:ilvl w:val="0"/>
          <w:numId w:val="1011"/>
        </w:numPr>
      </w:pPr>
      <w:r>
        <w:t xml:space="preserve">PDF/PPT (max 8–9 slides) using the Hackathon Idea Submission Template, named TeamName_KLA_PS01.pdf, containing team details, problem statement, idea description, proposed solution, innovation, results, technology &amp; feasibility, GitHub &amp; video links, references.</w:t>
      </w:r>
    </w:p>
    <w:p>
      <w:pPr>
        <w:pStyle w:val="Compact"/>
        <w:numPr>
          <w:ilvl w:val="0"/>
          <w:numId w:val="1011"/>
        </w:numPr>
      </w:pPr>
      <w:r>
        <w:t xml:space="preserve">Public GitHub repository with: README.md (reproducible), evaluation script (.py), training script/notebook, trained model weights (or external download link), restored test outputs, requirements.txt.</w:t>
      </w:r>
    </w:p>
    <w:p>
      <w:pPr>
        <w:pStyle w:val="Compact"/>
        <w:numPr>
          <w:ilvl w:val="0"/>
          <w:numId w:val="1011"/>
        </w:numPr>
      </w:pPr>
      <w:r>
        <w:t xml:space="preserve">Demo video (hosted link) showing before/after restoration and a short explanation of approach (recommended).</w:t>
      </w:r>
    </w:p>
    <w:bookmarkEnd w:id="31"/>
    <w:bookmarkStart w:id="32" w:name="Xf57830af2d87f117543d9b073852efd03c49c5d"/>
    <w:p>
      <w:pPr>
        <w:pStyle w:val="Heading2"/>
      </w:pPr>
      <w:r>
        <w:t xml:space="preserve">13. Submission Checklist (pre-submit)</w:t>
      </w:r>
    </w:p>
    <w:p>
      <w:pPr>
        <w:pStyle w:val="Compact"/>
        <w:numPr>
          <w:ilvl w:val="0"/>
          <w:numId w:val="1012"/>
        </w:numPr>
      </w:pPr>
      <w:r>
        <w:t xml:space="preserve">Run evaluation script on a fresh machine/VM and confirm it finishes without manual edits.</w:t>
      </w:r>
    </w:p>
    <w:p>
      <w:pPr>
        <w:pStyle w:val="Compact"/>
        <w:numPr>
          <w:ilvl w:val="0"/>
          <w:numId w:val="1012"/>
        </w:numPr>
      </w:pPr>
      <w:r>
        <w:t xml:space="preserve">Ensure evaluation script prints PSNR/SSIM and writes restored images to specified directory.</w:t>
      </w:r>
    </w:p>
    <w:p>
      <w:pPr>
        <w:pStyle w:val="Compact"/>
        <w:numPr>
          <w:ilvl w:val="0"/>
          <w:numId w:val="1012"/>
        </w:numPr>
      </w:pPr>
      <w:r>
        <w:t xml:space="preserve">Verify GitHub README contains step-by-step commands to set up environment and run inference.</w:t>
      </w:r>
    </w:p>
    <w:p>
      <w:pPr>
        <w:pStyle w:val="Compact"/>
        <w:numPr>
          <w:ilvl w:val="0"/>
          <w:numId w:val="1012"/>
        </w:numPr>
      </w:pPr>
      <w:r>
        <w:t xml:space="preserve">Ensure model weights are downloadable (Git LFS or external link) and file paths in scripts are configurable via command-line arguments or config file.</w:t>
      </w:r>
    </w:p>
    <w:p>
      <w:pPr>
        <w:pStyle w:val="Compact"/>
        <w:numPr>
          <w:ilvl w:val="0"/>
          <w:numId w:val="1012"/>
        </w:numPr>
      </w:pPr>
      <w:r>
        <w:t xml:space="preserve">Confirm PDF/PPT uses required template and is saved as PDF with correct filename convention.</w:t>
      </w:r>
    </w:p>
    <w:p>
      <w:pPr>
        <w:pStyle w:val="Compact"/>
        <w:numPr>
          <w:ilvl w:val="0"/>
          <w:numId w:val="1012"/>
        </w:numPr>
      </w:pPr>
      <w:r>
        <w:t xml:space="preserve">Record and log inference runtime on a single image on a target GPU (note H100 if measured).</w:t>
      </w:r>
    </w:p>
    <w:bookmarkEnd w:id="32"/>
    <w:bookmarkStart w:id="33" w:name="X132622432af2a3dae677d8a81c5cc64811a8053"/>
    <w:p>
      <w:pPr>
        <w:pStyle w:val="Heading2"/>
      </w:pPr>
      <w:r>
        <w:t xml:space="preserve">14. Risks and Mitigations</w:t>
      </w:r>
    </w:p>
    <w:p>
      <w:pPr>
        <w:pStyle w:val="Compact"/>
        <w:numPr>
          <w:ilvl w:val="0"/>
          <w:numId w:val="1013"/>
        </w:numPr>
      </w:pPr>
      <w:r>
        <w:t xml:space="preserve">Risk: Overfitting to training wafer types. Mitigation: aggressive augmentation, cross-validation, and hold-out OOD validation.</w:t>
      </w:r>
    </w:p>
    <w:p>
      <w:pPr>
        <w:pStyle w:val="Compact"/>
        <w:numPr>
          <w:ilvl w:val="0"/>
          <w:numId w:val="1013"/>
        </w:numPr>
      </w:pPr>
      <w:r>
        <w:t xml:space="preserve">Risk: Hallucinations from adversarial training producing plausible but incorrect structures. Mitigation: limit GAN weight, prioritize pixel/perceptual losses, and evaluate with domain experts or automatic structure consistency checks.</w:t>
      </w:r>
    </w:p>
    <w:p>
      <w:pPr>
        <w:pStyle w:val="Compact"/>
        <w:numPr>
          <w:ilvl w:val="0"/>
          <w:numId w:val="1013"/>
        </w:numPr>
      </w:pPr>
      <w:r>
        <w:t xml:space="preserve">Risk: Evaluation script fails on reviewer environment. Mitigation: containerize (Docker) the evaluation environment or provide exact pip requirements and test on a clean VM before submission.</w:t>
      </w:r>
    </w:p>
    <w:p>
      <w:pPr>
        <w:pStyle w:val="Compact"/>
        <w:numPr>
          <w:ilvl w:val="0"/>
          <w:numId w:val="1013"/>
        </w:numPr>
      </w:pPr>
      <w:r>
        <w:t xml:space="preserve">Risk: Long inference time. Mitigation: early consideration of efficient architectures (e.g., lightweight attention, residual efficient blocks), mixed precision and ONNX runtime with kernel optimization.</w:t>
      </w:r>
    </w:p>
    <w:p>
      <w:pPr>
        <w:pStyle w:val="Compact"/>
        <w:numPr>
          <w:ilvl w:val="0"/>
          <w:numId w:val="1013"/>
        </w:numPr>
      </w:pPr>
      <w:r>
        <w:t xml:space="preserve">Risk: Large model weights exceed upload limits. Mitigation: compress/quantize weights, provide external download link (Google Drive / Hugging Face) and ensure availability.</w:t>
      </w:r>
    </w:p>
    <w:bookmarkEnd w:id="33"/>
    <w:bookmarkStart w:id="34" w:name="Xbb6c0970b87aa2c2f009d65d2cddf56c16eb2eb"/>
    <w:p>
      <w:pPr>
        <w:pStyle w:val="Heading2"/>
      </w:pPr>
      <w:r>
        <w:t xml:space="preserve">15. Appendix: Implementation Notes &amp; Example Commands</w:t>
      </w:r>
    </w:p>
    <w:p>
      <w:pPr>
        <w:pStyle w:val="FirstParagraph"/>
      </w:pPr>
      <w:r>
        <w:t xml:space="preserve">Suggested environment and quick commands to reproduce inference (include in README). Example assumes Python 3.9+, PyTorch, and a GPU.</w:t>
      </w:r>
    </w:p>
    <w:p>
      <w:pPr>
        <w:pStyle w:val="SourceCode"/>
      </w:pPr>
      <w:r>
        <w:rPr>
          <w:rStyle w:val="VerbatimChar"/>
        </w:rPr>
        <w:t xml:space="preserve">pip install -r requirements.txt</w:t>
      </w:r>
      <w:r>
        <w:br/>
      </w:r>
      <w:r>
        <w:rPr>
          <w:rStyle w:val="VerbatimChar"/>
        </w:rPr>
        <w:t xml:space="preserve"># Run evaluation (example)</w:t>
      </w:r>
      <w:r>
        <w:br/>
      </w:r>
      <w:r>
        <w:rPr>
          <w:rStyle w:val="VerbatimChar"/>
        </w:rPr>
        <w:t xml:space="preserve">python evaluate.py --input_dir ./test_images --output_dir ./restored_outputs --weights ./weights/best_model.pt --device cuda:0</w:t>
      </w:r>
      <w:r>
        <w:br/>
      </w:r>
      <w:r>
        <w:br/>
      </w:r>
      <w:r>
        <w:rPr>
          <w:rStyle w:val="VerbatimChar"/>
        </w:rPr>
        <w:t xml:space="preserve"># Export to ONNX (example)</w:t>
      </w:r>
      <w:r>
        <w:br/>
      </w:r>
      <w:r>
        <w:rPr>
          <w:rStyle w:val="VerbatimChar"/>
        </w:rPr>
        <w:t xml:space="preserve">python export_onnx.py --weights ./weights/best_model.pt --output ./weights/model.onnx --input_size 1 1 512 512</w:t>
      </w:r>
      <w:r>
        <w:br/>
      </w:r>
      <w:r>
        <w:br/>
      </w:r>
      <w:r>
        <w:rPr>
          <w:rStyle w:val="VerbatimChar"/>
        </w:rPr>
        <w:t xml:space="preserve"># Measure single-image runtime (example)</w:t>
      </w:r>
      <w:r>
        <w:br/>
      </w:r>
      <w:r>
        <w:rPr>
          <w:rStyle w:val="VerbatimChar"/>
        </w:rPr>
        <w:t xml:space="preserve">python time_inference.py --image ./test_images/sample.png --weights ./weights/best_model.pt --device cuda:0</w:t>
      </w:r>
    </w:p>
    <w:bookmarkEnd w:id="34"/>
    <w:bookmarkStart w:id="35" w:name="Xaed928c8df49deda2a92cf98e0a7463bbcf06c1"/>
    <w:p>
      <w:pPr>
        <w:pStyle w:val="Heading2"/>
      </w:pPr>
      <w:r>
        <w:t xml:space="preserve">16. Suggested Baseline Hyperparameters</w:t>
      </w:r>
    </w:p>
    <w:p>
      <w:pPr>
        <w:pStyle w:val="Compact"/>
        <w:numPr>
          <w:ilvl w:val="0"/>
          <w:numId w:val="1014"/>
        </w:numPr>
      </w:pPr>
      <w:r>
        <w:t xml:space="preserve">Optimizer: AdamW, lr = 1e-4 with cosine annealing or step decay.</w:t>
      </w:r>
    </w:p>
    <w:p>
      <w:pPr>
        <w:pStyle w:val="Compact"/>
        <w:numPr>
          <w:ilvl w:val="0"/>
          <w:numId w:val="1014"/>
        </w:numPr>
      </w:pPr>
      <w:r>
        <w:t xml:space="preserve">Batch size: 8–32 depending on GPU; use patch-based batches if necessary.</w:t>
      </w:r>
    </w:p>
    <w:p>
      <w:pPr>
        <w:pStyle w:val="Compact"/>
        <w:numPr>
          <w:ilvl w:val="0"/>
          <w:numId w:val="1014"/>
        </w:numPr>
      </w:pPr>
      <w:r>
        <w:t xml:space="preserve">Loss weights: L1 (1.0) + Perceptual (0.1) + SSIM (0.2) + EdgeLoss (0.05); tune per validation performance.</w:t>
      </w:r>
    </w:p>
    <w:p>
      <w:pPr>
        <w:pStyle w:val="Compact"/>
        <w:numPr>
          <w:ilvl w:val="0"/>
          <w:numId w:val="1014"/>
        </w:numPr>
      </w:pPr>
      <w:r>
        <w:t xml:space="preserve">Epochs: 50–150 depending on convergence; use early stopping on validation PSNR.</w:t>
      </w:r>
    </w:p>
    <w:p>
      <w:pPr>
        <w:pStyle w:val="Compact"/>
        <w:numPr>
          <w:ilvl w:val="0"/>
          <w:numId w:val="1014"/>
        </w:numPr>
      </w:pPr>
      <w:r>
        <w:t xml:space="preserve">Mixed precision: enabled (AMP) to reduce VRAM and speed up training.</w:t>
      </w:r>
    </w:p>
    <w:bookmarkEnd w:id="35"/>
    <w:bookmarkStart w:id="36" w:name="X2836901340f5d9665902c3782ec5d9e90946961"/>
    <w:p>
      <w:pPr>
        <w:pStyle w:val="Heading2"/>
      </w:pPr>
      <w:r>
        <w:t xml:space="preserve">17. Final Recommendations</w:t>
      </w:r>
    </w:p>
    <w:p>
      <w:pPr>
        <w:pStyle w:val="FirstParagraph"/>
      </w:pPr>
      <w:r>
        <w:t xml:space="preserve">For a 4-person IT team, prioritize building a strong, reproducible baseline quickly (U-Net + residual denoising + multi-loss). Ensure the evaluation script is rock-solid and that you can reproduce your best metrics on a clean environment. If time permits and resources allow, add a tested adversarial component and produce an ONNX-optimized export for efficient inference. Document every step clearly in README and prepare concise submission slides with compelling visual evidence (before/after pairs) and performance numbers.</w:t>
      </w:r>
    </w:p>
    <w:bookmarkEnd w:id="36"/>
    <w:bookmarkStart w:id="37" w:name="X57632a733e3ac418caf1bc1fb102442d5388568"/>
    <w:p>
      <w:pPr>
        <w:pStyle w:val="Heading2"/>
      </w:pPr>
      <w:r>
        <w:t xml:space="preserve">18. Contact Information &amp; Next Steps</w:t>
      </w:r>
    </w:p>
    <w:p>
      <w:pPr>
        <w:pStyle w:val="Compact"/>
        <w:numPr>
          <w:ilvl w:val="0"/>
          <w:numId w:val="1015"/>
        </w:numPr>
      </w:pPr>
      <w:r>
        <w:t xml:space="preserve">Immediate next steps for the team: watch the KLA webinar to inspect sample degradations in detail, assign roles, and start the Day 1 tasks in the timeline.</w:t>
      </w:r>
    </w:p>
    <w:p>
      <w:pPr>
        <w:pStyle w:val="Compact"/>
        <w:numPr>
          <w:ilvl w:val="0"/>
          <w:numId w:val="1015"/>
        </w:numPr>
      </w:pPr>
      <w:r>
        <w:t xml:space="preserve">Prepare an initial GitHub repo with a README and the skeleton evaluation script so reviewers can begin testing early.</w:t>
      </w:r>
    </w:p>
    <w:bookmarkEnd w:id="37"/>
    <w:bookmarkEnd w:id="38"/>
    <w:sectPr>
      <w:headerReference r:id="rId7" w:type="default"/>
      <w:footerReference r:id="rId8" w:type="default"/>
      <w:pgSz w:h="15840" w:orient="portrait" w:w="12240"/>
      <w:pgMar w:bottom="1440" w:footer="360" w:header="36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nsolas"/>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7">
    <w:pPr>
      <w:pBdr>
        <w:top w:color="1e7d8c" w:space="2" w:sz="6" w:val="single"/>
      </w:pBdr>
      <w:tabs>
        <w:tab w:val="right" w:leader="none" w:pos="9360"/>
      </w:tabs>
      <w:spacing w:before="0" w:lineRule="auto"/>
      <w:jc w:val="right"/>
      <w:rPr/>
    </w:pPr>
    <w:r w:rsidDel="00000000" w:rsidR="00000000" w:rsidRPr="00000000">
      <w:rPr>
        <w:rFonts w:ascii="Aptos" w:cs="Aptos" w:eastAsia="Aptos" w:hAnsi="Aptos"/>
        <w:color w:val="595959"/>
        <w:sz w:val="18"/>
        <w:szCs w:val="18"/>
        <w:rtl w:val="0"/>
      </w:rPr>
      <w:t xml:space="preserve">Page </w:t>
    </w:r>
    <w:r w:rsidDel="00000000" w:rsidR="00000000" w:rsidRPr="00000000">
      <w:rPr/>
      <w:fldChar w:fldCharType="begin"/>
      <w:instrText xml:space="preserve">PAGE</w:instrText>
      <w:fldChar w:fldCharType="separate"/>
      <w:fldChar w:fldCharType="end"/>
    </w:r>
    <w:r w:rsidDel="00000000" w:rsidR="00000000" w:rsidRPr="00000000">
      <w:rPr>
        <w:rFonts w:ascii="Aptos" w:cs="Aptos" w:eastAsia="Aptos" w:hAnsi="Aptos"/>
        <w:color w:val="595959"/>
        <w:sz w:val="18"/>
        <w:szCs w:val="18"/>
        <w:rtl w:val="0"/>
      </w:rPr>
      <w:t xml:space="preserve"> of </w:t>
    </w:r>
    <w:r w:rsidDel="00000000" w:rsidR="00000000" w:rsidRPr="00000000">
      <w:rPr/>
      <w:fldChar w:fldCharType="begin"/>
      <w:instrText xml:space="preserve">NUMPAGES</w:instrText>
      <w:fldChar w:fldCharType="separate"/>
      <w:fldChar w:fldCharType="end"/>
    </w:r>
    <w:r w:rsidDel="00000000" w:rsidR="00000000" w:rsidRPr="00000000">
      <w:rPr>
        <w:rtl w:val="0"/>
      </w:rPr>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6">
    <w:pPr>
      <w:pBdr>
        <w:bottom w:color="1e7d8c" w:space="2" w:sz="6" w:val="single"/>
      </w:pBdr>
      <w:tabs>
        <w:tab w:val="right" w:leader="none" w:pos="9360"/>
      </w:tabs>
      <w:spacing w:after="0" w:lineRule="auto"/>
      <w:rPr/>
    </w:pPr>
    <w:r w:rsidDel="00000000" w:rsidR="00000000" w:rsidRPr="00000000">
      <w:rPr>
        <w:rFonts w:ascii="Play" w:cs="Play" w:eastAsia="Play" w:hAnsi="Play"/>
        <w:color w:val="595959"/>
        <w:sz w:val="18"/>
        <w:szCs w:val="18"/>
        <w:rtl w:val="0"/>
      </w:rPr>
      <w:t xml:space="preserve"/>
    </w:r>
    <w:r w:rsidDel="00000000" w:rsidR="00000000" w:rsidRPr="00000000">
      <w:rPr>
        <w:rtl w:val="0"/>
      </w:rPr>
    </w:r>
  </w:p>
</w:hdr>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Noto Sans Symbols" w:cs="Noto Sans Symbols" w:eastAsia="Noto Sans Symbols" w:hAnsi="Noto Sans Symbols"/>
        <w:color w:val="1e7d8c"/>
        <w:sz w:val="24"/>
        <w:szCs w:val="24"/>
      </w:rPr>
    </w:lvl>
    <w:lvl w:ilvl="1">
      <w:start w:val="1"/>
      <w:numFmt w:val="bullet"/>
      <w:lvlText w:val="○"/>
      <w:lvlJc w:val="left"/>
      <w:pPr>
        <w:ind w:hanging="360" w:left="1080"/>
      </w:pPr>
      <w:rPr>
        <w:rFonts w:ascii="Courier New" w:cs="Courier New" w:eastAsia="Courier New" w:hAnsi="Courier New"/>
        <w:color w:val="595959"/>
        <w:sz w:val="22"/>
        <w:szCs w:val="22"/>
      </w:rPr>
    </w:lvl>
    <w:lvl w:ilvl="2">
      <w:start w:val="1"/>
      <w:numFmt w:val="bullet"/>
      <w:lvlText w:val="▪"/>
      <w:lvlJc w:val="left"/>
      <w:pPr>
        <w:ind w:hanging="360" w:left="1440"/>
      </w:pPr>
      <w:rPr>
        <w:rFonts w:ascii="Noto Sans Symbols" w:cs="Noto Sans Symbols" w:eastAsia="Noto Sans Symbols" w:hAnsi="Noto Sans Symbols"/>
        <w:color w:val="595959"/>
        <w:sz w:val="20"/>
        <w:szCs w:val="20"/>
      </w:rPr>
    </w:lvl>
    <w:lvl w:ilvl="3">
      <w:start w:val="1"/>
      <w:numFmt w:val="bullet"/>
      <w:lvlText w:val=""/>
      <w:lvlJc w:val="left"/>
      <w:pPr>
        <w:ind w:firstLine="0" w:left="0"/>
      </w:pPr>
      <w:rPr/>
    </w:lvl>
    <w:lvl w:ilvl="4">
      <w:start w:val="1"/>
      <w:numFmt w:val="bullet"/>
      <w:lvlText w:val=""/>
      <w:lvlJc w:val="left"/>
      <w:pPr>
        <w:ind w:firstLine="0" w:left="0"/>
      </w:pPr>
      <w:rPr/>
    </w:lvl>
    <w:lvl w:ilvl="5">
      <w:start w:val="1"/>
      <w:numFmt w:val="bullet"/>
      <w:lvlText w:val=""/>
      <w:lvlJc w:val="left"/>
      <w:pPr>
        <w:ind w:firstLine="0" w:left="0"/>
      </w:pPr>
      <w:rPr/>
    </w:lvl>
    <w:lvl w:ilvl="6">
      <w:start w:val="1"/>
      <w:numFmt w:val="bullet"/>
      <w:lvlText w:val=""/>
      <w:lvlJc w:val="left"/>
      <w:pPr>
        <w:ind w:firstLine="0" w:left="0"/>
      </w:pPr>
      <w:rPr/>
    </w:lvl>
    <w:lvl w:ilvl="7">
      <w:start w:val="1"/>
      <w:numFmt w:val="bullet"/>
      <w:lvlText w:val=""/>
      <w:lvlJc w:val="left"/>
      <w:pPr>
        <w:ind w:firstLine="0" w:left="0"/>
      </w:pPr>
      <w:rPr/>
    </w:lvl>
    <w:lvl w:ilvl="8">
      <w:start w:val="1"/>
      <w:numFmt w:val="bullet"/>
      <w:lvlText w:val=""/>
      <w:lvlJc w:val="left"/>
      <w:pPr>
        <w:ind w:firstLine="0" w:left="0"/>
      </w:pPr>
      <w:rPr/>
    </w:lvl>
  </w:abstractNum>
  <w:abstractNum w:abstractNumId="2">
    <w:lvl w:ilvl="0">
      <w:start w:val="1"/>
      <w:numFmt w:val="decimal"/>
      <w:lvlText w:val="%1."/>
      <w:lvlJc w:val="left"/>
      <w:pPr>
        <w:ind w:hanging="360" w:left="720"/>
      </w:pPr>
      <w:rPr>
        <w:b w:val="1"/>
        <w:bCs w:val="1"/>
        <w:color w:val="0f4761"/>
        <w:sz w:val="24"/>
        <w:szCs w:val="24"/>
      </w:rPr>
    </w:lvl>
    <w:lvl w:ilvl="1">
      <w:start w:val="1"/>
      <w:numFmt w:val="lowerLetter"/>
      <w:lvlText w:val="%2)"/>
      <w:lvlJc w:val="left"/>
      <w:pPr>
        <w:ind w:hanging="360" w:left="1080"/>
      </w:pPr>
      <w:rPr>
        <w:color w:val="595959"/>
        <w:sz w:val="22"/>
        <w:szCs w:val="22"/>
      </w:rPr>
    </w:lvl>
    <w:lvl w:ilvl="2">
      <w:start w:val="1"/>
      <w:numFmt w:val="bullet"/>
      <w:lvlText w:val=""/>
      <w:lvlJc w:val="left"/>
      <w:pPr>
        <w:ind w:firstLine="0" w:left="0"/>
      </w:pPr>
      <w:rPr/>
    </w:lvl>
    <w:lvl w:ilvl="3">
      <w:start w:val="1"/>
      <w:numFmt w:val="bullet"/>
      <w:lvlText w:val=""/>
      <w:lvlJc w:val="left"/>
      <w:pPr>
        <w:ind w:firstLine="0" w:left="0"/>
      </w:pPr>
      <w:rPr/>
    </w:lvl>
    <w:lvl w:ilvl="4">
      <w:start w:val="1"/>
      <w:numFmt w:val="bullet"/>
      <w:lvlText w:val=""/>
      <w:lvlJc w:val="left"/>
      <w:pPr>
        <w:ind w:firstLine="0" w:left="0"/>
      </w:pPr>
      <w:rPr/>
    </w:lvl>
    <w:lvl w:ilvl="5">
      <w:start w:val="1"/>
      <w:numFmt w:val="bullet"/>
      <w:lvlText w:val=""/>
      <w:lvlJc w:val="left"/>
      <w:pPr>
        <w:ind w:firstLine="0" w:left="0"/>
      </w:pPr>
      <w:rPr/>
    </w:lvl>
    <w:lvl w:ilvl="6">
      <w:start w:val="1"/>
      <w:numFmt w:val="bullet"/>
      <w:lvlText w:val=""/>
      <w:lvlJc w:val="left"/>
      <w:pPr>
        <w:ind w:firstLine="0" w:left="0"/>
      </w:pPr>
      <w:rPr/>
    </w:lvl>
    <w:lvl w:ilvl="7">
      <w:start w:val="1"/>
      <w:numFmt w:val="bullet"/>
      <w:lvlText w:val=""/>
      <w:lvlJc w:val="left"/>
      <w:pPr>
        <w:ind w:firstLine="0" w:left="0"/>
      </w:pPr>
      <w:rPr/>
    </w:lvl>
    <w:lvl w:ilvl="8">
      <w:start w:val="1"/>
      <w:numFmt w:val="bullet"/>
      <w:lvlText w:val=""/>
      <w:lvlJc w:val="left"/>
      <w:pPr>
        <w:ind w:firstLine="0" w:left="0"/>
      </w:pPr>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1"/>
  </w:num>
  <w:num w:numId="2">
    <w:abstractNumId w:val="2"/>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ptos" w:cs="Aptos" w:eastAsia="Aptos" w:hAnsi="Aptos"/>
        <w:sz w:val="24"/>
        <w:szCs w:val="24"/>
      </w:rPr>
    </w:rPrDefault>
    <w:pPrDefault>
      <w:pPr>
        <w:spacing w:after="200"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widowControl w:val="1"/>
      <w:pBdr>
        <w:top w:space="0" w:sz="0" w:val="nil"/>
        <w:left w:space="0" w:sz="0" w:val="nil"/>
        <w:bottom w:color="1e7d8c" w:space="2" w:sz="6" w:val="single"/>
        <w:right w:space="0" w:sz="0" w:val="nil"/>
        <w:between w:space="0" w:sz="0" w:val="nil"/>
      </w:pBdr>
      <w:shd w:fill="auto" w:val="clear"/>
      <w:spacing w:after="220" w:before="360" w:line="240" w:lineRule="auto"/>
      <w:ind w:firstLine="0" w:left="0" w:right="0"/>
      <w:jc w:val="left"/>
    </w:pPr>
    <w:rPr>
      <w:rFonts w:ascii="Play" w:cs="Play" w:eastAsia="Play" w:hAnsi="Play"/>
      <w:b w:val="1"/>
      <w:bCs w:val="1"/>
      <w:i w:val="0"/>
      <w:iCs w:val="0"/>
      <w:smallCaps w:val="0"/>
      <w:strike w:val="0"/>
      <w:color w:val="0f4761"/>
      <w:sz w:val="40"/>
      <w:szCs w:val="40"/>
      <w:u w:val="none"/>
      <w:shd w:fill="auto" w:val="clear"/>
      <w:vertAlign w:val="baseline"/>
    </w:rPr>
  </w:style>
  <w:style w:styleId="Heading2" w:type="paragraph">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80" w:before="280" w:line="240" w:lineRule="auto"/>
      <w:ind w:firstLine="0" w:left="0" w:right="0"/>
      <w:jc w:val="left"/>
    </w:pPr>
    <w:rPr>
      <w:rFonts w:ascii="Play" w:cs="Play" w:eastAsia="Play" w:hAnsi="Play"/>
      <w:b w:val="1"/>
      <w:bCs w:val="1"/>
      <w:i w:val="0"/>
      <w:iCs w:val="0"/>
      <w:smallCaps w:val="0"/>
      <w:strike w:val="0"/>
      <w:color w:val="0f4761"/>
      <w:sz w:val="32"/>
      <w:szCs w:val="32"/>
      <w:u w:val="none"/>
      <w:shd w:fill="auto" w:val="clear"/>
      <w:vertAlign w:val="baseline"/>
    </w:rPr>
  </w:style>
  <w:style w:styleId="Heading3" w:type="paragraph">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50" w:before="220" w:line="240" w:lineRule="auto"/>
      <w:ind w:firstLine="0" w:left="0" w:right="0"/>
      <w:jc w:val="left"/>
    </w:pPr>
    <w:rPr>
      <w:rFonts w:ascii="Aptos" w:cs="Aptos" w:eastAsia="Aptos" w:hAnsi="Aptos"/>
      <w:b w:val="1"/>
      <w:bCs w:val="1"/>
      <w:i w:val="0"/>
      <w:iCs w:val="0"/>
      <w:smallCaps w:val="0"/>
      <w:strike w:val="0"/>
      <w:color w:val="0f4761"/>
      <w:sz w:val="28"/>
      <w:szCs w:val="28"/>
      <w:u w:val="none"/>
      <w:shd w:fill="auto" w:val="clear"/>
      <w:vertAlign w:val="baseline"/>
    </w:rPr>
  </w:style>
  <w:style w:styleId="Heading4" w:type="paragraph">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180" w:line="240" w:lineRule="auto"/>
      <w:ind w:firstLine="0" w:left="0" w:right="0"/>
      <w:jc w:val="left"/>
    </w:pPr>
    <w:rPr>
      <w:rFonts w:ascii="Aptos" w:cs="Aptos" w:eastAsia="Aptos" w:hAnsi="Aptos"/>
      <w:b w:val="1"/>
      <w:bCs w:val="1"/>
      <w:i w:val="1"/>
      <w:iCs w:val="1"/>
      <w:smallCaps w:val="0"/>
      <w:strike w:val="0"/>
      <w:color w:val="0f4761"/>
      <w:sz w:val="24"/>
      <w:szCs w:val="24"/>
      <w:u w:val="none"/>
      <w:shd w:fill="auto" w:val="clear"/>
      <w:vertAlign w:val="baseline"/>
    </w:rPr>
  </w:style>
  <w:style w:styleId="Heading5" w:type="paragraph">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00" w:before="140" w:line="240" w:lineRule="auto"/>
      <w:ind w:firstLine="0" w:left="0" w:right="0"/>
      <w:jc w:val="left"/>
    </w:pPr>
    <w:rPr>
      <w:rFonts w:ascii="Aptos" w:cs="Aptos" w:eastAsia="Aptos" w:hAnsi="Aptos"/>
      <w:b w:val="1"/>
      <w:bCs w:val="1"/>
      <w:i w:val="0"/>
      <w:iCs w:val="0"/>
      <w:smallCaps w:val="0"/>
      <w:strike w:val="0"/>
      <w:color w:val="1e7d8c"/>
      <w:sz w:val="24"/>
      <w:szCs w:val="24"/>
      <w:u w:val="none"/>
      <w:shd w:fill="auto" w:val="clear"/>
      <w:vertAlign w:val="baseline"/>
    </w:rPr>
  </w:style>
  <w:style w:styleId="Heading6" w:type="paragraph">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100" w:line="240" w:lineRule="auto"/>
      <w:ind w:firstLine="0" w:left="0" w:right="0"/>
      <w:jc w:val="left"/>
    </w:pPr>
    <w:rPr>
      <w:rFonts w:ascii="Aptos" w:cs="Aptos" w:eastAsia="Aptos" w:hAnsi="Aptos"/>
      <w:b w:val="0"/>
      <w:bCs w:val="0"/>
      <w:i w:val="1"/>
      <w:iCs w:val="1"/>
      <w:smallCaps w:val="0"/>
      <w:strike w:val="0"/>
      <w:color w:val="595959"/>
      <w:sz w:val="22"/>
      <w:szCs w:val="22"/>
      <w:u w:val="none"/>
      <w:shd w:fill="auto" w:val="clear"/>
      <w:vertAlign w:val="baseline"/>
    </w:rPr>
  </w:style>
  <w:style w:styleId="Title" w:type="paragraph">
    <w:name w:val="Title"/>
    <w:basedOn w:val="Normal"/>
    <w:next w:val="Normal"/>
    <w:pPr>
      <w:keepNext w:val="0"/>
      <w:keepLines w:val="0"/>
      <w:pageBreakBefore w:val="0"/>
      <w:widowControl w:val="1"/>
      <w:pBdr>
        <w:top w:space="0" w:sz="0" w:val="nil"/>
        <w:left w:space="0" w:sz="0" w:val="nil"/>
        <w:bottom w:color="1e7d8c" w:space="4" w:sz="12" w:val="single"/>
        <w:right w:space="0" w:sz="0" w:val="nil"/>
        <w:between w:space="0" w:sz="0" w:val="nil"/>
      </w:pBdr>
      <w:shd w:fill="auto" w:val="clear"/>
      <w:spacing w:after="280" w:before="0" w:line="240" w:lineRule="auto"/>
      <w:ind w:firstLine="0" w:left="0" w:right="0"/>
      <w:jc w:val="center"/>
    </w:pPr>
    <w:rPr>
      <w:rFonts w:ascii="Play" w:cs="Play" w:eastAsia="Play" w:hAnsi="Play"/>
      <w:b w:val="0"/>
      <w:bCs w:val="0"/>
      <w:i w:val="0"/>
      <w:iCs w:val="0"/>
      <w:smallCaps w:val="0"/>
      <w:strike w:val="0"/>
      <w:color w:val="0f4761"/>
      <w:sz w:val="56"/>
      <w:szCs w:val="56"/>
      <w:u w:val="none"/>
      <w:shd w:fill="auto" w:val="clear"/>
      <w:vertAlign w:val="baseline"/>
    </w:rPr>
  </w:style>
  <w:style w:styleId="Subtitle" w:type="paragraph">
    <w:name w:val="Sub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firstLine="0" w:left="0" w:right="0"/>
      <w:jc w:val="center"/>
    </w:pPr>
    <w:rPr>
      <w:rFonts w:ascii="Play" w:cs="Play" w:eastAsia="Play" w:hAnsi="Play"/>
      <w:b w:val="0"/>
      <w:bCs w:val="0"/>
      <w:i w:val="1"/>
      <w:iCs w:val="1"/>
      <w:smallCaps w:val="0"/>
      <w:strike w:val="0"/>
      <w:color w:val="595959"/>
      <w:sz w:val="28"/>
      <w:szCs w:val="28"/>
      <w:u w:val="none"/>
      <w:shd w:fill="auto" w:val="clear"/>
      <w:vertAlign w:val="baseline"/>
    </w:rPr>
  </w:style>
  <w:style w:styleId="Table1" w:type="table">
    <w:basedOn w:val="TableNormal"/>
    <w:tblPr>
      <w:tblStyleRowBandSize w:val="1"/>
      <w:tblStyleColBandSize w:val="1"/>
      <w:tblCellMar>
        <w:top w:type="dxa" w:w="0.0"/>
        <w:left w:type="dxa" w:w="115.0"/>
        <w:bottom w:type="dxa" w:w="0.0"/>
        <w:right w:type="dxa" w:w="115.0"/>
      </w:tblCellMar>
    </w:tblPr>
  </w:style>
  <w:style w:styleId="Table2" w:type="table">
    <w:basedOn w:val="TableNormal"/>
    <w:tblPr>
      <w:tblStyleRowBandSize w:val="1"/>
      <w:tblStyleColBandSize w:val="1"/>
      <w:tblCellMar>
        <w:top w:type="dxa" w:w="0.0"/>
        <w:left w:type="dxa" w:w="115.0"/>
        <w:bottom w:type="dxa" w:w="0.0"/>
        <w:right w:type="dxa" w:w="115.0"/>
      </w:tblCellMar>
    </w:tblPr>
  </w:style>
  <w:style w:styleId="Table3" w:type="table">
    <w:basedOn w:val="TableNormal"/>
    <w:tblPr>
      <w:tblStyleRowBandSize w:val="1"/>
      <w:tblStyleColBandSize w:val="1"/>
      <w:tblCellMar>
        <w:top w:type="dxa" w:w="0.0"/>
        <w:left w:type="dxa" w:w="115.0"/>
        <w:bottom w:type="dxa" w:w="0.0"/>
        <w:right w:type="dxa" w:w="115.0"/>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6" Target="numbering.xml" /><Relationship Type="http://schemas.openxmlformats.org/officeDocument/2006/relationships/styles" Id="rId15" Target="styles.xml" /><Relationship Type="http://schemas.openxmlformats.org/officeDocument/2006/relationships/settings" Id="rId14" Target="settings.xml" /><Relationship Type="http://schemas.openxmlformats.org/officeDocument/2006/relationships/webSettings" Id="rId13" Target="webSettings.xml" /><Relationship Type="http://schemas.openxmlformats.org/officeDocument/2006/relationships/fontTable" Id="rId12" Target="fontTable.xml" /><Relationship Type="http://schemas.openxmlformats.org/officeDocument/2006/relationships/theme" Id="rId11" Target="theme/theme1.xml" /><Relationship Type="http://schemas.openxmlformats.org/officeDocument/2006/relationships/footnotes" Id="rId10" Target="footnotes.xml" /><Relationship Type="http://schemas.openxmlformats.org/officeDocument/2006/relationships/comments" Id="rId9" Target="comments.xml" /><Relationship Id="rId7" Target="header1.xml" Type="http://schemas.openxmlformats.org/officeDocument/2006/relationships/header" /><Relationship Id="rId8" Target="footer1.xml" Type="http://schemas.openxmlformats.org/officeDocument/2006/relationships/footer" /></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2026-08-03T16:18:46Z</dcterms:created>
  <dcterms:modified xsi:type="dcterms:W3CDTF">2026-08-03T16:18:46Z</dcterms:modified>
</cp:coreProperties>
</file>

<file path=docProps/custom.xml><?xml version="1.0" encoding="utf-8"?>
<Properties xmlns="http://schemas.openxmlformats.org/officeDocument/2006/custom-properties" xmlns:vt="http://schemas.openxmlformats.org/officeDocument/2006/docPropsVTypes"/>
</file>