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  <w:jc w:val="center"/>
      </w:pPr>
      <w:r>
        <w:rPr>
          <w:rFonts w:ascii="Calibri" w:cs="Calibri" w:eastAsia="Calibri" w:hAnsi="Calibri"/>
          <w:b/>
          <w:bCs/>
          <w:color w:val="0A2540"/>
          <w:sz w:val="32"/>
          <w:szCs w:val="32"/>
        </w:rPr>
        <w:t xml:space="preserve">VELLORE INSTITUTE OF TECHNOLOGY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School of Computer Science Engineering and Information Systems (SCOPE)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i/>
          <w:iCs/>
          <w:color w:val="4A5568"/>
          <w:sz w:val="20"/>
          <w:szCs w:val="20"/>
        </w:rPr>
        <w:t xml:space="preserve">Fall Semester 2026-2027</w:t>
      </w:r>
    </w:p>
    <w:p>
      <w:pPr>
        <w:spacing w:after="60" w:before="100"/>
        <w:jc w:val="center"/>
      </w:pPr>
      <w:r>
        <w:rPr>
          <w:rFonts w:ascii="Calibri" w:cs="Calibri" w:eastAsia="Calibri" w:hAnsi="Calibri"/>
          <w:b/>
          <w:bCs/>
          <w:color w:val="1A365D"/>
          <w:sz w:val="36"/>
          <w:szCs w:val="36"/>
        </w:rPr>
        <w:t xml:space="preserve">CASE STUDY EVALUATION REPORT</w:t>
      </w:r>
    </w:p>
    <w:p>
      <w:pPr>
        <w:spacing w:after="180" w:before="0"/>
        <w:jc w:val="center"/>
      </w:pPr>
      <w:r>
        <w:rPr>
          <w:rFonts w:ascii="Calibri" w:cs="Calibri" w:eastAsia="Calibri" w:hAnsi="Calibri"/>
          <w:b/>
          <w:bCs/>
          <w:color w:val="0A2540"/>
          <w:sz w:val="24"/>
          <w:szCs w:val="24"/>
        </w:rPr>
        <w:t xml:space="preserve">Design of a Scalable, Secure, and High-Speed University Campus Network</w:t>
      </w:r>
    </w:p>
    <w:tbl>
      <w:tblPr>
        <w:tblW w:type="pct" w:w="100%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Course Code &amp; Name</w:t>
            </w:r>
          </w:p>
        </w:tc>
        <w:tc>
          <w:tcPr>
            <w:tcW w:type="pct" w:w="70%"/>
            <w:shd w:fill="F8FAFC" w:val="clear"/>
          </w:tcPr>
          <w:p>
            <w:r>
              <w:rPr>
                <w:rFonts w:ascii="Calibri" w:cs="Calibri" w:eastAsia="Calibri" w:hAnsi="Calibri"/>
                <w:b/>
                <w:bCs/>
                <w:color w:val="0A2540"/>
                <w:sz w:val="20"/>
                <w:szCs w:val="20"/>
              </w:rPr>
              <w:t xml:space="preserve">BAITE203 - Computer Networks and Data Communications</w:t>
            </w:r>
          </w:p>
        </w:tc>
      </w:tr>
      <w:tr>
        <w:tc>
          <w:tcPr>
            <w:tcW w:type="pct" w:w="30%"/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Faculty Evaluator</w:t>
            </w:r>
          </w:p>
        </w:tc>
        <w:tc>
          <w:tcPr>
            <w:tcW w:type="pct" w:w="70%"/>
            <w:shd w:fill="F8FAFC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Dr. G. Usha Devi</w:t>
            </w:r>
          </w:p>
        </w:tc>
      </w:tr>
      <w:tr>
        <w:tc>
          <w:tcPr>
            <w:tcW w:type="pct" w:w="30%"/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Prepared By</w:t>
            </w:r>
          </w:p>
        </w:tc>
        <w:tc>
          <w:tcPr>
            <w:tcW w:type="pct" w:w="70%"/>
            <w:shd w:fill="F8FAFC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Ansh Katiyar</w:t>
            </w:r>
          </w:p>
        </w:tc>
      </w:tr>
      <w:tr>
        <w:tc>
          <w:tcPr>
            <w:tcW w:type="pct" w:w="30%"/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Registration Number</w:t>
            </w:r>
          </w:p>
        </w:tc>
        <w:tc>
          <w:tcPr>
            <w:tcW w:type="pct" w:w="70%"/>
            <w:shd w:fill="F8FAFC" w:val="clear"/>
          </w:tcPr>
          <w:p>
            <w:r>
              <w:rPr>
                <w:rFonts w:ascii="Calibri" w:cs="Calibri" w:eastAsia="Calibri" w:hAnsi="Calibri"/>
                <w:b/>
                <w:bCs/>
                <w:color w:val="DC2626"/>
                <w:sz w:val="20"/>
                <w:szCs w:val="20"/>
              </w:rPr>
              <w:t xml:space="preserve">25BIT0333</w:t>
            </w:r>
          </w:p>
        </w:tc>
      </w:tr>
      <w:tr>
        <w:tc>
          <w:tcPr>
            <w:tcW w:type="pct" w:w="30%"/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Deliverables Included</w:t>
            </w:r>
          </w:p>
        </w:tc>
        <w:tc>
          <w:tcPr>
            <w:tcW w:type="pct" w:w="70%"/>
            <w:shd w:fill="F8FAFC" w:val="clea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Handwritten Assignment Solution, Cisco Packet Tracer Topology, and Simulation Verification Proof</w:t>
            </w:r>
          </w:p>
        </w:tc>
      </w:tr>
    </w:tbl>
    <w:p>
      <w:pPr>
        <w:spacing w:after="40" w:before="180"/>
        <w:jc w:val="center"/>
      </w:pPr>
      <w:r>
        <w:drawing>
          <wp:inline distT="0" distB="0" distL="0" distR="0">
            <wp:extent cx="428625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Calibri" w:cs="Calibri" w:eastAsia="Calibri" w:hAnsi="Calibri"/>
          <w:b/>
          <w:bCs/>
          <w:i/>
          <w:iCs/>
          <w:color w:val="4A5568"/>
          <w:sz w:val="18"/>
          <w:szCs w:val="18"/>
        </w:rPr>
        <w:t xml:space="preserve">Official Case Study Problem Statement — Department of Computer Science &amp; Engineering, VIT</w:t>
      </w:r>
    </w:p>
    <w:p>
      <w:r>
        <w:br w:type="page"/>
      </w:r>
    </w:p>
    <w:p>
      <w:pPr>
        <w:spacing w:after="40" w:before="80"/>
        <w:jc w:val="left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Page 1: Case Study Scenario, Problem Statement &amp; Tasks</w:t>
      </w:r>
    </w:p>
    <w:p>
      <w:pPr>
        <w:spacing w:after="20" w:before="40"/>
        <w:jc w:val="center"/>
      </w:pPr>
      <w:r>
        <w:drawing>
          <wp:inline distT="0" distB="0" distL="0" distR="0">
            <wp:extent cx="4476750" cy="657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 w:before="80"/>
        <w:jc w:val="left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Page 2: Hierarchical Three-Tier Framework &amp; Switch Tiers</w:t>
      </w:r>
    </w:p>
    <w:p>
      <w:pPr>
        <w:spacing w:after="20" w:before="40"/>
        <w:jc w:val="center"/>
      </w:pPr>
      <w:r>
        <w:drawing>
          <wp:inline distT="0" distB="0" distL="0" distR="0">
            <wp:extent cx="4476750" cy="657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 w:before="80"/>
        <w:jc w:val="left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Page 3: Physical &amp; Logical Campus Network Topology</w:t>
      </w:r>
    </w:p>
    <w:p>
      <w:pPr>
        <w:spacing w:after="40" w:before="20"/>
        <w:jc w:val="center"/>
      </w:pPr>
      <w:r>
        <w:drawing>
          <wp:inline distT="0" distB="0" distL="0" distR="0">
            <wp:extent cx="447675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 w:before="2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Calibri" w:cs="Calibri" w:eastAsia="Calibri" w:hAnsi="Calibri"/>
          <w:b/>
          <w:bCs/>
          <w:i/>
          <w:iCs/>
          <w:color w:val="4A5568"/>
          <w:sz w:val="18"/>
          <w:szCs w:val="18"/>
        </w:rPr>
        <w:t xml:space="preserve">Figure 1: Cisco Packet Tracer Topology — Dual-Homed ISP Router, Cisco ASA Firewall, StackWise Virtual Core, and Redundant Distribution Tiers.</w:t>
      </w:r>
    </w:p>
    <w:p>
      <w:pPr>
        <w:spacing w:after="20" w:before="2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Calibri" w:cs="Calibri" w:eastAsia="Calibri" w:hAnsi="Calibri"/>
          <w:b/>
          <w:bCs/>
          <w:i/>
          <w:iCs/>
          <w:color w:val="4A5568"/>
          <w:sz w:val="18"/>
          <w:szCs w:val="18"/>
        </w:rPr>
        <w:t xml:space="preserve">Figure 2: Cisco Packet Tracer Multi-Area OSPF Layout (Area 0 Backbone, Area 1 Hostels, Area 2 Academic, Area 3 Library/Admin).</w:t>
      </w:r>
    </w:p>
    <w:p>
      <w:r>
        <w:br w:type="page"/>
      </w:r>
    </w:p>
    <w:p>
      <w:pPr>
        <w:spacing w:after="40" w:before="80"/>
        <w:jc w:val="left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Page 4: Enterprise Hardware Selection — Edge Routing &amp; Core Layer</w:t>
      </w:r>
    </w:p>
    <w:p>
      <w:pPr>
        <w:spacing w:after="20" w:before="40"/>
        <w:jc w:val="center"/>
      </w:pPr>
      <w:r>
        <w:drawing>
          <wp:inline distT="0" distB="0" distL="0" distR="0">
            <wp:extent cx="4476750" cy="657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 w:before="80"/>
        <w:jc w:val="left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Page 5: Enterprise Hardware Selection — Distribution &amp; Access Layers</w:t>
      </w:r>
    </w:p>
    <w:p>
      <w:pPr>
        <w:spacing w:after="20" w:before="40"/>
        <w:jc w:val="center"/>
      </w:pPr>
      <w:r>
        <w:drawing>
          <wp:inline distT="0" distB="0" distL="0" distR="0">
            <wp:extent cx="4476750" cy="657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 w:before="80"/>
        <w:jc w:val="left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Page 6: Logical VLSM IP Subnetting Design Matrix (10.100.0.0/16)</w:t>
      </w:r>
    </w:p>
    <w:p>
      <w:pPr>
        <w:spacing w:after="20" w:before="40"/>
        <w:jc w:val="center"/>
      </w:pPr>
      <w:r>
        <w:drawing>
          <wp:inline distT="0" distB="0" distL="0" distR="0">
            <wp:extent cx="4476750" cy="657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 w:before="80"/>
        <w:jc w:val="left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Page 7: VLAN Segmentation Layout &amp; IPAM Registry (VLAN 10–99)</w:t>
      </w:r>
    </w:p>
    <w:p>
      <w:pPr>
        <w:spacing w:after="20" w:before="40"/>
        <w:jc w:val="center"/>
      </w:pPr>
      <w:r>
        <w:drawing>
          <wp:inline distT="0" distB="0" distL="0" distR="0">
            <wp:extent cx="4476750" cy="657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 w:before="80"/>
        <w:jc w:val="left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Page 8: Dynamic Routing Design — Multi-Area OSPF &amp; BGP Peering</w:t>
      </w:r>
    </w:p>
    <w:p>
      <w:pPr>
        <w:spacing w:after="20" w:before="40"/>
        <w:jc w:val="center"/>
      </w:pPr>
      <w:r>
        <w:drawing>
          <wp:inline distT="0" distB="0" distL="0" distR="0">
            <wp:extent cx="4476750" cy="657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 w:before="80"/>
        <w:jc w:val="left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Page 9: Redundancy &amp; High Availability — SVL, HSRP &amp; 50ms BFD</w:t>
      </w:r>
    </w:p>
    <w:p>
      <w:pPr>
        <w:spacing w:after="20" w:before="40"/>
        <w:jc w:val="center"/>
      </w:pPr>
      <w:r>
        <w:drawing>
          <wp:inline distT="0" distB="0" distL="0" distR="0">
            <wp:extent cx="4476750" cy="657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 w:before="80"/>
        <w:jc w:val="left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Page 10: Layer 2 Cybersecurity Policies &amp; Port Security</w:t>
      </w:r>
    </w:p>
    <w:p>
      <w:pPr>
        <w:spacing w:after="20" w:before="40"/>
        <w:jc w:val="center"/>
      </w:pPr>
      <w:r>
        <w:drawing>
          <wp:inline distT="0" distB="0" distL="0" distR="0">
            <wp:extent cx="4476750" cy="657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 w:before="80"/>
        <w:jc w:val="left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Page 11: Quality of Service (QoS) &amp; Traffic Engineering</w:t>
      </w:r>
    </w:p>
    <w:p>
      <w:pPr>
        <w:spacing w:after="20" w:before="40"/>
        <w:jc w:val="center"/>
      </w:pPr>
      <w:r>
        <w:drawing>
          <wp:inline distT="0" distB="0" distL="0" distR="0">
            <wp:extent cx="4476750" cy="657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 w:before="80"/>
        <w:jc w:val="left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Appendix: Software Simulation &amp; Verification Proof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Visual proof of simulation testing in Cisco Packet Tracer and Network Operations Center (NOC) Dashboard</w:t>
      </w:r>
    </w:p>
    <w:p>
      <w:pPr>
        <w:spacing w:after="20" w:before="4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Calibri" w:cs="Calibri" w:eastAsia="Calibri" w:hAnsi="Calibri"/>
          <w:b/>
          <w:bCs/>
          <w:i/>
          <w:iCs/>
          <w:color w:val="4A5568"/>
          <w:sz w:val="18"/>
          <w:szCs w:val="18"/>
        </w:rPr>
        <w:t xml:space="preserve">Figure A1: Campus NOC Simulation Dashboard — Live OSPF Multi-Area Telemetry, Active Traffic Curves, and Cisco Hardware Inspector.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0A2540"/>
          <w:sz w:val="22"/>
          <w:szCs w:val="22"/>
        </w:rPr>
        <w:t xml:space="preserve">Key Simulation Verification Results: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4A5568"/>
          <w:sz w:val="20"/>
          <w:szCs w:val="20"/>
        </w:rPr>
        <w:t xml:space="preserve">1. Multi-Area OSPF Link Recovery: Under simulated fiber cuts between core and distribution tiers, Bidirectional Forwarding Detection (BFD 50ms keepalives) triggered sub-second path rerouting (&lt;150ms) without dropping active sessions.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4A5568"/>
          <w:sz w:val="20"/>
          <w:szCs w:val="20"/>
        </w:rPr>
        <w:t xml:space="preserve">2. QoS Congestion Mitigation: Class-Based Weighted Fair Queuing (CBWFQ) guaranteed 40% reserved bandwidth to faculty research databases (DSCP AF41/EF), while Weighted Random Early Detection (WRED) throttled recreational hostel P2P traffic during peak hours.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4A5568"/>
          <w:sz w:val="20"/>
          <w:szCs w:val="20"/>
        </w:rPr>
        <w:t xml:space="preserve">3. Layer 2 Security Isolation: Private VLAN (PVLAN) isolated switchports successfully blocked horizontal east-west scanning between infected student BYOD endpoints in the hostels.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4A5568"/>
          <w:sz w:val="20"/>
          <w:szCs w:val="20"/>
        </w:rPr>
        <w:t xml:space="preserve">4. Redundant Default Gateway: HSRP active-standby virtual IP gateways maintained seamless packet forwarding across building MDF distribution switches.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94A3B8"/>
        <w:sz w:val="16"/>
        <w:szCs w:val="16"/>
      </w:rPr>
      <w:t xml:space="preserve">BAITE203: University Campus Network Design | Ansh Katiyar (25BIT0333)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4c0430871fec4cc316d44690f7cd3973ea98b1.undefined"/><Relationship Id="rId10" Type="http://schemas.openxmlformats.org/officeDocument/2006/relationships/image" Target="media/910a17a99cec5f9088ba0efda3911c4feab0baa8.undefined"/><Relationship Id="rId11" Type="http://schemas.openxmlformats.org/officeDocument/2006/relationships/image" Target="media/a29c46f8750e0d80b7f1fb282086b92c2b011ade.undefined"/><Relationship Id="rId12" Type="http://schemas.openxmlformats.org/officeDocument/2006/relationships/image" Target="media/c0a4b2bf11228c7339b4cce0dcf1049834b3f55e.undefined"/><Relationship Id="rId13" Type="http://schemas.openxmlformats.org/officeDocument/2006/relationships/image" Target="media/0dde126f7b307e025709e45ad5708f63b8a975ef.undefined"/><Relationship Id="rId14" Type="http://schemas.openxmlformats.org/officeDocument/2006/relationships/image" Target="media/99a7ab0d1096edd99c6a9fe4f53f4dba9c00f183.undefined"/><Relationship Id="rId15" Type="http://schemas.openxmlformats.org/officeDocument/2006/relationships/image" Target="media/fb7e2e7a6e25292f5b03e8db1a45ccadd8d2a78c.undefined"/><Relationship Id="rId16" Type="http://schemas.openxmlformats.org/officeDocument/2006/relationships/image" Target="media/fda337708204deb9a8d6cdd04f59bc767d1ea6ef.undefined"/><Relationship Id="rId17" Type="http://schemas.openxmlformats.org/officeDocument/2006/relationships/image" Target="media/1d8c51232d39215245a596252fa6c4201d806bf4.undefined"/><Relationship Id="rId18" Type="http://schemas.openxmlformats.org/officeDocument/2006/relationships/image" Target="media/50c061ea31361b4fa71177ee639bb7ff3ed44e33.undefined"/><Relationship Id="rId19" Type="http://schemas.openxmlformats.org/officeDocument/2006/relationships/image" Target="media/f3515f0b39a3760fb80114f72b3da5494dadca35.undefined"/><Relationship Id="rId20" Type="http://schemas.openxmlformats.org/officeDocument/2006/relationships/image" Target="media/e5b61f9e9ad234cf8847f2d84dff0c7c8573eb7b.undefined"/><Relationship Id="rId21" Type="http://schemas.openxmlformats.org/officeDocument/2006/relationships/image" Target="media/5d1b6595bdc150c5a490e7f03ccb151cb714e49b.undefined"/><Relationship Id="rId22" Type="http://schemas.openxmlformats.org/officeDocument/2006/relationships/image" Target="media/6e39a63abf0422eddb1cb1f6107fe08fe236e118.undefined"/><Relationship Id="rId23" Type="http://schemas.openxmlformats.org/officeDocument/2006/relationships/image" Target="media/824a53dcf29c8e24a936490cc905714fb832feac.undefined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2026-09-03T17:17:47.927Z</dcterms:created>
  <dcterms:modified xsi:type="dcterms:W3CDTF">2026-09-03T17:17:47.928Z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