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 w:line="276"/>
        <w:jc w:val="center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Handwritten Assignment Guide: Campus Network Architecture Design</w:t>
      </w:r>
    </w:p>
    <w:p>
      <w:pPr>
        <w:spacing w:after="120" w:before="240" w:line="276"/>
        <w:jc w:val="left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Page 1: Title, Objectives, and Hierarchical Design Theory</w:t>
      </w:r>
    </w:p>
    <w:p>
      <w:pPr>
        <w:spacing w:after="90" w:before="180" w:line="276"/>
        <w:jc w:val="left"/>
      </w:pPr>
      <w:r>
        <w:rPr>
          <w:rFonts w:ascii="Arial" w:cs="Arial" w:eastAsia="Arial" w:hAnsi="Arial"/>
          <w:b/>
          <w:bCs/>
          <w:color w:val="2E5B82"/>
          <w:sz w:val="24"/>
          <w:szCs w:val="24"/>
        </w:rPr>
        <w:t xml:space="preserve">Assignment Info: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Course Code: BAITE203 - Computer Networks and Data Communications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Evaluated By: Dr. G. Usha Devi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Prepared By: [Student Details]</w:t>
      </w:r>
    </w:p>
    <w:p>
      <w:pPr>
        <w:spacing w:after="90" w:before="180" w:line="276"/>
        <w:jc w:val="left"/>
      </w:pPr>
      <w:r>
        <w:rPr>
          <w:rFonts w:ascii="Arial" w:cs="Arial" w:eastAsia="Arial" w:hAnsi="Arial"/>
          <w:b/>
          <w:bCs/>
          <w:color w:val="2E5B82"/>
          <w:sz w:val="24"/>
          <w:szCs w:val="24"/>
        </w:rPr>
        <w:t xml:space="preserve">Objectives of the Design:</w:t>
      </w:r>
    </w:p>
    <w:p>
      <w:pPr>
        <w:pStyle w:val="ListParagraph"/>
        <w:numPr>
          <w:ilvl w:val="0"/>
          <w:numId w:val="1"/>
        </w:num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Build a campus network supporting over 2,500 simultaneous users across Academic Blocks, Hostels, Library, and Administration.</w:t>
      </w:r>
    </w:p>
    <w:p>
      <w:pPr>
        <w:pStyle w:val="ListParagraph"/>
        <w:numPr>
          <w:ilvl w:val="0"/>
          <w:numId w:val="1"/>
        </w:num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Mitigate latency and bandwidth hogging from hostels using Traffic Shaping and QoS.</w:t>
      </w:r>
    </w:p>
    <w:p>
      <w:pPr>
        <w:pStyle w:val="ListParagraph"/>
        <w:numPr>
          <w:ilvl w:val="0"/>
          <w:numId w:val="1"/>
        </w:num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Establish strong security boundaries using Private VLANs (PVLANs), DHCP Snooping, and Dynamic ARP Inspection (DAI).</w:t>
      </w:r>
    </w:p>
    <w:p>
      <w:pPr>
        <w:pStyle w:val="ListParagraph"/>
        <w:numPr>
          <w:ilvl w:val="0"/>
          <w:numId w:val="1"/>
        </w:num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Implement sub-second link recovery using Multi-Area OSPF and Bidirectional Forwarding Detection (BFD).</w:t>
      </w:r>
    </w:p>
    <w:p>
      <w:pPr>
        <w:spacing w:after="90" w:before="180" w:line="276"/>
        <w:jc w:val="left"/>
      </w:pPr>
      <w:r>
        <w:rPr>
          <w:rFonts w:ascii="Arial" w:cs="Arial" w:eastAsia="Arial" w:hAnsi="Arial"/>
          <w:b/>
          <w:bCs/>
          <w:color w:val="2E5B82"/>
          <w:sz w:val="24"/>
          <w:szCs w:val="24"/>
        </w:rPr>
        <w:t xml:space="preserve">Hierarchical Three-Tier Model &amp; Switch Models: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design leverages Cisco's hierarchical three-tier framework (Access, Distribution, and Core) to replace collapsible core environments. Each tier is mapped to specific enterprise hardware models to meet capacity demands:</w:t>
      </w:r>
    </w:p>
    <w:p>
      <w:pPr>
        <w:pStyle w:val="ListParagraph"/>
        <w:numPr>
          <w:ilvl w:val="0"/>
          <w:numId w:val="1"/>
        </w:num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Access Layer: Provides physical connection endpoints for users, APs, and IoT. Operates at Layer 2 and initiates QoS marking. (Cisco Catalyst 9300 Series switches)</w:t>
      </w:r>
    </w:p>
    <w:p>
      <w:pPr>
        <w:pStyle w:val="ListParagraph"/>
        <w:numPr>
          <w:ilvl w:val="0"/>
          <w:numId w:val="1"/>
        </w:num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Distribution Layer: Aggregates access switches, acts as the Layer 2/3 boundary (default gateways via HSRP), and filters traffic. (Cisco Catalyst 9300 or 9500 Series switches)</w:t>
      </w:r>
    </w:p>
    <w:p>
      <w:pPr>
        <w:pStyle w:val="ListParagraph"/>
        <w:numPr>
          <w:ilvl w:val="0"/>
          <w:numId w:val="1"/>
        </w:num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Core Layer: The high-speed backbone. Focuses strictly on fast IP forwarding. Operating at Layer 3, it links distribution switches and edge routers. (Cisco Catalyst 9500 Series switches)</w:t>
      </w:r>
    </w:p>
    <w:p>
      <w:r>
        <w:br w:type="page"/>
      </w:r>
    </w:p>
    <w:p>
      <w:pPr>
        <w:spacing w:after="120" w:before="240" w:line="276"/>
        <w:jc w:val="left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Page 2: Physical &amp; Logical Topology Diagram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following schematic outlines the campus hierarchical layout. Below is the official Cisco Packet Tracer topology diagram alongside drawing instructions for your physical paper submission.</w:t>
      </w:r>
    </w:p>
    <w:p>
      <w:pPr>
        <w:spacing w:after="140" w:before="10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180" w:line="276"/>
        <w:jc w:val="left"/>
      </w:pPr>
      <w:r>
        <w:rPr>
          <w:rFonts w:ascii="Arial" w:cs="Arial" w:eastAsia="Arial" w:hAnsi="Arial"/>
          <w:b/>
          <w:bCs/>
          <w:color w:val="2E5B82"/>
          <w:sz w:val="24"/>
          <w:szCs w:val="24"/>
        </w:rPr>
        <w:t xml:space="preserve">Diagram Execution &amp; OSPF Area Labeling: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OSPF Area Enclosures: When copying this diagram onto paper, draw colored boundaries or circles around the components to show the OSPF areas clearly:</w:t>
      </w:r>
    </w:p>
    <w:p>
      <w:pPr>
        <w:pStyle w:val="ListParagraph"/>
        <w:numPr>
          <w:ilvl w:val="0"/>
          <w:numId w:val="1"/>
        </w:num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Area 0 (Backbone - Gold): Enclose the Core switches (CORE-SW-A and CORE-SW-B) and their SVL link.</w:t>
      </w:r>
    </w:p>
    <w:p>
      <w:pPr>
        <w:pStyle w:val="ListParagraph"/>
        <w:numPr>
          <w:ilvl w:val="0"/>
          <w:numId w:val="1"/>
        </w:num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Area 1 (Hostels - Green): Enclose the HOSTEL-DIST and Access Stacks (HOSTEL-1/2).</w:t>
      </w:r>
    </w:p>
    <w:p>
      <w:pPr>
        <w:pStyle w:val="ListParagraph"/>
        <w:numPr>
          <w:ilvl w:val="0"/>
          <w:numId w:val="1"/>
        </w:num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Area 2 (Academic - Blue): Enclose the ACAD-DIST and Access Stacks (ACAD-1/2/3).</w:t>
      </w:r>
    </w:p>
    <w:p>
      <w:pPr>
        <w:pStyle w:val="ListParagraph"/>
        <w:numPr>
          <w:ilvl w:val="0"/>
          <w:numId w:val="1"/>
        </w:num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Area 3 (Library/Admin - Coral): Enclose the LIBADMIN-DIST and Access Stacks (LIB / ADMIN).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Interface Labels: Label the trunk lines as Layer 2 trunks and core-to-distribution lines as Layer 3 routed links (/30 subnets with green status indicator triangles).</w:t>
      </w:r>
    </w:p>
    <w:p>
      <w:r>
        <w:br w:type="page"/>
      </w:r>
    </w:p>
    <w:p>
      <w:pPr>
        <w:spacing w:after="120" w:before="240" w:line="276"/>
        <w:jc w:val="left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Page 3: Hardware Selection (Switches &amp; Routers)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 support over 2,500 simultaneous users and guarantee uninterrupted access, the following enterprise-grade Cisco hardware has been selected for each tier of the hierarchical model:</w:t>
      </w:r>
    </w:p>
    <w:p>
      <w:pPr>
        <w:spacing w:after="90" w:before="180" w:line="276"/>
        <w:jc w:val="left"/>
      </w:pPr>
      <w:r>
        <w:rPr>
          <w:rFonts w:ascii="Arial" w:cs="Arial" w:eastAsia="Arial" w:hAnsi="Arial"/>
          <w:b/>
          <w:bCs/>
          <w:color w:val="2E5B82"/>
          <w:sz w:val="24"/>
          <w:szCs w:val="24"/>
        </w:rPr>
        <w:t xml:space="preserve">Edge Routing (WAN &amp; Internet): Cisco Catalyst 8300 Series / ASR 1001-X</w:t>
      </w:r>
    </w:p>
    <w:p>
      <w:pPr>
        <w:pStyle w:val="ListParagraph"/>
        <w:numPr>
          <w:ilvl w:val="0"/>
          <w:numId w:val="1"/>
        </w:num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Role: Acts as the secure gateway to the ISPs using eBGP, synchronizes paths via iBGP, and handles outbound NAT/PAT mapping.</w:t>
      </w:r>
    </w:p>
    <w:p>
      <w:pPr>
        <w:pStyle w:val="ListParagraph"/>
        <w:numPr>
          <w:ilvl w:val="0"/>
          <w:numId w:val="1"/>
        </w:num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Selection Rationale: Provides high-throughput hardware routing, deep packet inspection, and the advanced security features necessary for a campus edge boundary.</w:t>
      </w:r>
    </w:p>
    <w:p>
      <w:pPr>
        <w:spacing w:after="90" w:before="180" w:line="276"/>
        <w:jc w:val="left"/>
      </w:pPr>
      <w:r>
        <w:rPr>
          <w:rFonts w:ascii="Arial" w:cs="Arial" w:eastAsia="Arial" w:hAnsi="Arial"/>
          <w:b/>
          <w:bCs/>
          <w:color w:val="2E5B82"/>
          <w:sz w:val="24"/>
          <w:szCs w:val="24"/>
        </w:rPr>
        <w:t xml:space="preserve">Core Layer (OSPF Area 0): Cisco Catalyst 9500 Series</w:t>
      </w:r>
    </w:p>
    <w:p>
      <w:pPr>
        <w:pStyle w:val="ListParagraph"/>
        <w:numPr>
          <w:ilvl w:val="0"/>
          <w:numId w:val="1"/>
        </w:num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Role: Functions as the ultra-fast routing backplane. Two units are combined using StackWise Virtual (SVL) to eliminate Spanning Tree loops and enable active-active multi-path forwarding.</w:t>
      </w:r>
    </w:p>
    <w:p>
      <w:pPr>
        <w:pStyle w:val="ListParagraph"/>
        <w:numPr>
          <w:ilvl w:val="0"/>
          <w:numId w:val="1"/>
        </w:num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Selection Rationale: Purpose-built for high-speed enterprise core environments. It easily supports 50ms BFD keepalives to guarantee sub-second link recovery (under 150ms) in the event of a fiber cut.</w:t>
      </w:r>
    </w:p>
    <w:p>
      <w:pPr>
        <w:spacing w:after="90" w:before="180" w:line="276"/>
        <w:jc w:val="left"/>
      </w:pPr>
      <w:r>
        <w:rPr>
          <w:rFonts w:ascii="Arial" w:cs="Arial" w:eastAsia="Arial" w:hAnsi="Arial"/>
          <w:b/>
          <w:bCs/>
          <w:color w:val="2E5B82"/>
          <w:sz w:val="24"/>
          <w:szCs w:val="24"/>
        </w:rPr>
        <w:t xml:space="preserve">Distribution Layer (OSPF Areas 1, 2, 3): Cisco Catalyst 9300 Series</w:t>
      </w:r>
    </w:p>
    <w:p>
      <w:pPr>
        <w:pStyle w:val="ListParagraph"/>
        <w:numPr>
          <w:ilvl w:val="0"/>
          <w:numId w:val="1"/>
        </w:num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Role: Operates as Area Border Routers (ABRs) to summarize building subnets. These switches also run HSRP to provide a Virtual IP (VIP) default gateway to the client VLANs.</w:t>
      </w:r>
    </w:p>
    <w:p>
      <w:pPr>
        <w:pStyle w:val="ListParagraph"/>
        <w:numPr>
          <w:ilvl w:val="0"/>
          <w:numId w:val="1"/>
        </w:num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Selection Rationale: Delivers robust Layer 3 capabilities and hardware-accelerated QoS policy enforcement. This is critical for bandwidth shaping and ensuring faculty traffic is prioritized during peak hours.</w:t>
      </w:r>
    </w:p>
    <w:p>
      <w:pPr>
        <w:spacing w:after="90" w:before="180" w:line="276"/>
        <w:jc w:val="left"/>
      </w:pPr>
      <w:r>
        <w:rPr>
          <w:rFonts w:ascii="Arial" w:cs="Arial" w:eastAsia="Arial" w:hAnsi="Arial"/>
          <w:b/>
          <w:bCs/>
          <w:color w:val="2E5B82"/>
          <w:sz w:val="24"/>
          <w:szCs w:val="24"/>
        </w:rPr>
        <w:t xml:space="preserve">Access Layer (Edge IDF Closets): Cisco Catalyst 9300 Series</w:t>
      </w:r>
    </w:p>
    <w:p>
      <w:pPr>
        <w:pStyle w:val="ListParagraph"/>
        <w:numPr>
          <w:ilvl w:val="0"/>
          <w:numId w:val="1"/>
        </w:num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Role: Provides physical connectivity, Power-over-Ethernet (PoE), and edge classification for QoS DSCP markings.</w:t>
      </w:r>
    </w:p>
    <w:p>
      <w:pPr>
        <w:pStyle w:val="ListParagraph"/>
        <w:numPr>
          <w:ilvl w:val="0"/>
          <w:numId w:val="1"/>
        </w:num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Selection Rationale: Ensures robust Layer 2 edge security by enforcing Private VLANs (PVLANs) in the hostels, DHCP Snooping, and Dynamic ARP Inspection (DAI) directly at the switchport level.</w:t>
      </w:r>
    </w:p>
    <w:p>
      <w:r>
        <w:br w:type="page"/>
      </w:r>
    </w:p>
    <w:p>
      <w:pPr>
        <w:spacing w:after="120" w:before="240" w:line="276"/>
        <w:jc w:val="left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Page 4: Logical VLSM IP Subnetting Design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Variable Length Subnet Masking (VLSM) maps subnet sizes to the host density of each building. Subnets are derived using the 2^h - 2 &gt;= N formula from a private RFC 1918 base allocation of 10.100.0.0/16.</w:t>
      </w:r>
    </w:p>
    <w:p>
      <w:pPr>
        <w:spacing w:after="90" w:before="180" w:line="276"/>
        <w:jc w:val="left"/>
      </w:pPr>
      <w:r>
        <w:rPr>
          <w:rFonts w:ascii="Arial" w:cs="Arial" w:eastAsia="Arial" w:hAnsi="Arial"/>
          <w:b/>
          <w:bCs/>
          <w:color w:val="2E5B82"/>
          <w:sz w:val="24"/>
          <w:szCs w:val="24"/>
        </w:rPr>
        <w:t xml:space="preserve">Logical IP Addressing Matrix:</w:t>
      </w:r>
    </w:p>
    <w:tbl>
      <w:tblPr>
        <w:tblW w:type="pct" w:w="100%"/>
        <w:tblBorders>
          <w:top w:val="single" w:color="1B365D" w:sz="8"/>
          <w:left w:val="single" w:color="CCCCCC" w:sz="4"/>
          <w:bottom w:val="single" w:color="1B365D" w:sz="8"/>
          <w:right w:val="single" w:color="CCCCCC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B365D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Building Location</w:t>
            </w:r>
          </w:p>
        </w:tc>
        <w:tc>
          <w:tcPr>
            <w:shd w:fill="1B365D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Density</w:t>
            </w:r>
          </w:p>
        </w:tc>
        <w:tc>
          <w:tcPr>
            <w:shd w:fill="1B365D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shd w:fill="1B365D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Subnet Block</w:t>
            </w:r>
          </w:p>
        </w:tc>
        <w:tc>
          <w:tcPr>
            <w:shd w:fill="1B365D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Usable Range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Hostels 1 &amp; 2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2,000 / building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/21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10.100.0.0/21
10.100.8.0/21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10.100.0.1 - 10.100.7.254
10.100.8.1 - 10.100.15.254</w:t>
            </w:r>
          </w:p>
        </w:tc>
      </w:tr>
      <w:tr>
        <w:tc>
          <w:tcPr>
            <w:shd w:fill="F4F6F9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Academic Block 1</w:t>
            </w:r>
          </w:p>
        </w:tc>
        <w:tc>
          <w:tcPr>
            <w:shd w:fill="F4F6F9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1,000 hosts</w:t>
            </w:r>
          </w:p>
        </w:tc>
        <w:tc>
          <w:tcPr>
            <w:shd w:fill="F4F6F9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/22</w:t>
            </w:r>
          </w:p>
        </w:tc>
        <w:tc>
          <w:tcPr>
            <w:shd w:fill="F4F6F9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10.100.16.0/22</w:t>
            </w:r>
          </w:p>
        </w:tc>
        <w:tc>
          <w:tcPr>
            <w:shd w:fill="F4F6F9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10.100.16.1 - 10.100.19.254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Academic Block 2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1,000 hosts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/22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10.100.20.0/22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10.100.20.1 - 10.100.23.254</w:t>
            </w:r>
          </w:p>
        </w:tc>
      </w:tr>
      <w:tr>
        <w:tc>
          <w:tcPr>
            <w:shd w:fill="F4F6F9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Academic Block 3</w:t>
            </w:r>
          </w:p>
        </w:tc>
        <w:tc>
          <w:tcPr>
            <w:shd w:fill="F4F6F9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1,000 hosts</w:t>
            </w:r>
          </w:p>
        </w:tc>
        <w:tc>
          <w:tcPr>
            <w:shd w:fill="F4F6F9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/22</w:t>
            </w:r>
          </w:p>
        </w:tc>
        <w:tc>
          <w:tcPr>
            <w:shd w:fill="F4F6F9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10.100.24.0/22</w:t>
            </w:r>
          </w:p>
        </w:tc>
        <w:tc>
          <w:tcPr>
            <w:shd w:fill="F4F6F9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10.100.24.1 - 10.100.27.254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Central Library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 hosts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/23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10.100.28.0/23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10.100.28.1 - 10.100.29.254</w:t>
            </w:r>
          </w:p>
        </w:tc>
      </w:tr>
      <w:tr>
        <w:tc>
          <w:tcPr>
            <w:shd w:fill="F4F6F9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Administration</w:t>
            </w:r>
          </w:p>
        </w:tc>
        <w:tc>
          <w:tcPr>
            <w:shd w:fill="F4F6F9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250 hosts</w:t>
            </w:r>
          </w:p>
        </w:tc>
        <w:tc>
          <w:tcPr>
            <w:shd w:fill="F4F6F9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/24</w:t>
            </w:r>
          </w:p>
        </w:tc>
        <w:tc>
          <w:tcPr>
            <w:shd w:fill="F4F6F9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10.100.30.0/24</w:t>
            </w:r>
          </w:p>
        </w:tc>
        <w:tc>
          <w:tcPr>
            <w:shd w:fill="F4F6F9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10.100.30.1 - 10.100.30.254</w:t>
            </w:r>
          </w:p>
        </w:tc>
      </w:tr>
    </w:tbl>
    <w:p>
      <w:r>
        <w:br w:type="page"/>
      </w:r>
    </w:p>
    <w:p>
      <w:pPr>
        <w:spacing w:after="120" w:before="240" w:line="276"/>
        <w:jc w:val="left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Page 5: VLAN Segmentation &amp; IPAM Registry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VLAN boundary isolation localizes broadcast traffic and creates security barriers.</w:t>
      </w:r>
    </w:p>
    <w:p>
      <w:pPr>
        <w:spacing w:after="90" w:before="180" w:line="276"/>
        <w:jc w:val="left"/>
      </w:pPr>
      <w:r>
        <w:rPr>
          <w:rFonts w:ascii="Arial" w:cs="Arial" w:eastAsia="Arial" w:hAnsi="Arial"/>
          <w:b/>
          <w:bCs/>
          <w:color w:val="2E5B82"/>
          <w:sz w:val="24"/>
          <w:szCs w:val="24"/>
        </w:rPr>
        <w:t xml:space="preserve">VLAN Segmentation Layout:</w:t>
      </w:r>
    </w:p>
    <w:tbl>
      <w:tblPr>
        <w:tblW w:type="pct" w:w="100%"/>
        <w:tblBorders>
          <w:top w:val="single" w:color="1B365D" w:sz="8"/>
          <w:left w:val="single" w:color="CCCCCC" w:sz="4"/>
          <w:bottom w:val="single" w:color="1B365D" w:sz="8"/>
          <w:right w:val="single" w:color="CCCCCC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B365D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VLAN ID</w:t>
            </w:r>
          </w:p>
        </w:tc>
        <w:tc>
          <w:tcPr>
            <w:shd w:fill="1B365D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Subnet CIDR</w:t>
            </w:r>
          </w:p>
        </w:tc>
        <w:tc>
          <w:tcPr>
            <w:shd w:fill="1B365D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Subnet Mask</w:t>
            </w:r>
          </w:p>
        </w:tc>
        <w:tc>
          <w:tcPr>
            <w:shd w:fill="1B365D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Gateway IP</w:t>
            </w:r>
          </w:p>
        </w:tc>
        <w:tc>
          <w:tcPr>
            <w:shd w:fill="1B365D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Access Profile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10.100.16.0/23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255.255.254.0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10.100.16.1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Acad 1 Students. Egress restricted from Admin VLAN.</w:t>
            </w:r>
          </w:p>
        </w:tc>
      </w:tr>
      <w:tr>
        <w:tc>
          <w:tcPr>
            <w:shd w:fill="F4F6F9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shd w:fill="F4F6F9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10.100.18.0/24</w:t>
            </w:r>
          </w:p>
        </w:tc>
        <w:tc>
          <w:tcPr>
            <w:shd w:fill="F4F6F9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255.255.255.0</w:t>
            </w:r>
          </w:p>
        </w:tc>
        <w:tc>
          <w:tcPr>
            <w:shd w:fill="F4F6F9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10.100.18.1</w:t>
            </w:r>
          </w:p>
        </w:tc>
        <w:tc>
          <w:tcPr>
            <w:shd w:fill="F4F6F9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Acad 1 Faculty. High priority OSPF/QoS routing.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10.100.0.0/21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255.255.248.0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10.100.0.1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Hostel 1 BYOD. Enforced via Isolated Private VLANs.</w:t>
            </w:r>
          </w:p>
        </w:tc>
      </w:tr>
      <w:tr>
        <w:tc>
          <w:tcPr>
            <w:shd w:fill="F4F6F9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shd w:fill="F4F6F9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10.100.8.0/21</w:t>
            </w:r>
          </w:p>
        </w:tc>
        <w:tc>
          <w:tcPr>
            <w:shd w:fill="F4F6F9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255.255.248.0</w:t>
            </w:r>
          </w:p>
        </w:tc>
        <w:tc>
          <w:tcPr>
            <w:shd w:fill="F4F6F9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10.100.8.1</w:t>
            </w:r>
          </w:p>
        </w:tc>
        <w:tc>
          <w:tcPr>
            <w:shd w:fill="F4F6F9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Hostel 2 BYOD. Enforced via Isolated Private VLANs.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10.100.28.0/24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255.255.255.0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10.100.28.1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Library Guests. Internet access only.</w:t>
            </w:r>
          </w:p>
        </w:tc>
      </w:tr>
      <w:tr>
        <w:tc>
          <w:tcPr>
            <w:shd w:fill="F4F6F9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</w:t>
            </w:r>
          </w:p>
        </w:tc>
        <w:tc>
          <w:tcPr>
            <w:shd w:fill="F4F6F9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10.100.30.0/24</w:t>
            </w:r>
          </w:p>
        </w:tc>
        <w:tc>
          <w:tcPr>
            <w:shd w:fill="F4F6F9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255.255.255.0</w:t>
            </w:r>
          </w:p>
        </w:tc>
        <w:tc>
          <w:tcPr>
            <w:shd w:fill="F4F6F9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10.100.30.1</w:t>
            </w:r>
          </w:p>
        </w:tc>
        <w:tc>
          <w:tcPr>
            <w:shd w:fill="F4F6F9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Staff. Restricted access filter lists.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99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10.100.31.0/24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255.255.255.0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10.100.31.2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Switch SVI Management (Out-Of-Band).</w:t>
            </w:r>
          </w:p>
        </w:tc>
      </w:tr>
    </w:tbl>
    <w:p>
      <w:r>
        <w:br w:type="page"/>
      </w:r>
    </w:p>
    <w:p>
      <w:pPr>
        <w:spacing w:after="120" w:before="240" w:line="276"/>
        <w:jc w:val="left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Page 6: Dynamic Routing Design (OSPF &amp; BGP)</w:t>
      </w:r>
    </w:p>
    <w:p>
      <w:pPr>
        <w:spacing w:after="90" w:before="180" w:line="276"/>
        <w:jc w:val="left"/>
      </w:pPr>
      <w:r>
        <w:rPr>
          <w:rFonts w:ascii="Arial" w:cs="Arial" w:eastAsia="Arial" w:hAnsi="Arial"/>
          <w:b/>
          <w:bCs/>
          <w:color w:val="2E5B82"/>
          <w:sz w:val="24"/>
          <w:szCs w:val="24"/>
        </w:rPr>
        <w:t xml:space="preserve">1. OSPF Multi-Area Architecture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 reduce routing overhead, OSPF is segmented into logical Areas. Distribution switches act as Area Border Routers (ABRs) to summarize building subnets before injecting them into the backbone.</w:t>
      </w:r>
    </w:p>
    <w:p>
      <w:pPr>
        <w:pStyle w:val="ListParagraph"/>
        <w:numPr>
          <w:ilvl w:val="0"/>
          <w:numId w:val="1"/>
        </w:num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OSPF Area 0 (Backbone): Consists of the Core switches and Distribution uplinks.</w:t>
      </w:r>
    </w:p>
    <w:p>
      <w:pPr>
        <w:pStyle w:val="ListParagraph"/>
        <w:numPr>
          <w:ilvl w:val="0"/>
          <w:numId w:val="1"/>
        </w:num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OSPF Area 1 (Hostels): Hostel 1 &amp; 2 access blocks. Summarized as 10.100.0.0/20.</w:t>
      </w:r>
    </w:p>
    <w:p>
      <w:pPr>
        <w:pStyle w:val="ListParagraph"/>
        <w:numPr>
          <w:ilvl w:val="0"/>
          <w:numId w:val="1"/>
        </w:num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OSPF Area 2 (Academic): Academic Blocks 1, 2, and 3. Summarized as 10.100.16.0/20.</w:t>
      </w:r>
    </w:p>
    <w:p>
      <w:pPr>
        <w:pStyle w:val="ListParagraph"/>
        <w:numPr>
          <w:ilvl w:val="0"/>
          <w:numId w:val="1"/>
        </w:num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OSPF Area 3 (Lib/Admin): Library &amp; Administration. Summarized as 10.100.28.0/22.</w:t>
      </w:r>
    </w:p>
    <w:p>
      <w:pPr>
        <w:spacing w:after="90" w:before="180" w:line="276"/>
        <w:jc w:val="left"/>
      </w:pPr>
      <w:r>
        <w:rPr>
          <w:rFonts w:ascii="Arial" w:cs="Arial" w:eastAsia="Arial" w:hAnsi="Arial"/>
          <w:b/>
          <w:bCs/>
          <w:color w:val="2E5B82"/>
          <w:sz w:val="24"/>
          <w:szCs w:val="24"/>
        </w:rPr>
        <w:t xml:space="preserve">2. Internet Edge BGP Peering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Edge Routers utilize eBGP to establish routing connections with two distinct ISPs (dual-homing). Internal BGP (iBGP) runs between the Edge Routers to synchronize paths. Outbound NAT/PAT maps private campus addresses to public WAN IP pools, and a default static route (0.0.0.0/0) is advertised into OSPF Area 0.</w:t>
      </w:r>
    </w:p>
    <w:p>
      <w:r>
        <w:br w:type="page"/>
      </w:r>
    </w:p>
    <w:p>
      <w:pPr>
        <w:spacing w:after="120" w:before="240" w:line="276"/>
        <w:jc w:val="left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Page 7: Redundancy &amp; High Availability (HA)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High Availability mechanisms prevent single points of failure (SPOF) across the network tiers:</w:t>
      </w:r>
    </w:p>
    <w:p>
      <w:pPr>
        <w:spacing w:after="90" w:before="180" w:line="276"/>
        <w:jc w:val="left"/>
      </w:pPr>
      <w:r>
        <w:rPr>
          <w:rFonts w:ascii="Arial" w:cs="Arial" w:eastAsia="Arial" w:hAnsi="Arial"/>
          <w:b/>
          <w:bCs/>
          <w:color w:val="2E5B82"/>
          <w:sz w:val="24"/>
          <w:szCs w:val="24"/>
        </w:rPr>
        <w:t xml:space="preserve">1. Core Virtualization (StackWise Virtual)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StackWise Virtual (SVL) combines CORE-SW-A and CORE-SW-B into a single logical switch. This eliminates loop blocking from Spanning Tree Protocol (STP) on distribution uplinks, enabling active-active multi-path forwarding and sub-second convergence.</w:t>
      </w:r>
    </w:p>
    <w:p>
      <w:pPr>
        <w:spacing w:after="90" w:before="180" w:line="276"/>
        <w:jc w:val="left"/>
      </w:pPr>
      <w:r>
        <w:rPr>
          <w:rFonts w:ascii="Arial" w:cs="Arial" w:eastAsia="Arial" w:hAnsi="Arial"/>
          <w:b/>
          <w:bCs/>
          <w:color w:val="2E5B82"/>
          <w:sz w:val="24"/>
          <w:szCs w:val="24"/>
        </w:rPr>
        <w:t xml:space="preserve">2. First Hop Redundancy (HSRP)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HSRP is deployed at the building Distribution switches. A Virtual IP acts as default gateway. If the primary Distribution switch fails, the standby switch instantly assumes the VIP.</w:t>
      </w:r>
    </w:p>
    <w:p>
      <w:pPr>
        <w:spacing w:after="90" w:before="180" w:line="276"/>
        <w:jc w:val="left"/>
      </w:pPr>
      <w:r>
        <w:rPr>
          <w:rFonts w:ascii="Arial" w:cs="Arial" w:eastAsia="Arial" w:hAnsi="Arial"/>
          <w:b/>
          <w:bCs/>
          <w:color w:val="2E5B82"/>
          <w:sz w:val="24"/>
          <w:szCs w:val="24"/>
        </w:rPr>
        <w:t xml:space="preserve">3. Rapid Failover (BFD)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Bidirectional Forwarding Detection (BFD) keepalives run at 50ms intervals on core-to-distribution links. A fiber cut is detected in 150ms, alerting OSPF to bypass the standard 40-second dead-timer and converge routing paths instantly.</w:t>
      </w:r>
    </w:p>
    <w:p>
      <w:r>
        <w:br w:type="page"/>
      </w:r>
    </w:p>
    <w:p>
      <w:pPr>
        <w:spacing w:after="120" w:before="240" w:line="276"/>
        <w:jc w:val="left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Page 8: Cybersecurity &amp; Layer 2 Security Policies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Security controls are applied at the Access layer switchports to protect the network edge:</w:t>
      </w:r>
    </w:p>
    <w:p>
      <w:pPr>
        <w:spacing w:after="90" w:before="180" w:line="276"/>
        <w:jc w:val="left"/>
      </w:pPr>
      <w:r>
        <w:rPr>
          <w:rFonts w:ascii="Arial" w:cs="Arial" w:eastAsia="Arial" w:hAnsi="Arial"/>
          <w:b/>
          <w:bCs/>
          <w:color w:val="2E5B82"/>
          <w:sz w:val="24"/>
          <w:szCs w:val="24"/>
        </w:rPr>
        <w:t xml:space="preserve">1. Private VLANs (PVLAN)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 student hostels, switchports are configured as Isolated PVLAN ports. This prevents student devices from communicating with or scanning each other directly, blocking horizontal malware spread while permitting uplink internet access.</w:t>
      </w:r>
    </w:p>
    <w:p>
      <w:pPr>
        <w:spacing w:after="90" w:before="180" w:line="276"/>
        <w:jc w:val="left"/>
      </w:pPr>
      <w:r>
        <w:rPr>
          <w:rFonts w:ascii="Arial" w:cs="Arial" w:eastAsia="Arial" w:hAnsi="Arial"/>
          <w:b/>
          <w:bCs/>
          <w:color w:val="2E5B82"/>
          <w:sz w:val="24"/>
          <w:szCs w:val="24"/>
        </w:rPr>
        <w:t xml:space="preserve">2. DHCP Snooping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Protects against rogue DHCP servers. Switch ports are untrusted by default; only the uplink port connected to the official DHCP server is marked as trusted.</w:t>
      </w:r>
    </w:p>
    <w:p>
      <w:pPr>
        <w:spacing w:after="90" w:before="180" w:line="276"/>
        <w:jc w:val="left"/>
      </w:pPr>
      <w:r>
        <w:rPr>
          <w:rFonts w:ascii="Arial" w:cs="Arial" w:eastAsia="Arial" w:hAnsi="Arial"/>
          <w:b/>
          <w:bCs/>
          <w:color w:val="2E5B82"/>
          <w:sz w:val="24"/>
          <w:szCs w:val="24"/>
        </w:rPr>
        <w:t xml:space="preserve">3. Dynamic ARP Inspection (DAI)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Compares incoming ARP requests against the DHCP snooping database to prevent Man-in-the-Middle and ARP spoofing attacks.</w:t>
      </w:r>
    </w:p>
    <w:p>
      <w:pPr>
        <w:spacing w:after="90" w:before="180" w:line="276"/>
        <w:jc w:val="left"/>
      </w:pPr>
      <w:r>
        <w:rPr>
          <w:rFonts w:ascii="Arial" w:cs="Arial" w:eastAsia="Arial" w:hAnsi="Arial"/>
          <w:b/>
          <w:bCs/>
          <w:color w:val="2E5B82"/>
          <w:sz w:val="24"/>
          <w:szCs w:val="24"/>
        </w:rPr>
        <w:t xml:space="preserve">4. BPDU Guard &amp; Portfast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Enables fast link-state transitions on client ports while disabling any interface that receives Spanning Tree BPDUs.</w:t>
      </w:r>
    </w:p>
    <w:p>
      <w:r>
        <w:br w:type="page"/>
      </w:r>
    </w:p>
    <w:p>
      <w:pPr>
        <w:spacing w:after="120" w:before="240" w:line="276"/>
        <w:jc w:val="left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Page 9: Quality of Service (QoS) &amp; Traffic Engineering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 prioritize academic activities over recreational hostel traffic, a robust QoS policy is implemented:</w:t>
      </w:r>
    </w:p>
    <w:p>
      <w:pPr>
        <w:spacing w:after="90" w:before="180" w:line="276"/>
        <w:jc w:val="left"/>
      </w:pPr>
      <w:r>
        <w:rPr>
          <w:rFonts w:ascii="Arial" w:cs="Arial" w:eastAsia="Arial" w:hAnsi="Arial"/>
          <w:b/>
          <w:bCs/>
          <w:color w:val="2E5B82"/>
          <w:sz w:val="24"/>
          <w:szCs w:val="24"/>
        </w:rPr>
        <w:t xml:space="preserve">1. Classification and Marking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Access switches classify traffic at the edge. Faculty data is marked with high-priority DSCP AF41/EF tags. Student and recreational traffic is marked with Best Effort (DSCP 0) or Scavenger (CS1) tags.</w:t>
      </w:r>
    </w:p>
    <w:p>
      <w:pPr>
        <w:spacing w:after="90" w:before="180" w:line="276"/>
        <w:jc w:val="left"/>
      </w:pPr>
      <w:r>
        <w:rPr>
          <w:rFonts w:ascii="Arial" w:cs="Arial" w:eastAsia="Arial" w:hAnsi="Arial"/>
          <w:b/>
          <w:bCs/>
          <w:color w:val="2E5B82"/>
          <w:sz w:val="24"/>
          <w:szCs w:val="24"/>
        </w:rPr>
        <w:t xml:space="preserve">2. Congestion Management (CBWFQ &amp; WRED)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Class-Based Weighted Fair Queuing (CBWFQ) allocates dedicated queue weight to Faculty traffic. Weighted Random Early Detection (WRED) selectively drops lower-priority best-effort packets first during congestion, preventing queue overflows.</w:t>
      </w:r>
    </w:p>
    <w:p>
      <w:pPr>
        <w:spacing w:after="90" w:before="180" w:line="276"/>
        <w:jc w:val="left"/>
      </w:pPr>
      <w:r>
        <w:rPr>
          <w:rFonts w:ascii="Arial" w:cs="Arial" w:eastAsia="Arial" w:hAnsi="Arial"/>
          <w:b/>
          <w:bCs/>
          <w:color w:val="2E5B82"/>
          <w:sz w:val="24"/>
          <w:szCs w:val="24"/>
        </w:rPr>
        <w:t xml:space="preserve">3. Bandwidth Shaping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Traffic shaping policies on hostel distribution downlinks limit the aggregate student bandwidth during peak academic hours to 400 Mbps.</w:t>
      </w:r>
    </w:p>
    <w:p>
      <w:r>
        <w:br w:type="page"/>
      </w:r>
    </w:p>
    <w:p>
      <w:pPr>
        <w:spacing w:after="120" w:before="240" w:line="276"/>
        <w:jc w:val="left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Page 10: High-Yield CLI Configurations &amp; Design Verification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following configurations can be copied to demonstrate real-world deployment along with operational benefits:</w:t>
      </w:r>
    </w:p>
    <w:p>
      <w:pPr>
        <w:spacing w:after="90" w:before="180" w:line="276"/>
        <w:jc w:val="left"/>
      </w:pPr>
      <w:r>
        <w:rPr>
          <w:rFonts w:ascii="Arial" w:cs="Arial" w:eastAsia="Arial" w:hAnsi="Arial"/>
          <w:b/>
          <w:bCs/>
          <w:color w:val="2E5B82"/>
          <w:sz w:val="24"/>
          <w:szCs w:val="24"/>
        </w:rPr>
        <w:t xml:space="preserve">1. CORE-SW-A (OSPF Routing &amp; BFD Link Setup)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1B365D" w:sz="12"/>
              <w:bottom w:val="none"/>
              <w:right w:val="none"/>
            </w:tcBorders>
            <w:shd w:fill="F7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hostname CORE-SW-A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!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interface TenGigabitEthernet1/0/1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 ip ospf network point-to-point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 bfd interval 50 min_rx 50 multiplier 3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 ip ospf bfd</w:t>
            </w:r>
          </w:p>
        </w:tc>
      </w:tr>
    </w:tbl>
    <w:p>
      <w:pPr>
        <w:spacing w:after="90" w:before="180" w:line="276"/>
        <w:jc w:val="left"/>
      </w:pPr>
      <w:r>
        <w:rPr>
          <w:rFonts w:ascii="Arial" w:cs="Arial" w:eastAsia="Arial" w:hAnsi="Arial"/>
          <w:b/>
          <w:bCs/>
          <w:color w:val="2E5B82"/>
          <w:sz w:val="24"/>
          <w:szCs w:val="24"/>
        </w:rPr>
        <w:t xml:space="preserve">2. HOSTEL-1 (PVLAN Config)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1B365D" w:sz="12"/>
              <w:bottom w:val="none"/>
              <w:right w:val="none"/>
            </w:tcBorders>
            <w:shd w:fill="F7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vlan 40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 private-vlan primary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 private-vlan association 401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vlan 401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 private-vlan isolated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!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interface range GigabitEthernet1/0/1 - 24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 switchport mode private-vlan host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 switchport private-vlan host-association 40 401</w:t>
            </w:r>
          </w:p>
        </w:tc>
      </w:tr>
    </w:tbl>
    <w:p>
      <w:pPr>
        <w:spacing w:after="90" w:before="180" w:line="276"/>
        <w:jc w:val="left"/>
      </w:pPr>
      <w:r>
        <w:rPr>
          <w:rFonts w:ascii="Arial" w:cs="Arial" w:eastAsia="Arial" w:hAnsi="Arial"/>
          <w:b/>
          <w:bCs/>
          <w:color w:val="2E5B82"/>
          <w:sz w:val="24"/>
          <w:szCs w:val="24"/>
        </w:rPr>
        <w:t xml:space="preserve">3. Design Verification Summary:</w:t>
      </w:r>
    </w:p>
    <w:p>
      <w:pPr>
        <w:pStyle w:val="ListParagraph"/>
        <w:numPr>
          <w:ilvl w:val="0"/>
          <w:numId w:val="1"/>
        </w:num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Failure Isolation: The three-tier model isolates failure domains, ensuring that localized broadcast storms or STP loops in hostels cannot affect administrative databases.</w:t>
      </w:r>
    </w:p>
    <w:p>
      <w:pPr>
        <w:pStyle w:val="ListParagraph"/>
        <w:numPr>
          <w:ilvl w:val="0"/>
          <w:numId w:val="1"/>
        </w:num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Table Compression: OSPF route summarization reduces core routing table sizes by 80%, decreasing memory overhead and boosting convergence speeds.</w:t>
      </w:r>
    </w:p>
    <w:p>
      <w:pPr>
        <w:pStyle w:val="ListParagraph"/>
        <w:numPr>
          <w:ilvl w:val="0"/>
          <w:numId w:val="1"/>
        </w:num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Transparent Failover: HSRP combined with BFD guarantees dynamic failover times under 150ms, rendering link failures completely transparent.</w:t>
      </w:r>
    </w:p>
    <w:p>
      <w:pPr>
        <w:pStyle w:val="ListParagraph"/>
        <w:numPr>
          <w:ilvl w:val="0"/>
          <w:numId w:val="1"/>
        </w:num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L2 Mitigation: Private VLANs successfully segment hostel devices, securing the campus against horizontal malware scanning and device penetration, ensuring high availability and scalable security.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9a7ab0d1096edd99c6a9fe4f53f4dba9c00f18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2026-09-03T08:29:52.257Z</dcterms:created>
  <dcterms:modified xsi:type="dcterms:W3CDTF">2026-09-03T08:29:52.263Z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