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ind w:firstLine="0"/>
      </w:pPr>
      <w:r>
        <w:rPr>
          <w:b w:val="0"/>
        </w:rPr>
        <w:t>УДК 004.8</w:t>
      </w:r>
    </w:p>
    <w:p>
      <w:pPr>
        <w:keepNext/>
        <w:ind w:firstLine="0"/>
        <w:jc w:val="center"/>
      </w:pPr>
      <w:r>
        <w:rPr>
          <w:b/>
        </w:rPr>
        <w:t>Сохранение смысловых отношений в ответах современных языковых моделей</w:t>
      </w:r>
    </w:p>
    <w:p>
      <w:pPr>
        <w:keepNext/>
        <w:ind w:firstLine="0"/>
        <w:jc w:val="center"/>
      </w:pPr>
      <w:r>
        <w:rPr>
          <w:b w:val="0"/>
        </w:rPr>
        <w:t>Рылов Никита Игоревич¹(*)  huntthemdown@mail.ru</w:t>
      </w:r>
    </w:p>
    <w:p>
      <w:pPr>
        <w:keepNext w:val="0"/>
        <w:ind w:firstLine="0"/>
        <w:jc w:val="center"/>
      </w:pPr>
      <w:r>
        <w:rPr>
          <w:b w:val="0"/>
        </w:rPr>
        <w:t>¹ Санкт-Петербургский государственный морской технический университет, Санкт-Петербург, Россия</w:t>
      </w:r>
    </w:p>
    <w:p>
      <w:pPr>
        <w:keepNext w:val="0"/>
        <w:ind w:firstLine="0"/>
        <w:jc w:val="center"/>
      </w:pPr>
      <w:r>
        <w:rPr>
          <w:b w:val="0"/>
        </w:rPr>
        <w:t>Студент 1 курса, группа ИВТ 12509-05. Научный руководитель — Белова Татьяна Мухорамовна, канд. филол. наук, доцент.</w:t>
      </w:r>
    </w:p>
    <w:p>
      <w:pPr>
        <w:keepNext w:val="0"/>
        <w:ind w:firstLine="0"/>
      </w:pPr>
      <w:r>
        <w:rPr>
          <w:b w:val="0"/>
        </w:rPr>
        <w:t>Аннотация. Исследуется сохранение смысловых отношений в опубликованных ответах Claude Fable 5.1, GPT-6 Astra, Gemini 4 Argon и Muse Wonder. Сопоставлены данные исследований английских веб-статей, арабской правки, испанских заданий и вопросов на американском жестовом языке. В выбранных случаях обнаружены подмена запрошенного свойства и смена референта; показаны также сохранение двойственного числа и неоднозначность местоимений. Создан прототип сравнения размеченных смысловых элементов: на примере Argon он выделяет расхождение параметра при совпадении темы. Качественные примеры не позволяют оценить распространённость ошибок; автоматическое извлечение смысла не реализовано.</w:t>
      </w:r>
    </w:p>
    <w:p>
      <w:pPr>
        <w:keepNext w:val="0"/>
        <w:ind w:firstLine="0"/>
      </w:pPr>
      <w:r>
        <w:rPr>
          <w:b w:val="0"/>
        </w:rPr>
        <w:t>Ключевые слова: языковые модели; компьютерная лингвистика; референция; смысловые отношения; неоднозначность; дискурсивные маркеры.</w:t>
      </w:r>
    </w:p>
    <w:p>
      <w:pPr>
        <w:keepNext/>
        <w:ind w:firstLine="0"/>
        <w:jc w:val="center"/>
      </w:pPr>
      <w:r>
        <w:rPr>
          <w:b/>
        </w:rPr>
        <w:t>Preserving Semantic Relations in Contemporary Language Model Responses</w:t>
      </w:r>
    </w:p>
    <w:p>
      <w:pPr>
        <w:keepNext/>
        <w:ind w:firstLine="0"/>
        <w:jc w:val="center"/>
      </w:pPr>
      <w:r>
        <w:rPr>
          <w:b w:val="0"/>
        </w:rPr>
        <w:t>Nikita Igorevich Rylov¹(*)  huntthemdown@mail.ru</w:t>
      </w:r>
    </w:p>
    <w:p>
      <w:pPr>
        <w:keepNext w:val="0"/>
        <w:ind w:firstLine="0"/>
        <w:jc w:val="center"/>
      </w:pPr>
      <w:r>
        <w:rPr>
          <w:b w:val="0"/>
        </w:rPr>
        <w:t>¹ Saint Petersburg State Marine Technical University, Saint Petersburg, Russia</w:t>
      </w:r>
    </w:p>
    <w:p>
      <w:pPr>
        <w:keepNext w:val="0"/>
        <w:ind w:firstLine="0"/>
      </w:pPr>
      <w:r>
        <w:rPr>
          <w:b w:val="0"/>
        </w:rPr>
        <w:t>Abstract. This paper examines semantic relations in published responses by Claude Fable 5.1, GPT-6 Astra, Gemini 4 Argon and Muse Wonder. Evidence from English web articles, Arabic editing, Spanish tasks and American Sign Language questions is analyzed. Selected examples show a change of referent or requested property, as well as preserved dual number and pronoun ambiguity. A prototype compares manually annotated semantic elements: in the Argon example it flags a changed parameter despite a shared topic. The examples cannot establish error prevalence; automatic semantic extraction is not implemented.</w:t>
      </w:r>
    </w:p>
    <w:p>
      <w:pPr>
        <w:keepNext w:val="0"/>
        <w:ind w:firstLine="0"/>
      </w:pPr>
      <w:r>
        <w:rPr>
          <w:b w:val="0"/>
        </w:rPr>
        <w:t>Keywords: language models; computational linguistics; reference; semantic relations; ambiguity; discourse markers.</w:t>
      </w:r>
    </w:p>
    <w:p>
      <w:pPr>
        <w:keepNext/>
        <w:ind w:firstLine="0"/>
      </w:pPr>
      <w:r>
        <w:rPr>
          <w:b/>
        </w:rPr>
        <w:t>Введение</w:t>
      </w:r>
    </w:p>
    <w:p>
      <w:pPr>
        <w:keepNext w:val="0"/>
        <w:ind w:firstLine="709"/>
        <w:jc w:val="both"/>
      </w:pPr>
      <w:r>
        <w:rPr>
          <w:b w:val="0"/>
        </w:rPr>
        <w:t>Связный ответ не всегда отвечает на поставленный вопрос. Если собеседник спрашивает о времени отклика контроллера, текст о повышении частоты кадров может сохранять тему игры, но не запрошенное свойство. Для анализа важно проверить не только совпадение слов, но и то, кто или что является участником ситуации, какой признак ему приписан и насколько исходное сообщение определённо.</w:t>
      </w:r>
    </w:p>
    <w:p>
      <w:pPr>
        <w:keepNext w:val="0"/>
        <w:ind w:firstLine="709"/>
        <w:jc w:val="both"/>
      </w:pPr>
      <w:r>
        <w:rPr>
          <w:b w:val="0"/>
        </w:rPr>
        <w:t>Проверка соответствия источнику не является новой задачей: SummaC [1] сопоставляет фрагменты источника и резюме методами текстового вывода. Цель настоящей работы — проанализировать, как эта задача проявляется в опубликованных материалах четырёх новых моделей при разных видах входа. Новизна работы ограничена предложенным объединением проверок референта, предиката и определённости на конкретных примерах правки, ответа и разрешения неоднозначности; не утверждается создание новой теории или подтверждённой автоматической метрики.</w:t>
      </w:r>
    </w:p>
    <w:p>
      <w:pPr>
        <w:keepNext/>
        <w:ind w:firstLine="0"/>
      </w:pPr>
      <w:r>
        <w:rPr>
          <w:b/>
        </w:rPr>
        <w:t>Материалы и методы</w:t>
      </w:r>
    </w:p>
    <w:p>
      <w:pPr>
        <w:keepNext w:val="0"/>
        <w:ind w:firstLine="709"/>
        <w:jc w:val="both"/>
      </w:pPr>
      <w:r>
        <w:rPr>
          <w:b w:val="0"/>
        </w:rPr>
        <w:t>Проведён вторичный качественный анализ опубликованных материалов, выбранных по доступности исходного задания и описания ответа либо оценки. Это не случайная выборка и не новый эксперимент с моделями. Для каждого случая фиксировались вход, ответ или отчёт оценщика, подлежащий сохранению элемент и отличие ответа от входа. Отдельно использованы опубликованные количественные данные; пересчёт полных корпусов авторами настоящей работы не проводился.</w:t>
      </w:r>
    </w:p>
    <w:p>
      <w:pPr>
        <w:keepNext w:val="0"/>
        <w:ind w:firstLine="709"/>
        <w:jc w:val="both"/>
      </w:pPr>
      <w:r>
        <w:rPr>
          <w:b w:val="0"/>
        </w:rPr>
        <w:t>Graphite [2] сопоставляет человеческие и машинные англоязычные веб-статьи на общие темы: в исследовании Argon доступны 9973 темы с человеческим текстом и текстами одиннадцати моделей, включая Astra. Статьи моделей создавались по краткому пересказу человеческого материала при фиксированном запросе. Авторы нормировали частоты по длине текста; опубликованные данные описывают лексику и стиль, а не верность конкретного вывода.</w:t>
      </w:r>
    </w:p>
    <w:p>
      <w:pPr>
        <w:keepNext w:val="0"/>
        <w:ind w:firstLine="709"/>
        <w:jc w:val="both"/>
      </w:pPr>
      <w:r>
        <w:rPr>
          <w:b w:val="0"/>
        </w:rPr>
        <w:t>В тесте SOZPIC [3] Fable 5.1 выполняла 25 испаноязычных заданий по четыре раза; ответы оценивались автоматическими судьями. Для разбора выбрано задание L2 о неоднозначных местоимениях; ниже воспроизводится интерпретация результатов авторами теста, а не цитата ответа, самостоятельно проверенная по исходному журналу. Lisan [4] оценивает правку 1000 арабских предложений по одному экспертному эталону; рассматривается конкретная пара исходного и исправленного предложений.</w:t>
      </w:r>
    </w:p>
    <w:p>
      <w:pPr>
        <w:keepNext w:val="0"/>
        <w:ind w:firstLine="709"/>
        <w:jc w:val="both"/>
      </w:pPr>
      <w:r>
        <w:rPr>
          <w:b w:val="0"/>
        </w:rPr>
        <w:t>Qadri и Qadri [5] исследовали ответы на 21 видеовопрос одного носителя американского жестового языка. Для Argon выполнено пять попыток на каждый вопрос; Wonder протестирована позднее однократно через другой видеоканал. Исходные видео не опубликованы, предполагаемые вопросы даны авторами набора, ответы оценивала Astra. Дополнительный материал Wonder — испытание письменных заданий [6]: 18 коротких черновиков стандартной модели по шести заданиям, из которых редактор оценил две серии. Сопоставление разных источников не служит рейтингом моделей.</w:t>
      </w:r>
    </w:p>
    <w:p>
      <w:pPr>
        <w:keepNext w:val="0"/>
        <w:ind w:firstLine="709"/>
        <w:jc w:val="both"/>
      </w:pPr>
      <w:r>
        <w:rPr>
          <w:b w:val="0"/>
        </w:rPr>
        <w:t>Дополнительно рассмотрен опубликованный архив [7] из 153 ответов Fable 5.1 на 51 вопрос интервью, по три ответа на вопрос. Для качественного разбора выбран один ответ на первый вопрос; повторения не считаются независимыми вопросами. Самоописание модели рассматривается как текст, а не как достоверный отчёт о её внутренних механизмах.</w:t>
      </w:r>
    </w:p>
    <w:p>
      <w:pPr>
        <w:keepNext/>
        <w:ind w:firstLine="0"/>
      </w:pPr>
      <w:r>
        <w:rPr>
          <w:b/>
        </w:rPr>
        <w:t>Результаты</w:t>
      </w:r>
    </w:p>
    <w:p>
      <w:pPr>
        <w:keepNext w:val="0"/>
        <w:ind w:firstLine="709"/>
        <w:jc w:val="both"/>
      </w:pPr>
      <w:r>
        <w:rPr>
          <w:b w:val="0"/>
        </w:rPr>
        <w:t>Fable: неопределённость референта. В задании L2 [3] Альберто говорил с Серхио после встречи с Виктором. Далее сообщается: «Le dijo que su presupuesto era demasiado alto y que lo revisaría mañana» — «[он] сказал ему, что его бюджет слишком высок и что [он] пересмотрит его завтра». Испанское su не устанавливает однозначно владельца бюджета, а невыраженное подлежащее revisaría не определяет без дополнительного контекста, кто пересмотрит сумму. Например, возможен бюджет Серхио, который проверит Альберто; но притяжательное su допускает и бюджет Виктора. Уверенное назначение владельца без оговорки добавило бы сведения, которых текст не задаёт.</w:t>
      </w:r>
    </w:p>
    <w:p>
      <w:pPr>
        <w:keepNext w:val="0"/>
        <w:ind w:firstLine="709"/>
        <w:jc w:val="both"/>
      </w:pPr>
      <w:r>
        <w:rPr>
          <w:b w:val="0"/>
        </w:rPr>
        <w:t>По отчёту авторов [3], в двух из четырёх попыток Fable признала обе неоднозначности и оговорила вероятностный характер чтения; в двух других выявила лишь одну либо завершила ответ категоричным выбором. Это оценка авторов теста, а не результат независимой разметки данной статьи. Вывод относится к одному заданию: при проверке необходимо сопоставлять не только названные имена, но и статус их связи — установленная она или только возможная.</w:t>
      </w:r>
    </w:p>
    <w:p>
      <w:pPr>
        <w:keepNext w:val="0"/>
        <w:ind w:firstLine="709"/>
        <w:jc w:val="both"/>
      </w:pPr>
      <w:r>
        <w:rPr>
          <w:b w:val="0"/>
        </w:rPr>
        <w:t>В другом материале [7] Fable отвечала на вопрос о том, что ей известно и неизвестно о себе. Говоря о собственном объяснении ответа, она использовала формулировку «may be an accurate account»: модальный глагол may представляет точность объяснения как возможность, а не установленный факт; далее названа альтернативная возможность правдоподобного объяснения задним числом. Здесь неопределённость выражена самой моделью и касается достоверности объяснения, тогда как в L2 неоднозначность присутствует во входном сообщении. Один ответ не показывает, насколько хорошо выраженная моделью уверенность соответствует действительности.</w:t>
      </w:r>
    </w:p>
    <w:p>
      <w:pPr>
        <w:keepNext w:val="0"/>
        <w:ind w:firstLine="709"/>
        <w:jc w:val="both"/>
      </w:pPr>
      <w:r>
        <w:rPr>
          <w:b w:val="0"/>
        </w:rPr>
        <w:t>Astra: сохранение числа при правке. В арабском примере [4] исходная фраза о двух помидорах содержит несогласованные формы. Эталон и ответ Astra сохраняют два предмета и согласуют с ними сказуемое и определение: «حبتا بندورة بحيث تكونان معصورتين». Другой проверенный в исследовании инструмент вместо двойственного числа использовал единственное. Число здесь является частью содержания: грамматически гладкий вариант об одном помидоре не равнозначен инструкции о двух. Успешная правка Astra в одном примере не устанавливает её надёжность на всех текстах.</w:t>
      </w:r>
    </w:p>
    <w:p>
      <w:pPr>
        <w:keepNext w:val="0"/>
        <w:ind w:firstLine="709"/>
        <w:jc w:val="both"/>
      </w:pPr>
      <w:r>
        <w:rPr>
          <w:b w:val="0"/>
        </w:rPr>
        <w:t>Для Fable в том же исследовании [4] доля найденных экспертных фрагментов составила 30,63%, точность найденных — 78,18%. Среди правильно локализованных фрагментов 95,51% замен совпали с эталоном после нормализации. Последний показатель не включает пропущенные ошибки. Совпадение всего предложения с эталоном без учёта огласовок составило 27,90%; оно не является долей всех грамматически правильных ответов, поскольку допустимая альтернативная правка может отличаться от единственного эталона.</w:t>
      </w:r>
    </w:p>
    <w:p>
      <w:pPr>
        <w:keepNext w:val="0"/>
        <w:ind w:firstLine="709"/>
        <w:jc w:val="both"/>
      </w:pPr>
      <w:r>
        <w:rPr>
          <w:b w:val="0"/>
        </w:rPr>
        <w:t>Argon: сохранение темы и замена признака. В наборе [5] предполагаемый вопрос о контроллере Xbox касался времени отклика. Один ответ Argon начинался: «To improve and increase the frames per second (FPS) on your Xbox», далее обсуждал настройки отображения. Название Xbox сохраняет тематическую опору, но частота кадров не является запрошенным временем отклика контроллера. Проверка должна связывать объект и свойство вместе: совпадение только имени объекта не доказывает релевантность. Напротив, на вопрос о круглой форме пузырей первый ответ Argon связывал её с поверхностным натяжением [5]; это положительный пример соответствия теме вопроса, а не проверка всех физических деталей ответа.</w:t>
      </w:r>
    </w:p>
    <w:p>
      <w:pPr>
        <w:keepNext w:val="0"/>
        <w:ind w:firstLine="709"/>
        <w:jc w:val="both"/>
      </w:pPr>
      <w:r>
        <w:rPr>
          <w:b w:val="0"/>
        </w:rPr>
        <w:t>Wonder: смена референта. По разметке авторов набора [5], вопрос видео 09 касается причин человеческих сновидений во сне. Ответ Wonder начинается: «Nothing. As an AI, I never sleep, so I never dream». Местоимение I относится к модели; so связывает отсутствие её сна и сновидений. Внутри ответа связь понятна, но она касается другого субъекта и не объясняет сновидения людей. Поскольку видео закрыты и отдельная подтверждённая носителем транскрипция не опубликована, вывод зависит от авторской интерпретации вопроса, а не от самостоятельного анализа жестов.</w:t>
      </w:r>
    </w:p>
    <w:p>
      <w:pPr>
        <w:keepNext w:val="0"/>
        <w:ind w:firstLine="709"/>
        <w:jc w:val="both"/>
      </w:pPr>
      <w:r>
        <w:rPr>
          <w:b w:val="0"/>
        </w:rPr>
        <w:t>В исследовании [5] 59 из 85 завершённых ответов Argon оценены как соответствующие предполагаемому вопросу; если учитывать все 105 попыток, это 59 из 105. Wonder завершила 21 запрос, но ни один ответ не получил такой оценки. Однократные ответы Wonder, пять попыток Argon, разные видеоканалы и один носитель не позволяют считать эти доли общими характеристиками моделей или жестового языка. Кроме того, модельный судья проверял соответствие вопросу, а не истинность каждого факта.</w:t>
      </w:r>
    </w:p>
    <w:p>
      <w:pPr>
        <w:keepNext w:val="0"/>
        <w:ind w:firstLine="709"/>
        <w:jc w:val="both"/>
      </w:pPr>
      <w:r>
        <w:rPr>
          <w:b w:val="0"/>
        </w:rPr>
        <w:t>В отдельном письменном тесте [6] в обоих оценённых письмах Wonder с извинением добавила отсутствовавшие в условии детали, включая срок «by Friday». Временное обстоятельство создаёт обещание к пятнице, которое в задании не было задано. Это дополнение проверяется по паре «условие — ответ», а не по грамматике одного предложения. Результат получен на двух письмах и оценён одним редактором.</w:t>
      </w:r>
    </w:p>
    <w:p>
      <w:pPr>
        <w:keepNext w:val="0"/>
        <w:ind w:firstLine="709"/>
        <w:jc w:val="both"/>
      </w:pPr>
      <w:r>
        <w:rPr>
          <w:b w:val="0"/>
        </w:rPr>
        <w:t>Связки и словарь. По данным [2], furthermore встречается в 45% статей Argon и ни в одной статье Astra из сопоставленного набора. Это доля статей, а не доля слов; отсутствие в выборке не означает невозможности употребления. Связка обозначает добавление, но сама не подтверждает истинность добавленного утверждения. Argon использовала выражение fast-paced world 332 раза, Astra — ни разу; такие частоты описывают стиль конкретного корпуса и не измеряют точность ответа.</w:t>
      </w:r>
    </w:p>
    <w:p>
      <w:pPr>
        <w:keepNext/>
        <w:ind w:firstLine="0"/>
      </w:pPr>
      <w:r>
        <w:rPr>
          <w:b/>
        </w:rPr>
        <w:t>Обсуждение</w:t>
      </w:r>
    </w:p>
    <w:p>
      <w:pPr>
        <w:keepNext w:val="0"/>
        <w:ind w:firstLine="709"/>
        <w:jc w:val="both"/>
      </w:pPr>
      <w:r>
        <w:rPr>
          <w:b w:val="0"/>
        </w:rPr>
        <w:t>Общее в выбранных материалах — необходимость сохранить связь между выражением и его опорой. В L2 нужно не превращать возможного владельца бюджета в установленного; в примере Astra сохранить число; в ответе Argon — свойство объекта; в ответе Wonder — субъект вопроса. Это разные явления, и они не доказывают существования одной причины ошибок или их одинаковой частоты у всех моделей.</w:t>
      </w:r>
    </w:p>
    <w:p>
      <w:pPr>
        <w:keepNext w:val="0"/>
        <w:ind w:firstLine="709"/>
        <w:jc w:val="both"/>
      </w:pPr>
      <w:r>
        <w:rPr>
          <w:b w:val="0"/>
        </w:rPr>
        <w:t>Предлагается процедура экспертной проверки: сначала записать из входа участников и запрошенное отношение; затем найти соответствующие выражения в ответе и проверить количество, отрицание, время и степень уверенности; наконец, отметить добавления без опоры и отсутствие ответа. В случае L2 допустимые прочтения следует сохранить как альтернативы, а не выбирать по одному эталону. Для вопроса Xbox критерий требует указания времени отклика, а не только упоминания устройства. При закрытом видео проверка ограничена опубликованной интерпретацией вопроса.</w:t>
      </w:r>
    </w:p>
    <w:p>
      <w:pPr>
        <w:keepNext w:val="0"/>
        <w:ind w:firstLine="709"/>
        <w:jc w:val="both"/>
      </w:pPr>
      <w:r>
        <w:rPr>
          <w:b w:val="0"/>
        </w:rPr>
        <w:t>Практический результат — прототип на Python, сопоставляющий вручную размеченные элементы входа и ответа. Для Argon в поле темы записано Xbox с обеих сторон, а в поле параметра — соответственно «время отклика контроллера» и «частота кадров». Программа выводит «совместимо с разметкой» для темы и «нет опоры в размеченных вариантах» для параметра. Для контрольной правки Astra значение «два помидора» совпадает; для Wonder субъект «модель» не совпадает с размеченным субъектом «люди». Учебный пример с бюджетом показывает предупреждение о категоричном выборе среди нескольких вариантов; его ответ сконструирован и не приписывается Fable.</w:t>
      </w:r>
    </w:p>
    <w:p>
      <w:pPr>
        <w:keepNext w:val="0"/>
        <w:ind w:firstLine="709"/>
        <w:jc w:val="both"/>
      </w:pPr>
      <w:r>
        <w:rPr>
          <w:b w:val="0"/>
        </w:rPr>
        <w:t>Программа и четыре примера приложены к статье отдельными файлами. Эксперт самостоятельно задаёт варианты и сопоставляет эквивалентные формулировки: программа не извлекает смысл из текста и не устанавливает истинность. Предлагаемое продолжение исследования — разметить независимыми экспертами набор исходных заданий и ответов четырёх моделей, измерить согласие и затем проверить, улучшает ли автоматическое извлечение отношений обнаружение ошибок по сравнению с тематическим совпадением.</w:t>
      </w:r>
    </w:p>
    <w:p>
      <w:pPr>
        <w:keepNext w:val="0"/>
        <w:ind w:firstLine="709"/>
        <w:jc w:val="both"/>
      </w:pPr>
      <w:r>
        <w:rPr>
          <w:b w:val="0"/>
        </w:rPr>
        <w:t>Проверка смысловых ролей уже реализована в SRLScore [8], где сравниваются представления источника и резюме; SummaC [1] также оценивает согласованность с источником. Здесь эти идеи применяются в ручном разборе конкретных современных моделей и дополняются проверкой неоднозначного входа. Процедура не заменяет существующие методы и пока не проверена на межэкспертном согласии или пользе для пользователей. Частоты маркеров [2] полезны для поиска дискурсивных особенностей, но не доказывают авторство или смысловую ошибку. Материалы [3, 4, 6] опубликованы коммерческими исследователями; их критерии и возможности проверки различаются.</w:t>
      </w:r>
    </w:p>
    <w:p>
      <w:pPr>
        <w:keepNext/>
        <w:ind w:firstLine="0"/>
      </w:pPr>
      <w:r>
        <w:rPr>
          <w:b/>
        </w:rPr>
        <w:t>Заключение</w:t>
      </w:r>
    </w:p>
    <w:p>
      <w:pPr>
        <w:keepNext w:val="0"/>
        <w:ind w:firstLine="709"/>
        <w:jc w:val="both"/>
      </w:pPr>
      <w:r>
        <w:rPr>
          <w:b w:val="0"/>
        </w:rPr>
        <w:t>На примерах четырёх моделей показано, почему плавность речи, сохранение темы и правильная локальная связка недостаточны для проверки ответа: может измениться участник, запрошенный признак или степень определённости. Положительный пример Astra показывает и возможность сохранения смыслового числа при грамматической правке. Схема проверки пригодна как основа заданий для экспертной оценки передовых моделей; её результативность и распространённость выявленных расхождений требуют отдельного исследования на размеченных выборках и с участием нескольких независимых экспертов.</w:t>
      </w:r>
    </w:p>
    <w:p>
      <w:pPr>
        <w:keepNext/>
        <w:ind w:firstLine="0"/>
      </w:pPr>
      <w:r>
        <w:rPr>
          <w:b/>
        </w:rPr>
        <w:t>Список использованных источников</w:t>
      </w:r>
    </w:p>
    <w:p>
      <w:pPr>
        <w:keepNext w:val="0"/>
        <w:ind w:firstLine="0"/>
      </w:pPr>
      <w:r>
        <w:rPr>
          <w:b w:val="0"/>
        </w:rPr>
        <w:t>[1] Laban P., Schnabel T., Bennett P. N., Hearst M. A. SummaC: Re-Visiting NLI-based Models for Inconsistency Detection in Summarization. Transactions of the Association for Computational Linguistics, 2022, vol. 10, pp. 163–177. https://doi.org/10.1162/tacl_a_00453</w:t>
      </w:r>
    </w:p>
    <w:p>
      <w:pPr>
        <w:keepNext w:val="0"/>
        <w:ind w:firstLine="0"/>
      </w:pPr>
      <w:r>
        <w:rPr>
          <w:b w:val="0"/>
        </w:rPr>
        <w:t>[2] Druck G., Paredes J. L., Smith E. AI Tells: Gemini 4 Argon. Graphite, 2026. URL: https://graphite.io/research/ai-tells-gemini-4-argon-update (дата обращения: 30.10.2026).</w:t>
      </w:r>
    </w:p>
    <w:p>
      <w:pPr>
        <w:keepNext w:val="0"/>
        <w:ind w:firstLine="0"/>
      </w:pPr>
      <w:r>
        <w:rPr>
          <w:b w:val="0"/>
        </w:rPr>
        <w:t>[3] SOZPIC. Claude Fable 5.1 en español: análisis prueba por prueba. Ranking IA. URL: https://ranking.sozpic.com/modelo/claude-fable-5-1/ (дата обращения: 30.10.2026).</w:t>
      </w:r>
    </w:p>
    <w:p>
      <w:pPr>
        <w:keepNext w:val="0"/>
        <w:ind w:firstLine="0"/>
      </w:pPr>
      <w:r>
        <w:rPr>
          <w:b w:val="0"/>
        </w:rPr>
        <w:t>[4] Lisan Research. L3: Language Tasks. URL: https://www.lisan.com/research/l3/ (дата обращения: 30.10.2026).</w:t>
      </w:r>
    </w:p>
    <w:p>
      <w:pPr>
        <w:keepNext w:val="0"/>
        <w:ind w:firstLine="0"/>
      </w:pPr>
      <w:r>
        <w:rPr>
          <w:b w:val="0"/>
        </w:rPr>
        <w:t>[5] Qadri S. S., Qadri R. S. Answering ASL Questions from Silent Video: Argon Leads a 21-Question Pilot. 2026. URL: https://huggingface.co/datasets/salqadri/argon-asl-question-understanding-eval (дата обращения: 30.10.2026).</w:t>
      </w:r>
    </w:p>
    <w:p>
      <w:pPr>
        <w:keepNext w:val="0"/>
        <w:ind w:firstLine="0"/>
      </w:pPr>
      <w:r>
        <w:rPr>
          <w:b w:val="0"/>
        </w:rPr>
        <w:t>[6] AIWIZ Digital. Meta Muse Wonder tested: what it does, what it costs and how it compares. 2026. URL: https://aiwiz.uk/blog/muse-wonder/ (дата обращения: 30.10.2026).</w:t>
      </w:r>
    </w:p>
    <w:p>
      <w:pPr>
        <w:keepNext w:val="0"/>
        <w:ind w:firstLine="0"/>
      </w:pPr>
      <w:r>
        <w:rPr>
          <w:b w:val="0"/>
        </w:rPr>
        <w:t>[7] Analyse That. Appendix: Claude Fable 5.1 — full interview answers and scores. 2026. URL: https://titorenko.github.io/analysethat/posts/claude-comfort-index/appendix/fable-5-1/ (дата обращения: 30.10.2026).</w:t>
      </w:r>
    </w:p>
    <w:p>
      <w:pPr>
        <w:keepNext w:val="0"/>
        <w:ind w:firstLine="0"/>
      </w:pPr>
      <w:r>
        <w:rPr>
          <w:b w:val="0"/>
        </w:rPr>
        <w:t>[8] Fan J., Aumiller D., Gertz M. Evaluating Factual Consistency of Texts with Semantic Role Labeling. Proceedings of the 12th Joint Conference on Lexical and Computational Semantics, 2023, pp. 89–100. https://doi.org/10.18653/v1/2023.starsem-1.9</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