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A2540"/>
          <w:sz w:val="24"/>
        </w:rPr>
        <w:t>AGÊNCIA NACIONAL DE TRANSPORTES AQUAVIÁRIOS — ANTAQ</w:t>
        <w:br/>
      </w:r>
      <w:r>
        <w:rPr>
          <w:b/>
          <w:color w:val="0284C7"/>
          <w:sz w:val="22"/>
        </w:rPr>
        <w:t>SUPERINTENDÊNCIA DE ESTUDOS E PROJETOS HIDROVIÁRIOS (SEPH)</w:t>
        <w:br/>
        <w:t>GERÊNCIA ESPECIAL DE ESTUDOS (GEE)</w:t>
      </w:r>
    </w:p>
    <w:p>
      <w:pPr>
        <w:spacing w:before="200" w:after="280"/>
        <w:jc w:val="center"/>
      </w:pPr>
      <w:r>
        <w:rPr>
          <w:b/>
          <w:color w:val="0A2540"/>
          <w:sz w:val="36"/>
        </w:rPr>
        <w:t>NOTA TÉCNICA E MANUAL DE IMPLANTAÇÃO DE TI</w:t>
        <w:br/>
        <w:t>Institucionalização do WebGIS Corporativo ANTAQ (v7.9)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FF6FF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0A2540"/>
                <w:sz w:val="22"/>
              </w:rPr>
              <w:t>FICHA DE CONTROLE DO DOCUMENTO — ENVIO VIA SEI À STI/ANTAQ</w:t>
              <w:br/>
            </w:r>
            <w:r>
              <w:rPr>
                <w:color w:val="0F172A"/>
                <w:sz w:val="21"/>
              </w:rPr>
              <w:t>• Unidade Proponente: Gerência Especial de Estudos (GEE) / Superintendência de Estudos e Projetos Hidroviários (SEPH)</w:t>
              <w:br/>
            </w:r>
            <w:r>
              <w:rPr>
                <w:color w:val="0F172A"/>
                <w:sz w:val="21"/>
              </w:rPr>
              <w:t>• Unidade Destinatária: Superintendência de Tecnologia da Informação (STI / ANTAQ) — Brasília/DF</w:t>
              <w:br/>
            </w:r>
            <w:r>
              <w:rPr>
                <w:color w:val="0F172A"/>
                <w:sz w:val="21"/>
              </w:rPr>
              <w:t>• Objeto: Institucionalização, hospedagem e integração de APIs (ANA / PostGIS / SSO / AIS) do WebGIS Corporativo ANTAQ (v7.9)</w:t>
              <w:br/>
            </w:r>
            <w:r>
              <w:rPr>
                <w:color w:val="0F172A"/>
                <w:sz w:val="21"/>
              </w:rPr>
              <w:t>• Artefatos Anexos no Processo SEI: Pacote webgis_atualizacao_dev.zip, dados/config_auth_gee.json, scripts/sincronizar_cotas_ana.py e database/schema_postgis.sql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A2540"/>
          <w:sz w:val="28"/>
        </w:rPr>
        <w:t>1. INTRODUÇÃO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1.1. </w:t>
      </w:r>
      <w:r>
        <w:rPr>
          <w:color w:val="0F172A"/>
          <w:sz w:val="22"/>
        </w:rPr>
        <w:t>Esta Nota Técnica e Manual de Implantação de Tecnologia da Informação foi elaborada no âmbito da Gerência Especial de Estudos (GEE), vinculada à Superintendência de Estudos e Projetos Hidroviários (SEPH) da Agência Nacional de Transportes Aquaviários (ANTAQ), com a finalidade de subsidiar a institucionalização, a hospedagem corporativa e a integração de bancos de dados e APIs governamentais do sistema WebGIS Corporativo ANTAQ (versão 7.9).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1.2. </w:t>
      </w:r>
      <w:r>
        <w:rPr>
          <w:color w:val="0F172A"/>
          <w:sz w:val="22"/>
        </w:rPr>
        <w:t>O objetivo deste documento consiste em apresentar à Superintendência de Tecnologia da Informação (STI/ANTAQ) a arquitetura de software consolidada no sistema, a segregação de perfis de acesso entre usuários gerais e corpo técnico restrito, a memória de cálculo hidrográfica do módulo de Interpolação Batimétrica TIN (Padrão QGIS), Correção por Ábacos das Cartas Náuticas da Marinha do Brasil (CHM/DHN) e Perfil Longitudinal de Canal, bem como o checklist objetivo de configuração em ambiente de produção.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1.3. </w:t>
      </w:r>
      <w:r>
        <w:rPr>
          <w:color w:val="0F172A"/>
          <w:sz w:val="22"/>
        </w:rPr>
        <w:t>Para a concepção, modelagem matemática e validação técnica da plataforma foram considerados os seguintes normativos e referenciais técnicos:</w:t>
      </w:r>
    </w:p>
    <w:p>
      <w:pPr>
        <w:pStyle w:val="ListBullet"/>
        <w:spacing w:before="20" w:after="80" w:line="276" w:lineRule="auto"/>
      </w:pPr>
      <w:r>
        <w:rPr>
          <w:b/>
          <w:color w:val="0A2540"/>
          <w:sz w:val="22"/>
        </w:rPr>
        <w:t xml:space="preserve">Lei nº 10.233/2001: </w:t>
      </w:r>
      <w:r>
        <w:rPr>
          <w:color w:val="0F172A"/>
          <w:sz w:val="22"/>
        </w:rPr>
        <w:t>Dispõe sobre a criação da ANTAQ e estabelece as diretrizes de gestão e regulação da infraestrutura aquaviária nacional;</w:t>
      </w:r>
    </w:p>
    <w:p>
      <w:pPr>
        <w:pStyle w:val="ListBullet"/>
        <w:spacing w:before="20" w:after="80" w:line="276" w:lineRule="auto"/>
      </w:pPr>
      <w:r>
        <w:rPr>
          <w:b/>
          <w:color w:val="0A2540"/>
          <w:sz w:val="22"/>
        </w:rPr>
        <w:t xml:space="preserve">Resolução ANTAQ nº 116/2024 (Regimento Interno): </w:t>
      </w:r>
      <w:r>
        <w:rPr>
          <w:color w:val="0F172A"/>
          <w:sz w:val="22"/>
        </w:rPr>
        <w:t>Define no Art. 58 as atribuições da GEE/SEPH na gerência de regras de negócio aplicadas aos sistemas de informação e bases de dados de geoprocessamento;</w:t>
      </w:r>
    </w:p>
    <w:p>
      <w:pPr>
        <w:pStyle w:val="ListBullet"/>
        <w:spacing w:before="20" w:after="80" w:line="276" w:lineRule="auto"/>
      </w:pPr>
      <w:r>
        <w:rPr>
          <w:b/>
          <w:color w:val="0A2540"/>
          <w:sz w:val="22"/>
        </w:rPr>
        <w:t xml:space="preserve">Agenda Plurianual de Estudos 2025–2028: </w:t>
      </w:r>
      <w:r>
        <w:rPr>
          <w:color w:val="0F172A"/>
          <w:sz w:val="22"/>
        </w:rPr>
        <w:t>Instrumento estratégico de planejamento de estudos hidroviários, portuários e de geointeligência da Agência;</w:t>
      </w:r>
    </w:p>
    <w:p>
      <w:pPr>
        <w:pStyle w:val="ListBullet"/>
        <w:spacing w:before="20" w:after="80" w:line="276" w:lineRule="auto"/>
      </w:pPr>
      <w:r>
        <w:rPr>
          <w:b/>
          <w:color w:val="0A2540"/>
          <w:sz w:val="22"/>
        </w:rPr>
        <w:t xml:space="preserve">Cartas Náuticas CHM/DHN e Telemetria ANA: </w:t>
      </w:r>
      <w:r>
        <w:rPr>
          <w:color w:val="0F172A"/>
          <w:sz w:val="22"/>
        </w:rPr>
        <w:t>Acervo oficial de Cartas Náuticas Raster da Marinha do Brasil (Bacias Amazônica e do Tocantins) e documentação do WebService Hidrometeorológico da Agência Nacional de Águas e Saneamento Básico (ServiceANA.asmx e API HidroWeb v2).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1.4. </w:t>
      </w:r>
      <w:r>
        <w:rPr>
          <w:color w:val="0F172A"/>
          <w:sz w:val="22"/>
        </w:rPr>
        <w:t>Parte-se do entendimento de que a consolidação de uma plataforma própria de geointeligência hidroviária — livre de custos de licenciamento proprietário e diretamente acoplada às bases oficiais da ANTAQ, da Marinha do Brasil e da ANA — elimina retrabalhos operacionais, protege a integridade topológica das bases vetoriais e fortalece a capacidade analítica da Agência na avaliação de calados operacionais, dragagens e outorgas.</w:t>
      </w:r>
    </w:p>
    <w:p>
      <w:pPr>
        <w:keepNext/>
        <w:spacing w:before="320" w:after="120"/>
      </w:pPr>
      <w:r>
        <w:rPr>
          <w:b/>
          <w:color w:val="0A2540"/>
          <w:sz w:val="28"/>
        </w:rPr>
        <w:t>2. O REGIMENTO INTERNO E A ARQUITETURA DO WEBGIS CORPORATIVO (SEPH/GEE)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2.1. </w:t>
      </w:r>
      <w:r>
        <w:rPr>
          <w:color w:val="0F172A"/>
          <w:sz w:val="22"/>
        </w:rPr>
        <w:t>O art. 58 da Resolução ANTAQ nº 116/2024 estabelece que compete à GEE gerenciar as regras de negócio aplicadas aos sistemas de informação e às bases geoespaciais pertinentes às áreas de regulação e estudos. Para materializar essa atribuição sem dependência de licenças comerciais por usuário, o sistema foi construído em arquitetura modular aberta (Leaflet, Turf.js, Chart.js, SQL.js/GeoPackage e HTML5 Canvas GPU), organizada em cinco pacotes independentes: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Pacote / Módulo</w:t>
            </w:r>
          </w:p>
        </w:tc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Arquivos-Fonte Principais</w:t>
            </w:r>
          </w:p>
        </w:tc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Responsabilidade Técnica na Arquitetura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bundle-core.js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security.js, data-adapter.js, data-manager.js, ambiente-manager.js, url-state.js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Sanitização anti-XSS, chaveamento de ambiente (Geral vs. Restrito), estado em URL e conector híbrido PostGIS / ArcGIS REST / WFS / GeoJSON.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bundle-render.js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styler.js, popup-renderer.js, layer-metadata.js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Simbologia cartográfica dinâmica, clusterização portuária, legendas reativas e auditoria de metadados SEI e hash SHA-256 por camada.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bundle-domain.js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filter-manager.js, geo-tools.js, buffer-tool.js, safra-diff-manager.js, batimetria-tin-manager.js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Filtros universais, interseção espacial, geração de buffers, comparação temporal do VEN e Estúdio Batimétrico TIN / Ábaco CHM-ANA / Perfil de Canal.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bundle-analytics.js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analytics.js, matriz-ven-manager.js, analytics-tku.js, ais-api-connector.js, copiloto-ia.js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Gráficos estatísticos VEN/TKU/Portos, Matriz Operacional de Tempos de Viagem, Conector Universal AIS e Assistente Regulatório de IA.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bundle-app.js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tab-manager.js, app.js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Orquestração de inicialização assíncrona, gerenciamento de abas funcionais e atalhos de teclado.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A2540"/>
          <w:sz w:val="28"/>
        </w:rPr>
        <w:t>3. SEGREGAÇÃO DE AMBIENTES (GERAL VS. RESTRITO GEE/SEPH) E ERGONOMIA CARTOGRÁFICA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3.1. </w:t>
      </w:r>
      <w:r>
        <w:rPr>
          <w:color w:val="0F172A"/>
          <w:sz w:val="22"/>
        </w:rPr>
        <w:t>A fim de evitar a duplicação de repositórios ou a manutenção onerosa de dois sistemas distintos, implementou-se no próprio código-fonte uma arquitetura de segregação dinâmica por perfil de acesso, controlada pelo módulo window.AmbienteManager no cabeçalho superior da aplicação, aliada ao posicionamento inteligente anti-colisão dos popups de inspeção de atributos (instalarPosicionamentoInteligentePopups), que desloca automaticamente o mapa para impedir que janelas de atributos abram sobrepostas à barra superior de filtros.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3.2. </w:t>
      </w:r>
      <w:r>
        <w:rPr>
          <w:color w:val="0F172A"/>
          <w:sz w:val="22"/>
        </w:rPr>
        <w:t>No Ambiente Geral — Produção (Oficial ANTAQ), carregado por padrão ao abrir o sistema, todas as camadas oficiais ficam travadas no padrão homologado e permanecem visíveis apenas as ferramentas de consulta geral (Aba Mapa, Aba Análise, Matriz VEN, Medição e Assistente IA). As ferramentas técnicas de uso interno da gerência — incluindo o Estúdio de Nota Técnica &amp; Inteligência IA, a Aba Geo, a Aba AIS e o Estúdio Batimétrico TIN — são automaticamente ocultadas no DOM e bloqueadas contra acionamento externo.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3.3. </w:t>
      </w:r>
      <w:r>
        <w:rPr>
          <w:color w:val="0F172A"/>
          <w:sz w:val="22"/>
        </w:rPr>
        <w:t>No Ambiente Restrito — Homologação (Estudos GEE), ativado mediante autenticação no menu superior, o sistema desbloqueia instantaneamente o Estúdio Interno de Inteligência Geoespacial &amp; Nota Técnica Assistida por IA (Módulo M19), a Aba Geo (Geoprocessamento, Buffer e Comparador de Safras), a Aba AIS com Ingestão de Dados Reais CSV/API (Módulo M20) e o Estúdio Batimétrico TIN (QGIS), Ábaco Marinha/ANA e Perfil de Canal. Ao retornar ao modo Produção, o sistema fecha automaticamente quaisquer painéis restritos abertos e restaura a visão geral.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3.4. </w:t>
      </w:r>
      <w:r>
        <w:rPr>
          <w:color w:val="0F172A"/>
          <w:sz w:val="22"/>
        </w:rPr>
        <w:t>Para garantir a segurança institucional da senha e eliminar vulnerabilidades de exposição no código-fonte ou na tela durante a digitação, o módulo window.AmbienteManager (v2.0 — Módulo M21) implementa três camadas de proteção: (i) Modal Institucional Mascarado (#modal-auth-institucional) em substituição ao prompt nativo do navegador, mantendo os caracteres ocultos (type='password') por padrão contra exposição visual em reuniões, com botão interativo 'Mostrar / Ocultar Senha' (ícone de olho), alerta automático de Caps Lock e botão de Logout explícito; (ii) Derivação Criptográfica Forte via Web Crypto API (PBKDF2-HMAC-SHA256 com 100.000 iterações e Salt exclusivo), sem nenhuma senha em texto puro no código e com política desacoplada no arquivo externo dados/config_auth_gee.json (incluindo gerador integrado de novo hash PBKDF2 para troca de senha pela STI sem edição de código); e (iii) Suporte nativo a Endpoint Backend de Autenticação da STI (/api/v1/auth/homologacao via Active Directory/LDAP/SSO), aliado a bloqueio temporário anti-força bruta após 5 tentativas incorretas e token de sessão assinado com expiração automática (TTL de 4 horas).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Funcionalidade / Módulo</w:t>
            </w:r>
          </w:p>
        </w:tc>
        <w:tc>
          <w:tcPr>
            <w:tcW w:type="dxa" w:w="234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Ambiente Geral (Produção ANTAQ)</w:t>
            </w:r>
          </w:p>
        </w:tc>
        <w:tc>
          <w:tcPr>
            <w:tcW w:type="dxa" w:w="234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Ambiente Restrito (Homologação GEE)</w:t>
            </w:r>
          </w:p>
        </w:tc>
        <w:tc>
          <w:tcPr>
            <w:tcW w:type="dxa" w:w="234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Mecanismo de Proteção no Código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Aba Mapa, Catálogo, Tabela e Popups Anti-Colisão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(Leitura Oficial)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(Leitura + Edição)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Padrão de inicialização + AutoPan anti-colisão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Aba Análise e Matriz Operacional do VEN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Acesso institucional aberto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Estúdio de Nota Técnica SEI &amp; Inteligência IA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Oculto e Bloqueado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(Uso Interno GEE/SEPH)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Classe CSS .restrito-gee + Guard em EstudioNotaTecnicaIA.abrirModal()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Aba Geo (Interseção, Buffer e Diff Safras)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Oculto e Bloqueado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mediante autenticação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Classe CSS .restrito-gee + Hook em TabManager.trocar()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Aba AIS (Monitor, Simulador, Dashboard e CSV/API Real)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Oculto e Bloqueado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mediante autenticação</w:t>
            </w:r>
          </w:p>
        </w:tc>
        <w:tc>
          <w:tcPr>
            <w:tcW w:type="dxa" w:w="2340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Classe CSS .restrito-gee + AISRealIngestor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Estúdio Batimétrico TIN, Ábaco CHM/ANA e Perfil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Oculto e Bloqueado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Liberado mediante autenticação</w:t>
            </w:r>
          </w:p>
        </w:tc>
        <w:tc>
          <w:tcPr>
            <w:tcW w:type="dxa" w:w="234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Classe CSS .restrito-gee + Guard em BatimetriaTINManager.abrirModal()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A2540"/>
          <w:sz w:val="28"/>
        </w:rPr>
        <w:t>4. ESTÚDIO BATIMÉTRICO TIN (QGIS), CATÁLOGO DE ÁBACOS (CHM/DHN) E TELEMETRIA ANA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4.1. </w:t>
      </w:r>
      <w:r>
        <w:rPr>
          <w:color w:val="0F172A"/>
          <w:sz w:val="22"/>
        </w:rPr>
        <w:t>O módulo window.BatimetriaTINManager incorpora ao WebGIS Corporativo ANTAQ a capacidade de processar nuvens de pontos ecobatimétricos brutos (.xyz, .txt, .csv) diretamente no navegador, reproduzindo a parametrização do interpolador TIN do software QGIS (métodos Linear e Clough-Toucher cúbico, controle vinculado entre resolução métrica do pixel X/Y e dimensões da matriz Linhas × Colunas em EPSG:31982 / SIRGAS 2000, e poda topológica exclusiva na borda externa para evitar vazios internos).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4.2. </w:t>
      </w:r>
      <w:r>
        <w:rPr>
          <w:color w:val="0F172A"/>
          <w:sz w:val="22"/>
        </w:rPr>
        <w:t>Para viabilizar a redução de sondagens e a atualização de profundidades conforme o regime hidrológico vigente, foram extraídos e calibrados matematicamente os Ábacos de Correção de Profundidades e quadros maregráficos de 13 séries de Cartas Náuticas oficiais da Marinha do Brasil (CHM/DHN). Em cada carta, dados os níveis atuais do rio H₁ e H₂ nas duas estações da ANA que enquadram o trecho e seus respectivos Níveis de Redução NR₁ e NR₂, calculam-se as correções nos extremos (C₁ = H₁ - NR₁ e C₂ = H₂ - NR₂) e aplica-se a interpolação linear ao longo do eixo de Longitude (λ) ou Latitude (φ):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4.3. </w:t>
      </w:r>
      <w:r>
        <w:rPr>
          <w:color w:val="0F172A"/>
          <w:sz w:val="22"/>
        </w:rPr>
        <w:t>Fórmula Geral Auditada: α(X) = clamp((X - X₁) / (X₂ - X₁), 0, 1)  ⇒  C(X) = C₁ + α(X) · (C₂ - C₁). Quando um arquivo batimétrico é carregado, o algoritmo autoDetectarAbacoPorCoordenadas() calcula o Bounding Box e o centroide (φ̄, λ̄) da nuvem de pontos e seleciona automaticamente a Carta Náutica e o par de estações da ANA que cobrem a área.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23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baco_tin_anta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Figura 1: (A) Auditoria matemática da interpolação linear pelo Ábaco CHM/DHN entre Parintins e Santarém; (B) Perfil longitudinal do talvegue normalizado em profundidade positiva |Z| abaixo do nível d'água (0,0 m) com detecção de bancos rasos.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Trecho Hidrográfico / Rio</w:t>
            </w:r>
          </w:p>
        </w:tc>
        <w:tc>
          <w:tcPr>
            <w:tcW w:type="dxa" w:w="1872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Cartas Náuticas CHM/DHN</w:t>
            </w:r>
          </w:p>
        </w:tc>
        <w:tc>
          <w:tcPr>
            <w:tcW w:type="dxa" w:w="1872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Estação 1 (Código ANA / NR₁)</w:t>
            </w:r>
          </w:p>
        </w:tc>
        <w:tc>
          <w:tcPr>
            <w:tcW w:type="dxa" w:w="1872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Estação 2 (Código ANA / NR₂)</w:t>
            </w:r>
          </w:p>
        </w:tc>
        <w:tc>
          <w:tcPr>
            <w:tcW w:type="dxa" w:w="1872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Eixo e Prova Real Auditada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Amazonas Médio (Manaus)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4030 a 4032A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Manaus (14990000 | NR₁=17,90m)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Itacoatiara (16030000 | NR₂=2,50m)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Amatari: +7,80m vs +7,80m (Erro: 0,00m)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Amazonas Médio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4025 a 4029A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Itacoatiara (16030000 | NR₁=2,50m)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Parintins (16350000 | NR₂=1,00m)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Urucurituba: +8,85m vs +8,85m (Erro: 0,00m)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Amazonas Médio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4020A a 4024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Parintins (16350000 | NR₁=1,00m)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Santarém (17050001 | NR₂=1,10m)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Pta. Maria José: +6,98m vs +7,00m (Erro: 0,02m)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Amazonas Baixo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4011 a 4019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Santarém (17050001 | NR₁=1,10m)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Prainha (18010000 | NR₂=1,00m)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Pta. Peregrino: +4,10m vs +4,10m (Erro: 0,00m)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Foz / Braço Sul Amazonas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4101A/B, 4102A, 204–244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Almeirim (18460000 | NR₁=0,80m)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Santana/Macapá (19150000 | NR₂=0,40m)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Canal Santana: +2,40m (MLWS / Fluviomarinho)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Pará Leste (Belém)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302, 303, 320 e 321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Vila do Conde (31900000 | NR₁=0,30m)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Belém/Mosqueiro (40100 | NR₂=0,20m)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Cotijuba: +2,35m (MLWS · MSL=1,80m)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Pará Oeste (Abaetetuba)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304, 305 e 306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Curralinho (18980000 | NR₁=0,25m)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Vila do Conde (31900000 | NR₂=0,30m)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Passagem Boa Vista: +2,05m (MLWS)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Estreitos de Marajó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4351, 4352 e 4353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Pto. São José/Tajapuru (NR₁=0,10m)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Breves (18950000 | NR₂=0,30m)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Furo Ituquara: +1,25m (Carta 4353)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Solimões Leste (Manaus)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4051 a 4056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Missão I / Tefé (13150003 | NR₁=3,10m)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Manaus (14990000 | NR₂=17,58m)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Codajás: +10,64m vs +10,70m (Erro: 0,06m)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Solimões Médio e Oeste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HS-B1..B6, C1..C15, D1..D11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Tabatinga/Içá (10100000 | NR₁=2,20m)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Fonte Boa/Tefé (12900000 | NR₂=3,10m)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Long. | S. Paulo de Olivença: +7,70m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Madeira Alto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4740 a 4753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Porto Velho (15400000 | NR₁=3,30m)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Humaitá (15630000 | NR₂=10,10m)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Lat. | Pto. Amparo: +6,93m vs +7,00m (Erro: 0,07m)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Madeira Médio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4725 a 4739 (4734)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Humaitá I (15630000 | NR₁=10,10m)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Manicoré I (15700000 | NR₂=12,10m)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Lat. | Bom Intento: +7,88m vs +7,90m (Erro: 0,02m)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Madeira Baixo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4711 a 4724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Manicoré I (15700000 | NR₁=12,10m)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Borba / Foz (15850000 | NR₂=4,50m)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Lat. | Novo Aripuanã: +8,45m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Tapajós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4381A/B, 4382A/B, 4383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Itaituba (17730000 | NR₁=2,00m)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Santarém (17050001 | NR₂=1,50m)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Lat. | Fordlândia: +6,86m vs +6,80m (Erro: 0,06m)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Rio Tocantins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4361 a 4366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Nazaré dos Patos (29650000 | NR₁=2,50m)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Tucuruí (29700000 | NR₂=2,00m)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Lat. | Pederneiras: +5,49m vs +5,50m (Erro: 0,01m)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A2540"/>
          <w:sz w:val="28"/>
        </w:rPr>
        <w:t>5. ESTÚDIO INTERNO DE NOTA TÉCNICA ASSISTIDA POR IA E INGESTÃO DE DADOS AIS REAIS (CSV / API)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5.1. </w:t>
      </w:r>
      <w:r>
        <w:rPr>
          <w:color w:val="0F172A"/>
          <w:sz w:val="22"/>
        </w:rPr>
        <w:t>Para transformar o WebGIS em um ambiente ativo de inteligência regulatória de uso interno da GEE/SEPH, o botão 'Nota Técnica &amp; IA' aciona o módulo window.EstudioNotaTecnicaIA, que permite ao analista selecionar seis eixos de relacionamento espacial em tempo real: (i) Instalações Portuárias × Localização Regional (UF/Município) e distância geodésica à Hidrovia (VEN); (ii) Instalações Portuárias × Corredores de Carga Hidroviária (TKU); (iii) Instalações Portuárias × Poligonais de Terras Indígenas (FUNAI); (iv) Instalações Portuárias × Condição Hidrográfica (Batimetria TIN, Nível de Redução pelo Ábaco da Marinha/ANA e Gargalos de Calado); (v) Embarcações AIS (Reais ou Monitoradas) × Portos e Aderência ao VEN; e (vi) Cruzamento Customizado Livre (Camada A × Camada B por Raio Geodésico, UF e Regime Portuário).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5.2. </w:t>
      </w:r>
      <w:r>
        <w:rPr>
          <w:color w:val="0F172A"/>
          <w:sz w:val="22"/>
        </w:rPr>
        <w:t>A partir do cruzamento topológico processado, o módulo calcula automaticamente os indicadores (KPIs), monta a matriz relacional auditável e redige a minuta completa da Nota Técnica no padrão de numeração do SEI/ANTAQ, permitindo edição direta na tela, cópia formatada para colagem no SEI, exportação em CSV e emissão em folha A4 pronta para PDF.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5.3. </w:t>
      </w:r>
      <w:r>
        <w:rPr>
          <w:color w:val="0F172A"/>
          <w:sz w:val="22"/>
        </w:rPr>
        <w:t>No tocante ao monitoramento de tráfego aquaviário (Aba AIS), além da base cinemática de referência, implementou-se o módulo window.AISRealIngestor ('Fonte Real CSV/API' no cabeçalho da Sala de Controle AIS). Quando a Agência dispuser de dados AIS reais — seja por arquivo bruto (.CSV, .TXT, .JSON ou .GeoJSON) extraído do SISTRAM/Marinha, MarineTraffic ou Spire, seja via conexão de API REST ou streaming WebSocket —, os dados são normalizados segundo o padrão internacional ITU-R M.1371, cruzados espacialmente com os eixos do VEN (classificando cada embarcação em 'dentro da via ≤ 2 km', 'atenção 2–5 km' ou 'fora da via &gt; 5 km') e exibidos nos três modos da Sala AIS (Monitor de Frota, Simulador/Reprodutor de Trilhas na Linha do Tempo e Dashboard de KPIs) e sobre o mapa interativo.</w:t>
      </w:r>
    </w:p>
    <w:p>
      <w:pPr>
        <w:keepNext/>
        <w:spacing w:before="320" w:after="120"/>
      </w:pPr>
      <w:r>
        <w:rPr>
          <w:b/>
          <w:color w:val="0A2540"/>
          <w:sz w:val="28"/>
        </w:rPr>
        <w:t>6. DIAGNÓSTICO DA API DA ANA E CHECKLIST DE IMPLANTAÇÃO PARA A TI (STI/ANTAQ)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6.1. </w:t>
      </w:r>
      <w:r>
        <w:rPr>
          <w:color w:val="0F172A"/>
          <w:sz w:val="22"/>
        </w:rPr>
        <w:t>Durante os testes de integração hidrométrica, identificou-se por que chamadas HTTP disparadas diretamente do navegador web (Front-end) para o domínio governamental da ANA (telemetriaws1.ana.gov.br) sofrem bloqueio no cliente: (i) o servidor da ANA não emite o cabeçalho CORS Access-Control-Allow-Origin: *, levando navegadores modernos a bloquear a leitura direta do XML; e (ii) o Firewall de Aplicação Web (WAF) governamental bloqueia proxies públicos externos e exige autenticação OAuth2/JWT na nova API HidroWeb v2.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6.2. </w:t>
      </w:r>
      <w:r>
        <w:rPr>
          <w:color w:val="0F172A"/>
          <w:sz w:val="22"/>
        </w:rPr>
        <w:t>Para solucionar definitivamente essa limitação sem onerar a infraestrutura, foi desenvolvido e integrado ao pacote o script Python de backend scripts/sincronizar_cotas_ana.py. Executado fora do navegador (via servidor ou agendamento cron), o script não sofre restrição de CORS, consulta as operações DadosHidrometeorologicosGerais e DadosHidrometeorologicos da ANA, converte as leituras de centímetros para metros e grava o arquivo dados/cotas_ana_cache.json, que é lido instantaneamente pelo WebGIS.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6.3. </w:t>
      </w:r>
      <w:r>
        <w:rPr>
          <w:color w:val="0F172A"/>
          <w:sz w:val="22"/>
        </w:rPr>
        <w:t>A tabela a seguir consolida o Checklist Executivo dos quatro pontos de configuração sob responsabilidade da STI/ANTAQ para a entrada em produção institucional: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Item de Infraestrutura STI</w:t>
            </w:r>
          </w:p>
        </w:tc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Artefato Pronto no Pacote</w:t>
            </w:r>
          </w:p>
        </w:tc>
        <w:tc>
          <w:tcPr>
            <w:tcW w:type="dxa" w:w="3120"/>
            <w:vAlign w:val="center"/>
            <w:shd w:fill="0A2540"/>
          </w:tcPr>
          <w:p>
            <w:pPr>
              <w:keepNext/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Ação Solicitada à Equipe de TI da ANTAQ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1. Sincronização de Telemetria ANA (Sem Bloqueio CORS)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scripts/sincronizar_cotas_ana.py e dados/cotas_ana_cache.json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Agendar a execução de python3 scripts/sincronizar_cotas_ana.py no servidor (Cron / Airflow a cada 1 hora) ou configurar rota de Proxy Reverso no Nginx/API Gateway (/api/v1/ana) apontando para o WebService da ANA.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2. Autenticação Institucional Blindada (PBKDF2 + SSO STI)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js/core/ambiente-manager.js (v2.0) e dados/config_auth_gee.json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Opcionalmente ativar usarEndpointSTISeDisponivel: true em dados/config_auth_gee.json apontando para o Active Directory (LDAP) / Login Único gov.br (/api/v1/auth/homologacao), ou rotacionar a chave institucional pelo Gerador PBKDF2-HMAC-SHA256 (100.000 iterações + Salt) sem tocar no código-fonte.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3. Banco de Dados Geoespacial Corporativo (PostGIS / ArcGIS)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database/schema_postgis.sql e js/core/data-adapter.js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 w:line="259" w:lineRule="auto"/>
            </w:pPr>
            <w:r>
              <w:rPr>
                <w:color w:val="0F172A"/>
                <w:sz w:val="20"/>
              </w:rPr>
              <w:t>Executar o script database/schema_postgis.sql em instância PostgreSQL 16+ com PostGIS 3.4+ (ou apontar para o FeatureServer do ArcGIS Enterprise via DataAdapter.configurarFonte()), mantendo o fallback GeoJSON ativo.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b/>
                <w:color w:val="0F172A"/>
                <w:sz w:val="20"/>
              </w:rPr>
              <w:t>4. Conector de Rastreamento AIS em Tempo Real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js/io/ais-api-connector.js e função SQL ais.fn_ingerir_lote_ais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 w:line="259" w:lineRule="auto"/>
            </w:pPr>
            <w:r>
              <w:rPr>
                <w:color w:val="0F172A"/>
                <w:sz w:val="20"/>
              </w:rPr>
              <w:t>Quando disponibilizado o token institucional do acordo Marinha/SISTRAM ou fornecedor comercial, parametrizar a URL e chave de API em AISAPIConnector.configurar().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A2540"/>
          <w:sz w:val="28"/>
        </w:rPr>
        <w:t>7. CONCLUSÕES E RECOMENDAÇÕES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7.1. </w:t>
      </w:r>
      <w:r>
        <w:rPr>
          <w:color w:val="0F172A"/>
          <w:sz w:val="22"/>
        </w:rPr>
        <w:t>A análise técnica demonstra que o WebGIS Corporativo ANTAQ (v7.9) encontra-se maduro, validado matematicamente frente às Cartas Náuticas oficiais do CHM/DHN e integralmente alinhado às competências estabelecidas pelo art. 58 da Resolução ANTAQ nº 116/2024 e à Agenda Plurianual de Estudos 2025–2028.</w:t>
      </w:r>
    </w:p>
    <w:p>
      <w:pPr>
        <w:spacing w:before="40" w:after="140" w:line="276" w:lineRule="auto"/>
        <w:jc w:val="both"/>
      </w:pPr>
      <w:r>
        <w:rPr>
          <w:b/>
          <w:color w:val="0A2540"/>
          <w:sz w:val="22"/>
        </w:rPr>
        <w:t xml:space="preserve">7.2. </w:t>
      </w:r>
      <w:r>
        <w:rPr>
          <w:color w:val="0F172A"/>
          <w:sz w:val="22"/>
        </w:rPr>
        <w:t>Recomenda-se o encaminhamento deste Dossiê Técnico e do pacote de código-fonte consolidado (webgis_atualizacao_dev.zip) à Superintendência de Tecnologia da Informação (STI/ANTAQ), via Sistema Eletrônico de Informações (SEI), para provisionamento da hospedagem institucional e configuração dos quatro conectores descritos na Seção 6.</w:t>
      </w:r>
    </w:p>
    <w:p>
      <w:pPr>
        <w:keepNext/>
        <w:spacing w:before="320" w:after="120"/>
      </w:pPr>
      <w:r>
        <w:rPr>
          <w:b/>
          <w:color w:val="0A2540"/>
          <w:sz w:val="28"/>
        </w:rPr>
        <w:t>8. REFERÊNCIAS CITADAS</w:t>
      </w:r>
    </w:p>
    <w:p>
      <w:pPr>
        <w:keepNext/>
        <w:spacing w:before="20" w:after="80"/>
      </w:pPr>
      <w:r>
        <w:rPr>
          <w:color w:val="0F172A"/>
          <w:sz w:val="21"/>
        </w:rPr>
        <w:t>1. BRASIL. Lei nº 10.233, de 5 de junho de 2001. Dispõe sobre a reestruturação dos transportes aquaviário e terrestre, cria o CONIT, a ANTT, a ANTAQ e o DNIT. Disponível em: https://www.planalto.gov.br/ccivil_03/leis/leis_2001/l10233.htm</w:t>
      </w:r>
    </w:p>
    <w:p>
      <w:pPr>
        <w:keepNext/>
        <w:spacing w:before="20" w:after="80"/>
      </w:pPr>
      <w:r>
        <w:rPr>
          <w:color w:val="0F172A"/>
          <w:sz w:val="21"/>
        </w:rPr>
        <w:t>2. ANTAQ. Resolução ANTAQ nº 116/2024 (Regimento Interno da ANTAQ — Art. 58: Competências da Gerência Especial de Estudos — GEE/SEPH). Disponível em: https://sophia.antaq.gov.br/Terminal/acervo/detalhe/37131</w:t>
      </w:r>
    </w:p>
    <w:p>
      <w:pPr>
        <w:keepNext/>
        <w:spacing w:before="20" w:after="80"/>
      </w:pPr>
      <w:r>
        <w:rPr>
          <w:color w:val="0F172A"/>
          <w:sz w:val="21"/>
        </w:rPr>
        <w:t>3. ANTAQ. Agenda Plurianual de Estudos da ANTAQ 2025–2028. Brasília: ANTAQ/SEPH/GEE. Disponível em: https://www.gov.br/antaq/pt-br/central-de-conteudos/estudos-e-pesquisas-da-antaq-1/agenda-de-estudos-2025-2028</w:t>
      </w:r>
    </w:p>
    <w:p>
      <w:pPr>
        <w:keepNext/>
        <w:spacing w:before="20" w:after="80"/>
      </w:pPr>
      <w:r>
        <w:rPr>
          <w:color w:val="0F172A"/>
          <w:sz w:val="21"/>
        </w:rPr>
        <w:t>4. MARINHA DO BRASIL. Diretoria de Hidrografia e Navegação (DHN) / Centro de Hidrografia da Marinha (CHM). Cartas Náuticas Fluviais e Fluviomarinhas (Séries 300, 4000, 4100, 4350, 4360, 4380, 4700 e HS).</w:t>
      </w:r>
    </w:p>
    <w:p>
      <w:pPr>
        <w:keepNext/>
        <w:spacing w:before="20" w:after="80"/>
      </w:pPr>
      <w:r>
        <w:rPr>
          <w:color w:val="0F172A"/>
          <w:sz w:val="21"/>
        </w:rPr>
        <w:t>5. AGÊNCIA NACIONAL DE ÁGUAS E SANEAMENTO BÁSICO (ANA). WebService de Estações Telemétricas (ServiceANA.asmx — DadosHidrometeorologicos e HidroSerieHistorica). Disponível em: https://dadosabertos.ana.gov.br/documents/016f04c3eba642879bc23a0b9c09fa2f</w:t>
      </w:r>
    </w:p>
    <w:p>
      <w:pPr>
        <w:keepNext/>
        <w:spacing w:before="280" w:after="80"/>
        <w:jc w:val="center"/>
      </w:pPr>
      <w:r>
        <w:rPr>
          <w:color w:val="0F172A"/>
          <w:sz w:val="22"/>
        </w:rPr>
        <w:t>Brasília/DF, 14 de outubro de 2026.</w:t>
        <w:br/>
        <w:br/>
      </w:r>
      <w:r>
        <w:rPr>
          <w:b/>
          <w:color w:val="0A2540"/>
          <w:sz w:val="22"/>
        </w:rPr>
        <w:t>_____________________________________________________</w:t>
        <w:br/>
        <w:t>Gerência Especial de Estudos — GEE</w:t>
        <w:br/>
        <w:t>Superintendência de Estudos e Projetos Hidroviários — SEPH / ANTAQ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9"/>
      </w:rPr>
      <w:t>ANTAQ • SEPH / GEE — Nota Técnica e Dossiê de Implantação de TI (WebGIS Corporativo v7.8)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