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DESARROLLO DE LAS PREGUNTAS GUÍA</w:t>
      </w:r>
    </w:p>
    <w:p>
      <w:pPr>
        <w:spacing w:after="40"/>
        <w:jc w:val="center"/>
      </w:pPr>
      <w:r>
        <w:rPr>
          <w:rFonts w:ascii="Calibri" w:cs="Calibri" w:eastAsia="Calibri" w:hAnsi="Calibri"/>
          <w:color w:val="404040"/>
          <w:sz w:val="24"/>
          <w:szCs w:val="24"/>
        </w:rPr>
        <w:t xml:space="preserve">Trabajo Final — Red Hat System Administration I (Linux Red Hat)</w:t>
      </w:r>
    </w:p>
    <w:p>
      <w:pPr>
        <w:pBdr>
          <w:bottom w:val="single" w:color="1F4E79" w:sz="12" w:space="8"/>
        </w:pBdr>
        <w:spacing w:after="320"/>
        <w:jc w:val="center"/>
      </w:pPr>
      <w:r>
        <w:rPr>
          <w:rFonts w:ascii="Calibri" w:cs="Calibri" w:eastAsia="Calibri" w:hAnsi="Calibri"/>
          <w:i/>
          <w:iCs/>
          <w:color w:val="404040"/>
          <w:sz w:val="22"/>
          <w:szCs w:val="22"/>
        </w:rPr>
        <w:t xml:space="preserve">Caso práctico: Wanda TI — Auditoría de directorios de /home</w:t>
      </w:r>
    </w:p>
    <w:p>
      <w:pPr>
        <w:spacing w:after="140" w:line="300"/>
        <w:jc w:val="both"/>
      </w:pPr>
      <w:r>
        <w:rPr>
          <w:rFonts w:ascii="Calibri" w:cs="Calibri" w:eastAsia="Calibri" w:hAnsi="Calibri"/>
          <w:b w:val="false"/>
          <w:bCs w:val="false"/>
          <w:i w:val="false"/>
          <w:iCs w:val="false"/>
          <w:sz w:val="22"/>
          <w:szCs w:val="22"/>
        </w:rPr>
        <w:t xml:space="preserve">El presente documento desarrolla las cinco preguntas guía planteadas en el trabajo final. Cada respuesta fundamenta una decisión concreta de diseño del script auditoria_home.sh, desarrollado para que los administradores de sistema de la empresa Wanda TI obtengan información detallada de los directorios contenidos en /home.</w:t>
      </w:r>
    </w:p>
    <w:p>
      <w:pPr>
        <w:pStyle w:val="Heading1"/>
        <w:spacing w:after="180" w:before="320"/>
      </w:pPr>
      <w:r>
        <w:rPr>
          <w:rFonts w:ascii="Calibri" w:cs="Calibri" w:eastAsia="Calibri" w:hAnsi="Calibri"/>
          <w:b/>
          <w:bCs/>
          <w:color w:val="1F4E79"/>
          <w:sz w:val="30"/>
          <w:szCs w:val="30"/>
        </w:rPr>
        <w:t xml:space="preserve">Pregunta 1</w:t>
      </w:r>
    </w:p>
    <w:p>
      <w:pPr>
        <w:pStyle w:val="Heading2"/>
        <w:spacing w:after="120" w:before="240"/>
      </w:pPr>
      <w:r>
        <w:rPr>
          <w:rFonts w:ascii="Calibri" w:cs="Calibri" w:eastAsia="Calibri" w:hAnsi="Calibri"/>
          <w:b/>
          <w:bCs/>
          <w:color w:val="1F4E79"/>
          <w:sz w:val="24"/>
          <w:szCs w:val="24"/>
        </w:rPr>
        <w:t xml:space="preserve">¿De qué manera se comprueba que el script está corriendo con privilegios de superusuario?</w:t>
      </w:r>
    </w:p>
    <w:p>
      <w:pPr>
        <w:spacing w:after="140" w:line="300"/>
        <w:jc w:val="both"/>
      </w:pPr>
      <w:r>
        <w:rPr>
          <w:rFonts w:ascii="Calibri" w:cs="Calibri" w:eastAsia="Calibri" w:hAnsi="Calibri"/>
          <w:b w:val="false"/>
          <w:bCs w:val="false"/>
          <w:i w:val="false"/>
          <w:iCs w:val="false"/>
          <w:sz w:val="22"/>
          <w:szCs w:val="22"/>
        </w:rPr>
        <w:t xml:space="preserve">La verificación se apoya en el identificador efectivo de usuario, un valor numérico que el propio sistema operativo asigna a todo proceso en ejecución. En Linux, la cuenta root se distingue porque ese identificador es siempre cero, condición que no puede falsificarse desde el propio script. Bash expone este dato en la variable de entorno EUID, de modo que basta con una comparación numérica para determinar si la ejecución cuenta o no con los privilegios exigidos.</w:t>
      </w:r>
    </w:p>
    <w:p>
      <w:pPr>
        <w:spacing w:after="140" w:line="300"/>
        <w:jc w:val="both"/>
      </w:pPr>
      <w:r>
        <w:rPr>
          <w:rFonts w:ascii="Calibri" w:cs="Calibri" w:eastAsia="Calibri" w:hAnsi="Calibri"/>
          <w:b w:val="false"/>
          <w:bCs w:val="false"/>
          <w:i w:val="false"/>
          <w:iCs w:val="false"/>
          <w:sz w:val="22"/>
          <w:szCs w:val="22"/>
        </w:rPr>
        <w:t xml:space="preserve">En el script se implementó de la siguiente forma:</w:t>
      </w:r>
    </w:p>
    <w:p>
      <w:pPr>
        <w:shd w:fill="F2F2F2" w:val="clear"/>
        <w:spacing w:after="60" w:before="60"/>
      </w:pPr>
      <w:r>
        <w:rPr>
          <w:rFonts w:ascii="Consolas" w:cs="Consolas" w:eastAsia="Consolas" w:hAnsi="Consolas"/>
          <w:color w:val="1F2A44"/>
          <w:sz w:val="19"/>
          <w:szCs w:val="19"/>
        </w:rPr>
        <w:t xml:space="preserve">if [[ "$EUID" -ne 0 ]]; then</w:t>
      </w:r>
    </w:p>
    <w:p>
      <w:pPr>
        <w:shd w:fill="F2F2F2" w:val="clear"/>
        <w:spacing w:after="60" w:before="60"/>
      </w:pPr>
      <w:r>
        <w:rPr>
          <w:rFonts w:ascii="Consolas" w:cs="Consolas" w:eastAsia="Consolas" w:hAnsi="Consolas"/>
          <w:color w:val="1F2A44"/>
          <w:sz w:val="19"/>
          <w:szCs w:val="19"/>
        </w:rPr>
        <w:t xml:space="preserve">    mensaje_error "Este script debe ejecutarse como usuario root."</w:t>
      </w:r>
    </w:p>
    <w:p>
      <w:pPr>
        <w:shd w:fill="F2F2F2" w:val="clear"/>
        <w:spacing w:after="60" w:before="60"/>
      </w:pPr>
      <w:r>
        <w:rPr>
          <w:rFonts w:ascii="Consolas" w:cs="Consolas" w:eastAsia="Consolas" w:hAnsi="Consolas"/>
          <w:color w:val="1F2A44"/>
          <w:sz w:val="19"/>
          <w:szCs w:val="19"/>
        </w:rPr>
        <w:t xml:space="preserve">    exit "$EXIT_NO_ROOT"</w:t>
      </w:r>
    </w:p>
    <w:p>
      <w:pPr>
        <w:shd w:fill="F2F2F2" w:val="clear"/>
        <w:spacing w:after="60" w:before="60"/>
      </w:pPr>
      <w:r>
        <w:rPr>
          <w:rFonts w:ascii="Consolas" w:cs="Consolas" w:eastAsia="Consolas" w:hAnsi="Consolas"/>
          <w:color w:val="1F2A44"/>
          <w:sz w:val="19"/>
          <w:szCs w:val="19"/>
        </w:rPr>
        <w:t xml:space="preserve">fi</w:t>
      </w:r>
    </w:p>
    <w:p>
      <w:pPr>
        <w:spacing w:after="140" w:line="300"/>
        <w:jc w:val="both"/>
      </w:pPr>
      <w:r>
        <w:rPr>
          <w:rFonts w:ascii="Calibri" w:cs="Calibri" w:eastAsia="Calibri" w:hAnsi="Calibri"/>
          <w:b w:val="false"/>
          <w:bCs w:val="false"/>
          <w:i w:val="false"/>
          <w:iCs w:val="false"/>
          <w:sz w:val="22"/>
          <w:szCs w:val="22"/>
        </w:rPr>
        <w:t xml:space="preserve">Se optó por EUID frente a otras alternativas por razones de eficiencia y fiabilidad, según se resume en el siguiente cuadro comparativo:</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1900"/>
        <w:gridCol w:w="2700"/>
        <w:gridCol w:w="4760"/>
      </w:tblGrid>
      <w:tr>
        <w:trPr>
          <w:tblHeader/>
        </w:trPr>
        <w:tc>
          <w:tcPr>
            <w:tcW w:type="dxa" w:w="19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Método</w:t>
            </w:r>
          </w:p>
        </w:tc>
        <w:tc>
          <w:tcPr>
            <w:tcW w:type="dxa" w:w="27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Instrucción</w:t>
            </w:r>
          </w:p>
        </w:tc>
        <w:tc>
          <w:tcPr>
            <w:tcW w:type="dxa" w:w="47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Valoración técnica</w:t>
            </w:r>
          </w:p>
        </w:tc>
      </w:tr>
      <w:tr>
        <w:tc>
          <w:tcPr>
            <w:tcW w:type="dxa" w:w="19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Variable EUID</w:t>
            </w:r>
          </w:p>
        </w:tc>
        <w:tc>
          <w:tcPr>
            <w:tcW w:type="dxa" w:w="27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 "$EUID" -ne 0 ]]</w:t>
            </w:r>
          </w:p>
        </w:tc>
        <w:tc>
          <w:tcPr>
            <w:tcW w:type="dxa" w:w="4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Opción elegida. Es una variable interna de Bash, por lo que no genera procesos adicionales. Compara valores numéricos, lo que evita ambigüedades.</w:t>
            </w:r>
          </w:p>
        </w:tc>
      </w:tr>
      <w:tr>
        <w:tc>
          <w:tcPr>
            <w:tcW w:type="dxa" w:w="19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Comando id</w:t>
            </w:r>
          </w:p>
        </w:tc>
        <w:tc>
          <w:tcPr>
            <w:tcW w:type="dxa" w:w="2700"/>
            <w:shd w:fill="F2F2F2" w:val="clear"/>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 $(id -u) -ne 0 ]</w:t>
            </w:r>
          </w:p>
        </w:tc>
        <w:tc>
          <w:tcPr>
            <w:tcW w:type="dxa" w:w="47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Igual de fiable, pero invoca un proceso externo en cada ejecución. Resulta útil en shells que no definen EUID.</w:t>
            </w:r>
          </w:p>
        </w:tc>
      </w:tr>
      <w:tr>
        <w:tc>
          <w:tcPr>
            <w:tcW w:type="dxa" w:w="19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Comando whoami</w:t>
            </w:r>
          </w:p>
        </w:tc>
        <w:tc>
          <w:tcPr>
            <w:tcW w:type="dxa" w:w="27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 "$(whoami)" != "root" ]</w:t>
            </w:r>
          </w:p>
        </w:tc>
        <w:tc>
          <w:tcPr>
            <w:tcW w:type="dxa" w:w="4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Desaconsejado. Compara cadenas de texto y depende del nombre de la cuenta, que en determinados entornos puede haber sido modificado.</w:t>
            </w:r>
          </w:p>
        </w:tc>
      </w:tr>
    </w:tbl>
    <w:p>
      <w:pPr>
        <w:spacing w:after="60" w:line="300"/>
        <w:jc w:val="both"/>
      </w:pPr>
      <w:r>
        <w:rPr>
          <w:rFonts w:ascii="Calibri" w:cs="Calibri" w:eastAsia="Calibri" w:hAnsi="Calibri"/>
          <w:b w:val="false"/>
          <w:bCs w:val="false"/>
          <w:i w:val="false"/>
          <w:iCs w:val="false"/>
          <w:sz w:val="22"/>
          <w:szCs w:val="22"/>
        </w:rPr>
        <w:t xml:space="preserve">Cuando la comprobación falla, el script informa el usuario que intentó la ejecución, indica la instrucción correcta y finaliza de inmediato con el código de error 1, sin llegar a leer ningún dato de los directorios.</w:t>
      </w:r>
    </w:p>
    <w:p>
      <w:pPr>
        <w:pStyle w:val="Heading1"/>
        <w:spacing w:after="180" w:before="320"/>
      </w:pPr>
      <w:r>
        <w:rPr>
          <w:rFonts w:ascii="Calibri" w:cs="Calibri" w:eastAsia="Calibri" w:hAnsi="Calibri"/>
          <w:b/>
          <w:bCs/>
          <w:color w:val="1F4E79"/>
          <w:sz w:val="30"/>
          <w:szCs w:val="30"/>
        </w:rPr>
        <w:t xml:space="preserve">Pregunta 2</w:t>
      </w:r>
    </w:p>
    <w:p>
      <w:pPr>
        <w:pStyle w:val="Heading2"/>
        <w:spacing w:after="120" w:before="240"/>
      </w:pPr>
      <w:r>
        <w:rPr>
          <w:rFonts w:ascii="Calibri" w:cs="Calibri" w:eastAsia="Calibri" w:hAnsi="Calibri"/>
          <w:b/>
          <w:bCs/>
          <w:color w:val="1F4E79"/>
          <w:sz w:val="24"/>
          <w:szCs w:val="24"/>
        </w:rPr>
        <w:t xml:space="preserve">¿Qué herramientas de línea de comandos permiten recuperar los permisos, la propiedad y el consumo de disco de los directorios de /home?</w:t>
      </w:r>
    </w:p>
    <w:p>
      <w:pPr>
        <w:spacing w:after="140" w:line="300"/>
        <w:jc w:val="both"/>
      </w:pPr>
      <w:r>
        <w:rPr>
          <w:rFonts w:ascii="Calibri" w:cs="Calibri" w:eastAsia="Calibri" w:hAnsi="Calibri"/>
          <w:b w:val="false"/>
          <w:bCs w:val="false"/>
          <w:i w:val="false"/>
          <w:iCs w:val="false"/>
          <w:sz w:val="22"/>
          <w:szCs w:val="22"/>
        </w:rPr>
        <w:t xml:space="preserve">La información solicitada por Wanda TI proviene de dos fuentes distintas dentro del sistema de archivos. Por un lado están los metadatos almacenados en el inodo de cada directorio, que contienen los permisos y los identificadores de propietario y grupo; por otro, el espacio realmente consumido, que exige recorrer el contenido para sumarlo. Por ello se emplean comandos diferentes para cada caso:</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2300"/>
        <w:gridCol w:w="2300"/>
        <w:gridCol w:w="4760"/>
      </w:tblGrid>
      <w:tr>
        <w:trPr>
          <w:tblHeader/>
        </w:trPr>
        <w:tc>
          <w:tcPr>
            <w:tcW w:type="dxa" w:w="23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Dato requerido</w:t>
            </w:r>
          </w:p>
        </w:tc>
        <w:tc>
          <w:tcPr>
            <w:tcW w:type="dxa" w:w="23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Comando aplicado</w:t>
            </w:r>
          </w:p>
        </w:tc>
        <w:tc>
          <w:tcPr>
            <w:tcW w:type="dxa" w:w="47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Función que cumple</w:t>
            </w:r>
          </w:p>
        </w:tc>
      </w:tr>
      <w:tr>
        <w:tc>
          <w:tcPr>
            <w:tcW w:type="dxa" w:w="23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Permisos simbólicos</w:t>
            </w:r>
          </w:p>
        </w:tc>
        <w:tc>
          <w:tcPr>
            <w:tcW w:type="dxa" w:w="2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stat -c '%A'</w:t>
            </w:r>
          </w:p>
        </w:tc>
        <w:tc>
          <w:tcPr>
            <w:tcW w:type="dxa" w:w="4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Devuelve la notación clásica de tipo drwxr-xr-x, de lectura inmediata para el administrador.</w:t>
            </w:r>
          </w:p>
        </w:tc>
      </w:tr>
      <w:tr>
        <w:tc>
          <w:tcPr>
            <w:tcW w:type="dxa" w:w="23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Permisos octales</w:t>
            </w:r>
          </w:p>
        </w:tc>
        <w:tc>
          <w:tcPr>
            <w:tcW w:type="dxa" w:w="2300"/>
            <w:shd w:fill="F2F2F2" w:val="clear"/>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stat -c '%a'</w:t>
            </w:r>
          </w:p>
        </w:tc>
        <w:tc>
          <w:tcPr>
            <w:tcW w:type="dxa" w:w="47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Entrega el mismo dato en formato numérico (755), que es el utilizado al corregir permisos con chmod.</w:t>
            </w:r>
          </w:p>
        </w:tc>
      </w:tr>
      <w:tr>
        <w:tc>
          <w:tcPr>
            <w:tcW w:type="dxa" w:w="23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Propietario</w:t>
            </w:r>
          </w:p>
        </w:tc>
        <w:tc>
          <w:tcPr>
            <w:tcW w:type="dxa" w:w="2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stat -c '%U'</w:t>
            </w:r>
          </w:p>
        </w:tc>
        <w:tc>
          <w:tcPr>
            <w:tcW w:type="dxa" w:w="4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Traduce el UID almacenado en el inodo al nombre de la cuenta correspondiente.</w:t>
            </w:r>
          </w:p>
        </w:tc>
      </w:tr>
      <w:tr>
        <w:tc>
          <w:tcPr>
            <w:tcW w:type="dxa" w:w="23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Grupo</w:t>
            </w:r>
          </w:p>
        </w:tc>
        <w:tc>
          <w:tcPr>
            <w:tcW w:type="dxa" w:w="2300"/>
            <w:shd w:fill="F2F2F2" w:val="clear"/>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stat -c '%G'</w:t>
            </w:r>
          </w:p>
        </w:tc>
        <w:tc>
          <w:tcPr>
            <w:tcW w:type="dxa" w:w="47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Traduce el GID al nombre del grupo, dato clave para auditar accesos compartidos.</w:t>
            </w:r>
          </w:p>
        </w:tc>
      </w:tr>
      <w:tr>
        <w:tc>
          <w:tcPr>
            <w:tcW w:type="dxa" w:w="23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Ocupación en disco</w:t>
            </w:r>
          </w:p>
        </w:tc>
        <w:tc>
          <w:tcPr>
            <w:tcW w:type="dxa" w:w="2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du -sh</w:t>
            </w:r>
          </w:p>
        </w:tc>
        <w:tc>
          <w:tcPr>
            <w:tcW w:type="dxa" w:w="4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Totaliza de forma recursiva el espacio del directorio y lo expresa en unidades legibles.</w:t>
            </w:r>
          </w:p>
        </w:tc>
      </w:tr>
      <w:tr>
        <w:tc>
          <w:tcPr>
            <w:tcW w:type="dxa" w:w="23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Cantidad de archivos</w:t>
            </w:r>
          </w:p>
        </w:tc>
        <w:tc>
          <w:tcPr>
            <w:tcW w:type="dxa" w:w="2300"/>
            <w:shd w:fill="F2F2F2" w:val="clear"/>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find | wc -l</w:t>
            </w:r>
          </w:p>
        </w:tc>
        <w:tc>
          <w:tcPr>
            <w:tcW w:type="dxa" w:w="47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Complementa la auditoría cuantificando los archivos contenidos en cada directorio.</w:t>
            </w:r>
          </w:p>
        </w:tc>
      </w:tr>
      <w:tr>
        <w:tc>
          <w:tcPr>
            <w:tcW w:type="dxa" w:w="23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Recorrido de /home</w:t>
            </w:r>
          </w:p>
        </w:tc>
        <w:tc>
          <w:tcPr>
            <w:tcW w:type="dxa" w:w="2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for ... in /home/*/</w:t>
            </w:r>
          </w:p>
        </w:tc>
        <w:tc>
          <w:tcPr>
            <w:tcW w:type="dxa" w:w="4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El patrón terminado en barra restringe la iteración exclusivamente a directorios.</w:t>
            </w:r>
          </w:p>
        </w:tc>
      </w:tr>
    </w:tbl>
    <w:p>
      <w:pPr>
        <w:spacing w:after="140" w:line="300"/>
        <w:jc w:val="both"/>
      </w:pPr>
      <w:r>
        <w:rPr>
          <w:rFonts w:ascii="Calibri" w:cs="Calibri" w:eastAsia="Calibri" w:hAnsi="Calibri"/>
          <w:b w:val="false"/>
          <w:bCs w:val="false"/>
          <w:i w:val="false"/>
          <w:iCs w:val="false"/>
          <w:sz w:val="22"/>
          <w:szCs w:val="22"/>
        </w:rPr>
        <w:t xml:space="preserve">Se prefirió stat sobre ls -l porque el primero devuelve cada campo de manera independiente y controlada mediante su cadena de formato, mientras que el segundo obliga a fragmentar una línea de texto con herramientas como awk o cut, procedimiento frágil ante nombres de archivo con espacios. Respecto al espacio ocupado, es importante precisar que du contabiliza los bloques efectivamente asignados en el disco, cifra que puede diferir de la suma del tamaño lógico de los archivos y que es la que verdaderamente interesa para la gestión de capacidad del servidor.</w:t>
      </w:r>
    </w:p>
    <w:p>
      <w:r>
        <w:br w:type="page"/>
      </w:r>
    </w:p>
    <w:p>
      <w:pPr>
        <w:pStyle w:val="Heading1"/>
        <w:spacing w:after="180" w:before="320"/>
      </w:pPr>
      <w:r>
        <w:rPr>
          <w:rFonts w:ascii="Calibri" w:cs="Calibri" w:eastAsia="Calibri" w:hAnsi="Calibri"/>
          <w:b/>
          <w:bCs/>
          <w:color w:val="1F4E79"/>
          <w:sz w:val="30"/>
          <w:szCs w:val="30"/>
        </w:rPr>
        <w:t xml:space="preserve">Pregunta 3</w:t>
      </w:r>
    </w:p>
    <w:p>
      <w:pPr>
        <w:pStyle w:val="Heading2"/>
        <w:spacing w:after="120" w:before="240"/>
      </w:pPr>
      <w:r>
        <w:rPr>
          <w:rFonts w:ascii="Calibri" w:cs="Calibri" w:eastAsia="Calibri" w:hAnsi="Calibri"/>
          <w:b/>
          <w:bCs/>
          <w:color w:val="1F4E79"/>
          <w:sz w:val="24"/>
          <w:szCs w:val="24"/>
        </w:rPr>
        <w:t xml:space="preserve">¿Qué formato de presentación resulta más conveniente para exponer los datos obtenidos de cada directorio?</w:t>
      </w:r>
    </w:p>
    <w:p>
      <w:pPr>
        <w:spacing w:after="140" w:line="300"/>
        <w:jc w:val="both"/>
      </w:pPr>
      <w:r>
        <w:rPr>
          <w:rFonts w:ascii="Calibri" w:cs="Calibri" w:eastAsia="Calibri" w:hAnsi="Calibri"/>
          <w:b w:val="false"/>
          <w:bCs w:val="false"/>
          <w:i w:val="false"/>
          <w:iCs w:val="false"/>
          <w:sz w:val="22"/>
          <w:szCs w:val="22"/>
        </w:rPr>
        <w:t xml:space="preserve">Se evaluaron tres formatos posibles antes de definir la salida definitiva del script. El criterio de selección fue que el reporte pudiera leerse con comodidad directamente en la consola, sin que el administrador tuviera que desplazarse horizontalmente ni interpretar columnas comprimidas.</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2300"/>
        <w:gridCol w:w="2600"/>
        <w:gridCol w:w="2760"/>
        <w:gridCol w:w="1700"/>
      </w:tblGrid>
      <w:tr>
        <w:trPr>
          <w:tblHeader/>
        </w:trPr>
        <w:tc>
          <w:tcPr>
            <w:tcW w:type="dxa" w:w="23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Formato evaluado</w:t>
            </w:r>
          </w:p>
        </w:tc>
        <w:tc>
          <w:tcPr>
            <w:tcW w:type="dxa" w:w="26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Ventajas</w:t>
            </w:r>
          </w:p>
        </w:tc>
        <w:tc>
          <w:tcPr>
            <w:tcW w:type="dxa" w:w="27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Limitaciones</w:t>
            </w:r>
          </w:p>
        </w:tc>
        <w:tc>
          <w:tcPr>
            <w:tcW w:type="dxa" w:w="17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Decisión</w:t>
            </w:r>
          </w:p>
        </w:tc>
      </w:tr>
      <w:tr>
        <w:tc>
          <w:tcPr>
            <w:tcW w:type="dxa" w:w="23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Bloque de campos etiquetados</w:t>
            </w:r>
          </w:p>
        </w:tc>
        <w:tc>
          <w:tcPr>
            <w:tcW w:type="dxa" w:w="26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Cada dato aparece identificado por su nombre; se adapta a cualquier ancho de terminal; admite nombres de usuario extensos.</w:t>
            </w:r>
          </w:p>
        </w:tc>
        <w:tc>
          <w:tcPr>
            <w:tcW w:type="dxa" w:w="2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Ocupa más líneas verticales que una tabla.</w:t>
            </w:r>
          </w:p>
        </w:tc>
        <w:tc>
          <w:tcPr>
            <w:tcW w:type="dxa" w:w="17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Adoptado</w:t>
            </w:r>
          </w:p>
        </w:tc>
      </w:tr>
      <w:tr>
        <w:tc>
          <w:tcPr>
            <w:tcW w:type="dxa" w:w="23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Tabla de columnas alineadas</w:t>
            </w:r>
          </w:p>
        </w:tc>
        <w:tc>
          <w:tcPr>
            <w:tcW w:type="dxa" w:w="26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Presentación compacta y comparable entre filas.</w:t>
            </w:r>
          </w:p>
        </w:tc>
        <w:tc>
          <w:tcPr>
            <w:tcW w:type="dxa" w:w="27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Se desalinea cuando un nombre o un tamaño excede el ancho previsto para la columna.</w:t>
            </w:r>
          </w:p>
        </w:tc>
        <w:tc>
          <w:tcPr>
            <w:tcW w:type="dxa" w:w="17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Descartado</w:t>
            </w:r>
          </w:p>
        </w:tc>
      </w:tr>
      <w:tr>
        <w:tc>
          <w:tcPr>
            <w:tcW w:type="dxa" w:w="23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Formato delimitado (CSV)</w:t>
            </w:r>
          </w:p>
        </w:tc>
        <w:tc>
          <w:tcPr>
            <w:tcW w:type="dxa" w:w="26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Permite procesar el resultado en hojas de cálculo.</w:t>
            </w:r>
          </w:p>
        </w:tc>
        <w:tc>
          <w:tcPr>
            <w:tcW w:type="dxa" w:w="27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Resulta poco legible en pantalla, que es el escenario de uso planteado.</w:t>
            </w:r>
          </w:p>
        </w:tc>
        <w:tc>
          <w:tcPr>
            <w:tcW w:type="dxa" w:w="17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Propuesto como mejora futura</w:t>
            </w:r>
          </w:p>
        </w:tc>
      </w:tr>
    </w:tbl>
    <w:p>
      <w:pPr>
        <w:spacing w:after="140" w:line="300"/>
        <w:jc w:val="both"/>
      </w:pPr>
      <w:r>
        <w:rPr>
          <w:rFonts w:ascii="Calibri" w:cs="Calibri" w:eastAsia="Calibri" w:hAnsi="Calibri"/>
          <w:b w:val="false"/>
          <w:bCs w:val="false"/>
          <w:i w:val="false"/>
          <w:iCs w:val="false"/>
          <w:sz w:val="22"/>
          <w:szCs w:val="22"/>
        </w:rPr>
        <w:t xml:space="preserve">La estructura definitiva organiza el reporte en tres secciones. Una cabecera inicial registra el servidor, la fecha y hora, el usuario que ejecutó la auditoría y la ruta analizada, datos indispensables para la trazabilidad del informe. A continuación se presenta un bloque por cada directorio, separado por una línea divisoria. Finalmente, un cierre consolida el total de directorios procesados y la ocupación global.</w:t>
      </w:r>
    </w:p>
    <w:p>
      <w:pPr>
        <w:spacing w:after="140" w:line="300"/>
        <w:jc w:val="both"/>
      </w:pPr>
      <w:r>
        <w:rPr>
          <w:rFonts w:ascii="Calibri" w:cs="Calibri" w:eastAsia="Calibri" w:hAnsi="Calibri"/>
          <w:b w:val="false"/>
          <w:bCs w:val="false"/>
          <w:i w:val="false"/>
          <w:iCs w:val="false"/>
          <w:sz w:val="22"/>
          <w:szCs w:val="22"/>
        </w:rPr>
        <w:t xml:space="preserve">El resultado en pantalla es el siguiente:</w:t>
      </w:r>
    </w:p>
    <w:p>
      <w:pPr>
        <w:shd w:fill="F2F2F2" w:val="clear"/>
        <w:spacing w:after="60" w:before="60"/>
      </w:pPr>
      <w:r>
        <w:rPr>
          <w:rFonts w:ascii="Consolas" w:cs="Consolas" w:eastAsia="Consolas" w:hAnsi="Consolas"/>
          <w:color w:val="1F2A44"/>
          <w:sz w:val="19"/>
          <w:szCs w:val="19"/>
        </w:rPr>
        <w:t xml:space="preserve">===============================================================</w:t>
      </w:r>
    </w:p>
    <w:p>
      <w:pPr>
        <w:shd w:fill="F2F2F2" w:val="clear"/>
        <w:spacing w:after="60" w:before="60"/>
      </w:pPr>
      <w:r>
        <w:rPr>
          <w:rFonts w:ascii="Consolas" w:cs="Consolas" w:eastAsia="Consolas" w:hAnsi="Consolas"/>
          <w:color w:val="1F2A44"/>
          <w:sz w:val="19"/>
          <w:szCs w:val="19"/>
        </w:rPr>
        <w:t xml:space="preserve">   REPORTE DE AUDITORIA DE DIRECTORIOS - WANDA TI</w:t>
      </w:r>
    </w:p>
    <w:p>
      <w:pPr>
        <w:shd w:fill="F2F2F2" w:val="clear"/>
        <w:spacing w:after="60" w:before="60"/>
      </w:pPr>
      <w:r>
        <w:rPr>
          <w:rFonts w:ascii="Consolas" w:cs="Consolas" w:eastAsia="Consolas" w:hAnsi="Consolas"/>
          <w:color w:val="1F2A44"/>
          <w:sz w:val="19"/>
          <w:szCs w:val="19"/>
        </w:rPr>
        <w:t xml:space="preserve">===============================================================</w:t>
      </w:r>
    </w:p>
    <w:p>
      <w:pPr>
        <w:shd w:fill="F2F2F2" w:val="clear"/>
        <w:spacing w:after="60" w:before="60"/>
      </w:pPr>
      <w:r>
        <w:rPr>
          <w:rFonts w:ascii="Consolas" w:cs="Consolas" w:eastAsia="Consolas" w:hAnsi="Consolas"/>
          <w:color w:val="1F2A44"/>
          <w:sz w:val="19"/>
          <w:szCs w:val="19"/>
        </w:rPr>
        <w:t xml:space="preserve">Servidor  : srv-wandati-01</w:t>
      </w:r>
    </w:p>
    <w:p>
      <w:pPr>
        <w:shd w:fill="F2F2F2" w:val="clear"/>
        <w:spacing w:after="60" w:before="60"/>
      </w:pPr>
      <w:r>
        <w:rPr>
          <w:rFonts w:ascii="Consolas" w:cs="Consolas" w:eastAsia="Consolas" w:hAnsi="Consolas"/>
          <w:color w:val="1F2A44"/>
          <w:sz w:val="19"/>
          <w:szCs w:val="19"/>
        </w:rPr>
        <w:t xml:space="preserve">Ejecutado : root (EUID=0)</w:t>
      </w:r>
    </w:p>
    <w:p>
      <w:pPr>
        <w:shd w:fill="F2F2F2" w:val="clear"/>
        <w:spacing w:after="60" w:before="60"/>
      </w:pPr>
      <w:r>
        <w:rPr>
          <w:rFonts w:ascii="Consolas" w:cs="Consolas" w:eastAsia="Consolas" w:hAnsi="Consolas"/>
          <w:color w:val="1F2A44"/>
          <w:sz w:val="19"/>
          <w:szCs w:val="19"/>
        </w:rPr>
        <w:t xml:space="preserve">---------------------------------------------------------------</w:t>
      </w:r>
    </w:p>
    <w:p>
      <w:pPr>
        <w:shd w:fill="F2F2F2" w:val="clear"/>
        <w:spacing w:after="60" w:before="60"/>
      </w:pPr>
      <w:r>
        <w:rPr>
          <w:rFonts w:ascii="Consolas" w:cs="Consolas" w:eastAsia="Consolas" w:hAnsi="Consolas"/>
          <w:color w:val="1F2A44"/>
          <w:sz w:val="19"/>
          <w:szCs w:val="19"/>
        </w:rPr>
        <w:t xml:space="preserve">Directorio    : jperez</w:t>
      </w:r>
    </w:p>
    <w:p>
      <w:pPr>
        <w:shd w:fill="F2F2F2" w:val="clear"/>
        <w:spacing w:after="60" w:before="60"/>
      </w:pPr>
      <w:r>
        <w:rPr>
          <w:rFonts w:ascii="Consolas" w:cs="Consolas" w:eastAsia="Consolas" w:hAnsi="Consolas"/>
          <w:color w:val="1F2A44"/>
          <w:sz w:val="19"/>
          <w:szCs w:val="19"/>
        </w:rPr>
        <w:t xml:space="preserve">  Permisos    : drwxr-xr-x (755)</w:t>
      </w:r>
    </w:p>
    <w:p>
      <w:pPr>
        <w:shd w:fill="F2F2F2" w:val="clear"/>
        <w:spacing w:after="60" w:before="60"/>
      </w:pPr>
      <w:r>
        <w:rPr>
          <w:rFonts w:ascii="Consolas" w:cs="Consolas" w:eastAsia="Consolas" w:hAnsi="Consolas"/>
          <w:color w:val="1F2A44"/>
          <w:sz w:val="19"/>
          <w:szCs w:val="19"/>
        </w:rPr>
        <w:t xml:space="preserve">  Propietario : jperez</w:t>
      </w:r>
    </w:p>
    <w:p>
      <w:pPr>
        <w:shd w:fill="F2F2F2" w:val="clear"/>
        <w:spacing w:after="60" w:before="60"/>
      </w:pPr>
      <w:r>
        <w:rPr>
          <w:rFonts w:ascii="Consolas" w:cs="Consolas" w:eastAsia="Consolas" w:hAnsi="Consolas"/>
          <w:color w:val="1F2A44"/>
          <w:sz w:val="19"/>
          <w:szCs w:val="19"/>
        </w:rPr>
        <w:t xml:space="preserve">  Grupo       : contabilidad</w:t>
      </w:r>
    </w:p>
    <w:p>
      <w:pPr>
        <w:shd w:fill="F2F2F2" w:val="clear"/>
        <w:spacing w:after="60" w:before="60"/>
      </w:pPr>
      <w:r>
        <w:rPr>
          <w:rFonts w:ascii="Consolas" w:cs="Consolas" w:eastAsia="Consolas" w:hAnsi="Consolas"/>
          <w:color w:val="1F2A44"/>
          <w:sz w:val="19"/>
          <w:szCs w:val="19"/>
        </w:rPr>
        <w:t xml:space="preserve">  Ocupacion   : 1.2G</w:t>
      </w:r>
    </w:p>
    <w:p>
      <w:pPr>
        <w:shd w:fill="F2F2F2" w:val="clear"/>
        <w:spacing w:after="60" w:before="60"/>
      </w:pPr>
      <w:r>
        <w:rPr>
          <w:rFonts w:ascii="Consolas" w:cs="Consolas" w:eastAsia="Consolas" w:hAnsi="Consolas"/>
          <w:color w:val="1F2A44"/>
          <w:sz w:val="19"/>
          <w:szCs w:val="19"/>
        </w:rPr>
        <w:t xml:space="preserve">  Archivos    : 3421</w:t>
      </w:r>
    </w:p>
    <w:p>
      <w:pPr>
        <w:shd w:fill="F2F2F2" w:val="clear"/>
        <w:spacing w:after="60" w:before="60"/>
      </w:pPr>
      <w:r>
        <w:rPr>
          <w:rFonts w:ascii="Consolas" w:cs="Consolas" w:eastAsia="Consolas" w:hAnsi="Consolas"/>
          <w:color w:val="1F2A44"/>
          <w:sz w:val="19"/>
          <w:szCs w:val="19"/>
        </w:rPr>
        <w:t xml:space="preserve">---------------------------------------------------------------</w:t>
      </w:r>
    </w:p>
    <w:p>
      <w:pPr>
        <w:spacing w:after="60" w:line="300"/>
        <w:jc w:val="both"/>
      </w:pPr>
      <w:r>
        <w:rPr>
          <w:rFonts w:ascii="Calibri" w:cs="Calibri" w:eastAsia="Calibri" w:hAnsi="Calibri"/>
          <w:b w:val="false"/>
          <w:bCs w:val="false"/>
          <w:i w:val="false"/>
          <w:iCs w:val="false"/>
          <w:sz w:val="22"/>
          <w:szCs w:val="22"/>
        </w:rPr>
        <w:t xml:space="preserve">Dado que toda la información se emite por la salida estándar, el reporte puede redirigirse a un archivo para conservarlo como evidencia documental de la auditoría, sin necesidad de modificar el script:</w:t>
      </w:r>
    </w:p>
    <w:p>
      <w:pPr>
        <w:shd w:fill="F2F2F2" w:val="clear"/>
        <w:spacing w:after="60" w:before="60"/>
      </w:pPr>
      <w:r>
        <w:rPr>
          <w:rFonts w:ascii="Consolas" w:cs="Consolas" w:eastAsia="Consolas" w:hAnsi="Consolas"/>
          <w:color w:val="1F2A44"/>
          <w:sz w:val="19"/>
          <w:szCs w:val="19"/>
        </w:rPr>
        <w:t xml:space="preserve">./auditoria_home.sh &gt; reporte_auditoria_$(date +%F).txt</w:t>
      </w:r>
    </w:p>
    <w:p>
      <w:pPr>
        <w:pStyle w:val="Heading1"/>
        <w:spacing w:after="180" w:before="320"/>
      </w:pPr>
      <w:r>
        <w:rPr>
          <w:rFonts w:ascii="Calibri" w:cs="Calibri" w:eastAsia="Calibri" w:hAnsi="Calibri"/>
          <w:b/>
          <w:bCs/>
          <w:color w:val="1F4E79"/>
          <w:sz w:val="30"/>
          <w:szCs w:val="30"/>
        </w:rPr>
        <w:t xml:space="preserve">Pregunta 4</w:t>
      </w:r>
    </w:p>
    <w:p>
      <w:pPr>
        <w:pStyle w:val="Heading2"/>
        <w:spacing w:after="120" w:before="240"/>
      </w:pPr>
      <w:r>
        <w:rPr>
          <w:rFonts w:ascii="Calibri" w:cs="Calibri" w:eastAsia="Calibri" w:hAnsi="Calibri"/>
          <w:b/>
          <w:bCs/>
          <w:color w:val="1F4E79"/>
          <w:sz w:val="24"/>
          <w:szCs w:val="24"/>
        </w:rPr>
        <w:t xml:space="preserve">¿Cómo se controlan los errores y las situaciones excepcionales para lograr una ejecución estable?</w:t>
      </w:r>
    </w:p>
    <w:p>
      <w:pPr>
        <w:spacing w:after="140" w:line="300"/>
        <w:jc w:val="both"/>
      </w:pPr>
      <w:r>
        <w:rPr>
          <w:rFonts w:ascii="Calibri" w:cs="Calibri" w:eastAsia="Calibri" w:hAnsi="Calibri"/>
          <w:b w:val="false"/>
          <w:bCs w:val="false"/>
          <w:i w:val="false"/>
          <w:iCs w:val="false"/>
          <w:sz w:val="22"/>
          <w:szCs w:val="22"/>
        </w:rPr>
        <w:t xml:space="preserve">El tratamiento de errores se estructuró en tres niveles complementarios. El primero corresponde a la configuración del intérprete, que endurece el comportamiento de Bash antes de ejecutar cualquier instrucción. El segundo son las validaciones previas, que detienen el proceso cuando no se cumplen las condiciones mínimas. El tercero es la tolerancia a fallos durante el recorrido, que impide que un inconveniente puntual malogre toda la auditoría.</w:t>
      </w:r>
    </w:p>
    <w:p>
      <w:pPr>
        <w:pStyle w:val="Heading2"/>
        <w:spacing w:after="120" w:before="240"/>
      </w:pPr>
      <w:r>
        <w:rPr>
          <w:rFonts w:ascii="Calibri" w:cs="Calibri" w:eastAsia="Calibri" w:hAnsi="Calibri"/>
          <w:b/>
          <w:bCs/>
          <w:color w:val="1F4E79"/>
          <w:sz w:val="24"/>
          <w:szCs w:val="24"/>
        </w:rPr>
        <w:t xml:space="preserve">Nivel 1: configuración defensiva del intérprete</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2300"/>
        <w:gridCol w:w="7060"/>
      </w:tblGrid>
      <w:tr>
        <w:trPr>
          <w:tblHeader/>
        </w:trPr>
        <w:tc>
          <w:tcPr>
            <w:tcW w:type="dxa" w:w="23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Directiva</w:t>
            </w:r>
          </w:p>
        </w:tc>
        <w:tc>
          <w:tcPr>
            <w:tcW w:type="dxa" w:w="70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Efecto sobre la ejecución</w:t>
            </w:r>
          </w:p>
        </w:tc>
      </w:tr>
      <w:tr>
        <w:tc>
          <w:tcPr>
            <w:tcW w:type="dxa" w:w="2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set -u</w:t>
            </w:r>
          </w:p>
        </w:tc>
        <w:tc>
          <w:tcPr>
            <w:tcW w:type="dxa" w:w="70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Interrumpe el script si se invoca una variable sin definir, evitando que una ruta vacía derive en operaciones sobre el directorio equivocado.</w:t>
            </w:r>
          </w:p>
        </w:tc>
      </w:tr>
      <w:tr>
        <w:tc>
          <w:tcPr>
            <w:tcW w:type="dxa" w:w="2300"/>
            <w:shd w:fill="F2F2F2" w:val="clear"/>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set -o pipefail</w:t>
            </w:r>
          </w:p>
        </w:tc>
        <w:tc>
          <w:tcPr>
            <w:tcW w:type="dxa" w:w="70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Hace que una tubería se considere fallida si falla cualquiera de sus comandos, y no únicamente el último.</w:t>
            </w:r>
          </w:p>
        </w:tc>
      </w:tr>
      <w:tr>
        <w:tc>
          <w:tcPr>
            <w:tcW w:type="dxa" w:w="2300"/>
            <w:tcMar>
              <w:top w:type="dxa" w:w="80"/>
              <w:left w:type="dxa" w:w="110"/>
              <w:bottom w:type="dxa" w:w="80"/>
              <w:right w:type="dxa" w:w="110"/>
            </w:tcMar>
          </w:tcPr>
          <w:p>
            <w:pPr>
              <w:spacing w:after="0"/>
              <w:jc w:val="left"/>
            </w:pPr>
            <w:r>
              <w:rPr>
                <w:rFonts w:ascii="Consolas" w:cs="Consolas" w:eastAsia="Consolas" w:hAnsi="Consolas"/>
                <w:b w:val="false"/>
                <w:bCs w:val="false"/>
                <w:color w:val="000000"/>
                <w:sz w:val="18"/>
                <w:szCs w:val="18"/>
              </w:rPr>
              <w:t xml:space="preserve">readonly</w:t>
            </w:r>
          </w:p>
        </w:tc>
        <w:tc>
          <w:tcPr>
            <w:tcW w:type="dxa" w:w="70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Protege las rutas y los códigos de salida frente a modificaciones accidentales durante la ejecución.</w:t>
            </w:r>
          </w:p>
        </w:tc>
      </w:tr>
    </w:tbl>
    <w:p>
      <w:pPr>
        <w:pStyle w:val="Heading2"/>
        <w:spacing w:after="120" w:before="240"/>
      </w:pPr>
      <w:r>
        <w:rPr>
          <w:rFonts w:ascii="Calibri" w:cs="Calibri" w:eastAsia="Calibri" w:hAnsi="Calibri"/>
          <w:b/>
          <w:bCs/>
          <w:color w:val="1F4E79"/>
          <w:sz w:val="24"/>
          <w:szCs w:val="24"/>
        </w:rPr>
        <w:t xml:space="preserve">Nivel 2: validaciones previas y códigos de salida</w:t>
      </w:r>
    </w:p>
    <w:p>
      <w:pPr>
        <w:spacing w:after="140" w:line="300"/>
        <w:jc w:val="both"/>
      </w:pPr>
      <w:r>
        <w:rPr>
          <w:rFonts w:ascii="Calibri" w:cs="Calibri" w:eastAsia="Calibri" w:hAnsi="Calibri"/>
          <w:b w:val="false"/>
          <w:bCs w:val="false"/>
          <w:i w:val="false"/>
          <w:iCs w:val="false"/>
          <w:sz w:val="22"/>
          <w:szCs w:val="22"/>
        </w:rPr>
        <w:t xml:space="preserve">Antes de iniciar el recorrido, el script comprueba los privilegios y la validez de la ruta. Cada condición no satisfecha produce un código de salida propio, lo que permite que otro programa o una tarea programada identifique con precisión la causa del fallo consultando la variable $?.</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1200"/>
        <w:gridCol w:w="3700"/>
        <w:gridCol w:w="4460"/>
      </w:tblGrid>
      <w:tr>
        <w:trPr>
          <w:tblHeader/>
        </w:trPr>
        <w:tc>
          <w:tcPr>
            <w:tcW w:type="dxa" w:w="12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Código</w:t>
            </w:r>
          </w:p>
        </w:tc>
        <w:tc>
          <w:tcPr>
            <w:tcW w:type="dxa" w:w="37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Situación detectada</w:t>
            </w:r>
          </w:p>
        </w:tc>
        <w:tc>
          <w:tcPr>
            <w:tcW w:type="dxa" w:w="44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Mensaje emitido</w:t>
            </w:r>
          </w:p>
        </w:tc>
      </w:tr>
      <w:tr>
        <w:tc>
          <w:tcPr>
            <w:tcW w:type="dxa" w:w="12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0</w:t>
            </w:r>
          </w:p>
        </w:tc>
        <w:tc>
          <w:tcPr>
            <w:tcW w:type="dxa" w:w="37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La auditoría concluyó sin incidencias.</w:t>
            </w:r>
          </w:p>
        </w:tc>
        <w:tc>
          <w:tcPr>
            <w:tcW w:type="dxa" w:w="4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[OK] Auditoria finalizada correctamente.</w:t>
            </w:r>
          </w:p>
        </w:tc>
      </w:tr>
      <w:tr>
        <w:tc>
          <w:tcPr>
            <w:tcW w:type="dxa" w:w="12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1</w:t>
            </w:r>
          </w:p>
        </w:tc>
        <w:tc>
          <w:tcPr>
            <w:tcW w:type="dxa" w:w="37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La ejecución no cuenta con privilegios de root.</w:t>
            </w:r>
          </w:p>
        </w:tc>
        <w:tc>
          <w:tcPr>
            <w:tcW w:type="dxa" w:w="4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[ERROR] Este script debe ejecutarse como usuario root.</w:t>
            </w:r>
          </w:p>
        </w:tc>
      </w:tr>
      <w:tr>
        <w:tc>
          <w:tcPr>
            <w:tcW w:type="dxa" w:w="12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2</w:t>
            </w:r>
          </w:p>
        </w:tc>
        <w:tc>
          <w:tcPr>
            <w:tcW w:type="dxa" w:w="37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La ruta indicada no existe o no corresponde a un directorio.</w:t>
            </w:r>
          </w:p>
        </w:tc>
        <w:tc>
          <w:tcPr>
            <w:tcW w:type="dxa" w:w="4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[ERROR] La ruta no existe o no es un directorio.</w:t>
            </w:r>
          </w:p>
        </w:tc>
      </w:tr>
      <w:tr>
        <w:tc>
          <w:tcPr>
            <w:tcW w:type="dxa" w:w="12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3</w:t>
            </w:r>
          </w:p>
        </w:tc>
        <w:tc>
          <w:tcPr>
            <w:tcW w:type="dxa" w:w="37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No se dispone de permisos de lectura sobre la ruta.</w:t>
            </w:r>
          </w:p>
        </w:tc>
        <w:tc>
          <w:tcPr>
            <w:tcW w:type="dxa" w:w="4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[ERROR] Sin permisos de lectura sobre la ruta.</w:t>
            </w:r>
          </w:p>
        </w:tc>
      </w:tr>
    </w:tbl>
    <w:p>
      <w:pPr>
        <w:pStyle w:val="Heading2"/>
        <w:spacing w:after="120" w:before="240"/>
      </w:pPr>
      <w:r>
        <w:rPr>
          <w:rFonts w:ascii="Calibri" w:cs="Calibri" w:eastAsia="Calibri" w:hAnsi="Calibri"/>
          <w:b/>
          <w:bCs/>
          <w:color w:val="1F4E79"/>
          <w:sz w:val="24"/>
          <w:szCs w:val="24"/>
        </w:rPr>
        <w:t xml:space="preserve">Nivel 3: tolerancia a fallos durante el recorrido</w:t>
      </w:r>
    </w:p>
    <w:p>
      <w:pPr>
        <w:spacing w:after="140" w:line="300"/>
        <w:jc w:val="both"/>
      </w:pPr>
      <w:r>
        <w:rPr>
          <w:rFonts w:ascii="Calibri" w:cs="Calibri" w:eastAsia="Calibri" w:hAnsi="Calibri"/>
          <w:b w:val="false"/>
          <w:bCs w:val="false"/>
          <w:i w:val="false"/>
          <w:iCs w:val="false"/>
          <w:sz w:val="22"/>
          <w:szCs w:val="22"/>
        </w:rPr>
        <w:t xml:space="preserve">Durante la iteración pueden presentarse directorios con subcarpetas inaccesibles o enlaces rotos. Para que estas situaciones no interrumpan la auditoría completa, los errores de los comandos de medición se descartan de forma controlada y el script continúa con el siguiente directorio.</w:t>
      </w:r>
    </w:p>
    <w:p>
      <w:pPr>
        <w:shd w:fill="F2F2F2" w:val="clear"/>
        <w:spacing w:after="60" w:before="60"/>
      </w:pPr>
      <w:r>
        <w:rPr>
          <w:rFonts w:ascii="Consolas" w:cs="Consolas" w:eastAsia="Consolas" w:hAnsi="Consolas"/>
          <w:color w:val="1F2A44"/>
          <w:sz w:val="19"/>
          <w:szCs w:val="19"/>
        </w:rPr>
        <w:t xml:space="preserve">tamano="$(du -sh "$carpeta" 2&gt;/dev/null | cut -f1)"</w:t>
      </w:r>
    </w:p>
    <w:p>
      <w:pPr>
        <w:shd w:fill="F2F2F2" w:val="clear"/>
        <w:spacing w:after="60" w:before="60"/>
      </w:pPr>
      <w:r>
        <w:rPr>
          <w:rFonts w:ascii="Consolas" w:cs="Consolas" w:eastAsia="Consolas" w:hAnsi="Consolas"/>
          <w:color w:val="1F2A44"/>
          <w:sz w:val="19"/>
          <w:szCs w:val="19"/>
        </w:rPr>
        <w:t xml:space="preserve">[[ -d "$carpeta" ]] || continue</w:t>
      </w:r>
    </w:p>
    <w:p>
      <w:pPr>
        <w:spacing w:after="140" w:line="300"/>
        <w:jc w:val="both"/>
      </w:pPr>
      <w:r>
        <w:rPr>
          <w:rFonts w:ascii="Calibri" w:cs="Calibri" w:eastAsia="Calibri" w:hAnsi="Calibri"/>
          <w:b w:val="false"/>
          <w:bCs w:val="false"/>
          <w:i w:val="false"/>
          <w:iCs w:val="false"/>
          <w:sz w:val="22"/>
          <w:szCs w:val="22"/>
        </w:rPr>
        <w:t xml:space="preserve">Adicionalmente, se contempla el escenario en que /home no contenga ningún subdirectorio. En lugar de terminar con un reporte vacío y sin explicación, el script emite un aviso expreso y finaliza correctamente, puesto que la ausencia de directorios es un resultado válido de la auditoría y no una falla.</w:t>
      </w:r>
    </w:p>
    <w:p>
      <w:pPr>
        <w:spacing w:after="140" w:line="300"/>
        <w:jc w:val="both"/>
      </w:pPr>
      <w:r>
        <w:rPr>
          <w:rFonts w:ascii="Calibri" w:cs="Calibri" w:eastAsia="Calibri" w:hAnsi="Calibri"/>
          <w:b w:val="false"/>
          <w:bCs w:val="false"/>
          <w:i w:val="false"/>
          <w:iCs w:val="false"/>
          <w:sz w:val="22"/>
          <w:szCs w:val="22"/>
        </w:rPr>
        <w:t xml:space="preserve">Todos los mensajes de error se envían al canal de error estándar y no a la salida normal. Gracias a esta separación, cuando el administrador redirige el reporte a un archivo, los errores permanecen visibles en pantalla y no quedan mezclados con los datos auditados.</w:t>
      </w:r>
    </w:p>
    <w:p>
      <w:r>
        <w:br w:type="page"/>
      </w:r>
    </w:p>
    <w:p>
      <w:pPr>
        <w:pStyle w:val="Heading1"/>
        <w:spacing w:after="180" w:before="320"/>
      </w:pPr>
      <w:r>
        <w:rPr>
          <w:rFonts w:ascii="Calibri" w:cs="Calibri" w:eastAsia="Calibri" w:hAnsi="Calibri"/>
          <w:b/>
          <w:bCs/>
          <w:color w:val="1F4E79"/>
          <w:sz w:val="30"/>
          <w:szCs w:val="30"/>
        </w:rPr>
        <w:t xml:space="preserve">Pregunta 5</w:t>
      </w:r>
    </w:p>
    <w:p>
      <w:pPr>
        <w:pStyle w:val="Heading2"/>
        <w:spacing w:after="120" w:before="240"/>
      </w:pPr>
      <w:r>
        <w:rPr>
          <w:rFonts w:ascii="Calibri" w:cs="Calibri" w:eastAsia="Calibri" w:hAnsi="Calibri"/>
          <w:b/>
          <w:bCs/>
          <w:color w:val="1F4E79"/>
          <w:sz w:val="24"/>
          <w:szCs w:val="24"/>
        </w:rPr>
        <w:t xml:space="preserve">¿Qué resguardos adicionales pueden incorporarse para proteger la información sensible mientras el script se ejecuta?</w:t>
      </w:r>
    </w:p>
    <w:p>
      <w:pPr>
        <w:spacing w:after="140" w:line="300"/>
        <w:jc w:val="both"/>
      </w:pPr>
      <w:r>
        <w:rPr>
          <w:rFonts w:ascii="Calibri" w:cs="Calibri" w:eastAsia="Calibri" w:hAnsi="Calibri"/>
          <w:b w:val="false"/>
          <w:bCs w:val="false"/>
          <w:i w:val="false"/>
          <w:iCs w:val="false"/>
          <w:sz w:val="22"/>
          <w:szCs w:val="22"/>
        </w:rPr>
        <w:t xml:space="preserve">Tratándose de una firma de servicios financieros, los directorios de /home albergan información confidencial de los usuarios. El script fue concebido bajo el principio de mínimo privilegio: recopila únicamente los metadatos necesarios para la auditoría y en ningún momento accede al contenido de los archivos.</w:t>
      </w:r>
    </w:p>
    <w:tbl>
      <w:tblPr>
        <w:tblW w:type="dxa" w:w="9360"/>
        <w:tblBorders>
          <w:top w:val="single" w:color="1F4E79" w:sz="4"/>
          <w:left w:val="single" w:color="1F4E79" w:sz="4"/>
          <w:bottom w:val="single" w:color="1F4E79" w:sz="4"/>
          <w:right w:val="single" w:color="1F4E79" w:sz="4"/>
          <w:insideH w:val="single" w:color="9DC3E6" w:sz="2"/>
          <w:insideV w:val="single" w:color="9DC3E6" w:sz="2"/>
        </w:tblBorders>
      </w:tblPr>
      <w:tblGrid>
        <w:gridCol w:w="2500"/>
        <w:gridCol w:w="3400"/>
        <w:gridCol w:w="3460"/>
      </w:tblGrid>
      <w:tr>
        <w:trPr>
          <w:tblHeader/>
        </w:trPr>
        <w:tc>
          <w:tcPr>
            <w:tcW w:type="dxa" w:w="25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Resguardo</w:t>
            </w:r>
          </w:p>
        </w:tc>
        <w:tc>
          <w:tcPr>
            <w:tcW w:type="dxa" w:w="340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Implementación</w:t>
            </w:r>
          </w:p>
        </w:tc>
        <w:tc>
          <w:tcPr>
            <w:tcW w:type="dxa" w:w="3460"/>
            <w:shd w:fill="1F4E79" w:val="clear"/>
            <w:tcMar>
              <w:top w:type="dxa" w:w="80"/>
              <w:left w:type="dxa" w:w="110"/>
              <w:bottom w:type="dxa" w:w="80"/>
              <w:right w:type="dxa" w:w="110"/>
            </w:tcMar>
          </w:tcPr>
          <w:p>
            <w:pPr>
              <w:spacing w:after="0"/>
              <w:jc w:val="center"/>
            </w:pPr>
            <w:r>
              <w:rPr>
                <w:rFonts w:ascii="Calibri" w:cs="Calibri" w:eastAsia="Calibri" w:hAnsi="Calibri"/>
                <w:b/>
                <w:bCs/>
                <w:color w:val="FFFFFF"/>
                <w:sz w:val="20"/>
                <w:szCs w:val="20"/>
              </w:rPr>
              <w:t xml:space="preserve">Riesgo que mitiga</w:t>
            </w:r>
          </w:p>
        </w:tc>
      </w:tr>
      <w:tr>
        <w:tc>
          <w:tcPr>
            <w:tcW w:type="dxa" w:w="25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Operación de solo lectura</w:t>
            </w:r>
          </w:p>
        </w:tc>
        <w:tc>
          <w:tcPr>
            <w:tcW w:type="dxa" w:w="34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El script consulta metadatos mediante stat y du, sin abrir, copiar ni modificar archivo alguno.</w:t>
            </w:r>
          </w:p>
        </w:tc>
        <w:tc>
          <w:tcPr>
            <w:tcW w:type="dxa" w:w="3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Evita la exposición o alteración accidental de información confidencial de los usuarios.</w:t>
            </w:r>
          </w:p>
        </w:tc>
      </w:tr>
      <w:tr>
        <w:tc>
          <w:tcPr>
            <w:tcW w:type="dxa" w:w="25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Control de privilegios</w:t>
            </w:r>
          </w:p>
        </w:tc>
        <w:tc>
          <w:tcPr>
            <w:tcW w:type="dxa" w:w="34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Validación obligatoria de EUID con finalización inmediata si no se cumple.</w:t>
            </w:r>
          </w:p>
        </w:tc>
        <w:tc>
          <w:tcPr>
            <w:tcW w:type="dxa" w:w="3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Impide que personal no autorizado obtenga un inventario de la estructura y los permisos del sistema.</w:t>
            </w:r>
          </w:p>
        </w:tc>
      </w:tr>
      <w:tr>
        <w:tc>
          <w:tcPr>
            <w:tcW w:type="dxa" w:w="25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Permisos restrictivos del archivo</w:t>
            </w:r>
          </w:p>
        </w:tc>
        <w:tc>
          <w:tcPr>
            <w:tcW w:type="dxa" w:w="34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Asignación de 750 al script y ubicación en /root/scripts o /usr/local/sbin.</w:t>
            </w:r>
          </w:p>
        </w:tc>
        <w:tc>
          <w:tcPr>
            <w:tcW w:type="dxa" w:w="3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Evita que un usuario estándar lea el código o intente ejecutarlo.</w:t>
            </w:r>
          </w:p>
        </w:tc>
      </w:tr>
      <w:tr>
        <w:tc>
          <w:tcPr>
            <w:tcW w:type="dxa" w:w="25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Variables de solo lectura</w:t>
            </w:r>
          </w:p>
        </w:tc>
        <w:tc>
          <w:tcPr>
            <w:tcW w:type="dxa" w:w="34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Declaración con readonly de rutas y códigos de salida.</w:t>
            </w:r>
          </w:p>
        </w:tc>
        <w:tc>
          <w:tcPr>
            <w:tcW w:type="dxa" w:w="3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Neutraliza la manipulación de variables críticas mediante el entorno de ejecución.</w:t>
            </w:r>
          </w:p>
        </w:tc>
      </w:tr>
      <w:tr>
        <w:tc>
          <w:tcPr>
            <w:tcW w:type="dxa" w:w="25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Entrecomillado de variables</w:t>
            </w:r>
          </w:p>
        </w:tc>
        <w:tc>
          <w:tcPr>
            <w:tcW w:type="dxa" w:w="34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Todas las rutas se expanden entre comillas dobles.</w:t>
            </w:r>
          </w:p>
        </w:tc>
        <w:tc>
          <w:tcPr>
            <w:tcW w:type="dxa" w:w="3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Previene la inyección de comandos a través de nombres de directorio manipulados.</w:t>
            </w:r>
          </w:p>
        </w:tc>
      </w:tr>
      <w:tr>
        <w:tc>
          <w:tcPr>
            <w:tcW w:type="dxa" w:w="2500"/>
            <w:shd w:fill="F2F2F2" w:val="clear"/>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Supresión controlada de errores</w:t>
            </w:r>
          </w:p>
        </w:tc>
        <w:tc>
          <w:tcPr>
            <w:tcW w:type="dxa" w:w="340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Redirección de los errores de acceso de los comandos de medición.</w:t>
            </w:r>
          </w:p>
        </w:tc>
        <w:tc>
          <w:tcPr>
            <w:tcW w:type="dxa" w:w="3460"/>
            <w:shd w:fill="F2F2F2" w:val="clear"/>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Impide que se revelen rutas internas del sistema en los mensajes de error.</w:t>
            </w:r>
          </w:p>
        </w:tc>
      </w:tr>
      <w:tr>
        <w:tc>
          <w:tcPr>
            <w:tcW w:type="dxa" w:w="2500"/>
            <w:tcMar>
              <w:top w:type="dxa" w:w="80"/>
              <w:left w:type="dxa" w:w="110"/>
              <w:bottom w:type="dxa" w:w="80"/>
              <w:right w:type="dxa" w:w="110"/>
            </w:tcMar>
          </w:tcPr>
          <w:p>
            <w:pPr>
              <w:spacing w:after="0"/>
              <w:jc w:val="left"/>
            </w:pPr>
            <w:r>
              <w:rPr>
                <w:rFonts w:ascii="Calibri" w:cs="Calibri" w:eastAsia="Calibri" w:hAnsi="Calibri"/>
                <w:b/>
                <w:bCs/>
                <w:color w:val="000000"/>
                <w:sz w:val="20"/>
                <w:szCs w:val="20"/>
              </w:rPr>
              <w:t xml:space="preserve">Registro de trazabilidad</w:t>
            </w:r>
          </w:p>
        </w:tc>
        <w:tc>
          <w:tcPr>
            <w:tcW w:type="dxa" w:w="340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La cabecera consigna servidor, fecha, hora y usuario ejecutor.</w:t>
            </w:r>
          </w:p>
        </w:tc>
        <w:tc>
          <w:tcPr>
            <w:tcW w:type="dxa" w:w="3460"/>
            <w:tcMar>
              <w:top w:type="dxa" w:w="80"/>
              <w:left w:type="dxa" w:w="110"/>
              <w:bottom w:type="dxa" w:w="80"/>
              <w:right w:type="dxa" w:w="110"/>
            </w:tcMar>
          </w:tcPr>
          <w:p>
            <w:pPr>
              <w:spacing w:after="0"/>
              <w:jc w:val="left"/>
            </w:pPr>
            <w:r>
              <w:rPr>
                <w:rFonts w:ascii="Calibri" w:cs="Calibri" w:eastAsia="Calibri" w:hAnsi="Calibri"/>
                <w:b w:val="false"/>
                <w:bCs w:val="false"/>
                <w:color w:val="000000"/>
                <w:sz w:val="20"/>
                <w:szCs w:val="20"/>
              </w:rPr>
              <w:t xml:space="preserve">Permite determinar quién realizó cada auditoría y en qué momento.</w:t>
            </w:r>
          </w:p>
        </w:tc>
      </w:tr>
    </w:tbl>
    <w:p>
      <w:pPr>
        <w:pStyle w:val="Heading2"/>
        <w:spacing w:after="120" w:before="240"/>
      </w:pPr>
      <w:r>
        <w:rPr>
          <w:rFonts w:ascii="Calibri" w:cs="Calibri" w:eastAsia="Calibri" w:hAnsi="Calibri"/>
          <w:b/>
          <w:bCs/>
          <w:color w:val="1F4E79"/>
          <w:sz w:val="24"/>
          <w:szCs w:val="24"/>
        </w:rPr>
        <w:t xml:space="preserve">Mejoras propuestas para el despliegue en producción</w:t>
      </w:r>
    </w:p>
    <w:p>
      <w:pPr>
        <w:spacing w:after="140" w:line="300"/>
        <w:jc w:val="both"/>
      </w:pPr>
      <w:r>
        <w:rPr>
          <w:rFonts w:ascii="Calibri" w:cs="Calibri" w:eastAsia="Calibri" w:hAnsi="Calibri"/>
          <w:b w:val="false"/>
          <w:bCs w:val="false"/>
          <w:i w:val="false"/>
          <w:iCs w:val="false"/>
          <w:sz w:val="22"/>
          <w:szCs w:val="22"/>
        </w:rPr>
        <w:t xml:space="preserve">Para el entorno definitivo de Wanda TI se recomienda complementar el script con los siguientes controles:</w:t>
      </w:r>
    </w:p>
    <w:p>
      <w:pPr>
        <w:pStyle w:val="ListParagraph"/>
        <w:numPr>
          <w:ilvl w:val="0"/>
          <w:numId w:val="2"/>
        </w:numPr>
        <w:spacing w:after="90" w:line="290"/>
        <w:jc w:val="both"/>
      </w:pPr>
      <w:r>
        <w:rPr>
          <w:rFonts w:ascii="Calibri" w:cs="Calibri" w:eastAsia="Calibri" w:hAnsi="Calibri"/>
          <w:sz w:val="22"/>
          <w:szCs w:val="22"/>
        </w:rPr>
        <w:t xml:space="preserve">Delegar la ejecución mediante sudoers a un grupo específico de auditores, en lugar de entregar la contraseña de root, de modo que cada ejecución quede registrada en el sistema de auditoría del servidor.</w:t>
      </w:r>
    </w:p>
    <w:p>
      <w:pPr>
        <w:pStyle w:val="ListParagraph"/>
        <w:numPr>
          <w:ilvl w:val="0"/>
          <w:numId w:val="2"/>
        </w:numPr>
        <w:spacing w:after="90" w:line="290"/>
        <w:jc w:val="both"/>
      </w:pPr>
      <w:r>
        <w:rPr>
          <w:rFonts w:ascii="Calibri" w:cs="Calibri" w:eastAsia="Calibri" w:hAnsi="Calibri"/>
          <w:sz w:val="22"/>
          <w:szCs w:val="22"/>
        </w:rPr>
        <w:t xml:space="preserve">Almacenar los reportes generados con permisos 600 y en un directorio de acceso exclusivo del administrador, dado que constituyen un inventario detallado de la estructura del sistema.</w:t>
      </w:r>
    </w:p>
    <w:p>
      <w:pPr>
        <w:pStyle w:val="ListParagraph"/>
        <w:numPr>
          <w:ilvl w:val="0"/>
          <w:numId w:val="2"/>
        </w:numPr>
        <w:spacing w:after="90" w:line="290"/>
        <w:jc w:val="both"/>
      </w:pPr>
      <w:r>
        <w:rPr>
          <w:rFonts w:ascii="Calibri" w:cs="Calibri" w:eastAsia="Calibri" w:hAnsi="Calibri"/>
          <w:sz w:val="22"/>
          <w:szCs w:val="22"/>
        </w:rPr>
        <w:t xml:space="preserve">Registrar cada ejecución en el journal del sistema mediante logger, integrando así la auditoría con las herramientas de monitoreo ya existentes en la empresa.</w:t>
      </w:r>
    </w:p>
    <w:p>
      <w:pPr>
        <w:pStyle w:val="ListParagraph"/>
        <w:numPr>
          <w:ilvl w:val="0"/>
          <w:numId w:val="2"/>
        </w:numPr>
        <w:spacing w:after="90" w:line="290"/>
        <w:jc w:val="both"/>
      </w:pPr>
      <w:r>
        <w:rPr>
          <w:rFonts w:ascii="Calibri" w:cs="Calibri" w:eastAsia="Calibri" w:hAnsi="Calibri"/>
          <w:sz w:val="22"/>
          <w:szCs w:val="22"/>
        </w:rPr>
        <w:t xml:space="preserve">Programar la ejecución periódica con cron y conservar un histórico de reportes, lo que permite detectar cambios no autorizados en permisos o crecimientos anómalos de espacio.</w:t>
      </w:r>
    </w:p>
    <w:p>
      <w:pPr>
        <w:pStyle w:val="ListParagraph"/>
        <w:numPr>
          <w:ilvl w:val="0"/>
          <w:numId w:val="2"/>
        </w:numPr>
        <w:spacing w:after="90" w:line="290"/>
        <w:jc w:val="both"/>
      </w:pPr>
      <w:r>
        <w:rPr>
          <w:rFonts w:ascii="Calibri" w:cs="Calibri" w:eastAsia="Calibri" w:hAnsi="Calibri"/>
          <w:sz w:val="22"/>
          <w:szCs w:val="22"/>
        </w:rPr>
        <w:t xml:space="preserve">Restringir la modificación del script mediante control de versiones y verificación de integridad, evitando alteraciones no autorizadas del código fuente.</w:t>
      </w:r>
    </w:p>
    <w:p>
      <w:pPr>
        <w:pBdr>
          <w:top w:val="single" w:color="1F4E79" w:sz="8" w:space="10"/>
        </w:pBdr>
        <w:spacing w:before="400"/>
      </w:pPr>
      <w:r>
        <w:rPr>
          <w:rFonts w:ascii="Calibri" w:cs="Calibri" w:eastAsia="Calibri" w:hAnsi="Calibri"/>
          <w:i/>
          <w:iCs/>
          <w:color w:val="595959"/>
          <w:sz w:val="18"/>
          <w:szCs w:val="18"/>
        </w:rPr>
        <w:t xml:space="preserve">Documento elaborado como parte del Trabajo Final del curso Red Hat System Administration I (Linux Red Hat) — SENATI, Redes y Seguridad Informática.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2026-09-12T16:56:54.744Z</dcterms:created>
  <dcterms:modified xsi:type="dcterms:W3CDTF">2026-09-12T16:56:54.758Z</dcterms:modified>
</cp:coreProperties>
</file>

<file path=docProps/custom.xml><?xml version="1.0" encoding="utf-8"?>
<Properties xmlns="http://schemas.openxmlformats.org/officeDocument/2006/custom-properties" xmlns:vt="http://schemas.openxmlformats.org/officeDocument/2006/docPropsVTypes"/>
</file>