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52D5A" w14:textId="2C4E92CD" w:rsidR="003A2C99" w:rsidRPr="003A2C99" w:rsidRDefault="003A2C99" w:rsidP="003A2C99">
      <w:pPr>
        <w:spacing w:line="360" w:lineRule="auto"/>
        <w:jc w:val="center"/>
        <w:rPr>
          <w:rFonts w:ascii="Times New Roman" w:hAnsi="Times New Roman" w:cs="Times New Roman"/>
          <w:b/>
          <w:bCs/>
        </w:rPr>
      </w:pPr>
      <w:r w:rsidRPr="003A2C99">
        <w:rPr>
          <w:rFonts w:ascii="Times New Roman" w:hAnsi="Times New Roman" w:cs="Times New Roman"/>
          <w:b/>
          <w:bCs/>
        </w:rPr>
        <w:t>Intelligent Contextual Multi-Armed Bandit Optimisation for Adaptive Multi-Zone HVAC Control, Dynamic Set-Point Selection, and Portfolio-Wide Building Energy &amp; Comfort Management</w:t>
      </w:r>
      <w:r w:rsidRPr="003A2C99">
        <w:rPr>
          <w:rFonts w:ascii="Times New Roman" w:hAnsi="Times New Roman" w:cs="Times New Roman"/>
          <w:b/>
          <w:bCs/>
        </w:rPr>
        <w:br/>
      </w:r>
      <w:r w:rsidRPr="003A2C99">
        <w:rPr>
          <w:rFonts w:ascii="Times New Roman" w:hAnsi="Times New Roman" w:cs="Times New Roman"/>
          <w:b/>
          <w:bCs/>
        </w:rPr>
        <w:t xml:space="preserve">APEX HORIZON PROPERTIES CORPORATION </w:t>
      </w:r>
    </w:p>
    <w:p w14:paraId="268DACE0" w14:textId="3967CFB1" w:rsidR="003A2C99" w:rsidRPr="003A2C99" w:rsidRDefault="003A2C99" w:rsidP="003A2C99">
      <w:pPr>
        <w:spacing w:line="360" w:lineRule="auto"/>
        <w:jc w:val="center"/>
        <w:rPr>
          <w:rFonts w:ascii="Times New Roman" w:hAnsi="Times New Roman" w:cs="Times New Roman"/>
          <w:b/>
          <w:bCs/>
        </w:rPr>
      </w:pPr>
      <w:r w:rsidRPr="003A2C99">
        <w:rPr>
          <w:rFonts w:ascii="Times New Roman" w:hAnsi="Times New Roman" w:cs="Times New Roman"/>
          <w:b/>
          <w:bCs/>
        </w:rPr>
        <w:t>Digital Transformation Office in close collaboration with Facilities Operations &amp; Engineering, Central Energy Management, Building Services &amp; Controls Engineering, Occupant Experience &amp; Property Management, Sustainability &amp; ESG Reporting, Finance &amp; Treasury, Procurement &amp; Vendor Management, Information Security &amp; Cyber-Physical Systems, Risk, Compliance &amp; Insurance, and Tenant Relations</w:t>
      </w:r>
      <w:r w:rsidRPr="003A2C99">
        <w:rPr>
          <w:rFonts w:ascii="Times New Roman" w:hAnsi="Times New Roman" w:cs="Times New Roman"/>
          <w:b/>
          <w:bCs/>
        </w:rPr>
        <w:br/>
      </w:r>
    </w:p>
    <w:p w14:paraId="4C0F0E9D" w14:textId="78B0828F"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t>1. Document Purpose, Scope of Decision, and Authorization Request</w:t>
      </w:r>
    </w:p>
    <w:p w14:paraId="5372F399" w14:textId="77777777"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This business case constitutes the complete, standalone, exhaustive, and self-contained justification for the launch and multi-year execution of the Intelligent Contextual Multi-Armed Bandit Optimisation for Adaptive Multi-Zone HVAC Control, Dynamic Set-Point Selection, and Portfolio-Wide Building Energy &amp; Comfort Management Initiative at Apex Horizon Properties Corporation. It is written expressly to support a formal decision by the Board of Directors and the Executive Leadership Team. The document examines the strategic, operational, technical, financial, risk, organisational, and regulatory context in substantially greater depth than any prior internal business case. It provides a rigorously quantified analysis of current-state operational, energy, comfort, equipment-health, peak-demand, ESG, and financial pain points arising from static schedules, simple rule-based overrides, and reactive feedback loops across a large, multi-climate commercial real-estate portfolio. It articulates a clear solution vision grounded in design principles appropriate to a safety-, comfort-, and reputation-critical owner-operator of commercial buildings. It defines priority use cases with detailed mechanisms of value creation and explicit reward formulations. It specifies functional and non-functional requirements at a level of granularity sufficient to guide architecture, data modelling, policy design, safety interlocks, and delivery under absolute technological constraints. It lists concrete deliverables with explicit, measurable acceptance criteria. It presents a benefits-realisation framework, conservative financial perspective, multi-scenario sensitivity analysis, and stage-gate funding discipline. It details a multi-phase implementation roadmap with entry and </w:t>
      </w:r>
      <w:proofErr w:type="gramStart"/>
      <w:r w:rsidRPr="003A2C99">
        <w:rPr>
          <w:rFonts w:ascii="Times New Roman" w:hAnsi="Times New Roman" w:cs="Times New Roman"/>
        </w:rPr>
        <w:t>exit</w:t>
      </w:r>
      <w:proofErr w:type="gramEnd"/>
      <w:r w:rsidRPr="003A2C99">
        <w:rPr>
          <w:rFonts w:ascii="Times New Roman" w:hAnsi="Times New Roman" w:cs="Times New Roman"/>
        </w:rPr>
        <w:t xml:space="preserve"> criteria. It contains an expanded, multi-category risk register with inherent and residual ratings, early-warning indicators, mitigation actions, and predefined </w:t>
      </w:r>
      <w:r w:rsidRPr="003A2C99">
        <w:rPr>
          <w:rFonts w:ascii="Times New Roman" w:hAnsi="Times New Roman" w:cs="Times New Roman"/>
        </w:rPr>
        <w:lastRenderedPageBreak/>
        <w:t>contingency options. It describes the required governance and organisational model, including RACI principles. It outlines a comprehensive change-management, communication, and adoption strategy. Finally, it defines the balanced success-measurement system that will govern continuation, acceleration, or termination decisions at every stage gate.</w:t>
      </w:r>
    </w:p>
    <w:p w14:paraId="53136491" w14:textId="25EB6AF5"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The specific decision requested is:</w:t>
      </w:r>
    </w:p>
    <w:p w14:paraId="2A05FC73" w14:textId="77777777" w:rsidR="003A2C99" w:rsidRPr="003A2C99" w:rsidRDefault="003A2C99" w:rsidP="003A2C99">
      <w:pPr>
        <w:numPr>
          <w:ilvl w:val="0"/>
          <w:numId w:val="1"/>
        </w:numPr>
        <w:spacing w:line="360" w:lineRule="auto"/>
        <w:jc w:val="both"/>
        <w:rPr>
          <w:rFonts w:ascii="Times New Roman" w:hAnsi="Times New Roman" w:cs="Times New Roman"/>
        </w:rPr>
      </w:pPr>
      <w:r w:rsidRPr="003A2C99">
        <w:rPr>
          <w:rFonts w:ascii="Times New Roman" w:hAnsi="Times New Roman" w:cs="Times New Roman"/>
        </w:rPr>
        <w:t xml:space="preserve">Formal approval of the Intelligent Contextual Multi-Armed Bandit Optimisation Initiative as a strategic enterprise program of Apex Horizon Properties Corporation. </w:t>
      </w:r>
    </w:p>
    <w:p w14:paraId="42B2963A" w14:textId="77777777" w:rsidR="003A2C99" w:rsidRPr="003A2C99" w:rsidRDefault="003A2C99" w:rsidP="003A2C99">
      <w:pPr>
        <w:numPr>
          <w:ilvl w:val="0"/>
          <w:numId w:val="1"/>
        </w:numPr>
        <w:spacing w:line="360" w:lineRule="auto"/>
        <w:jc w:val="both"/>
        <w:rPr>
          <w:rFonts w:ascii="Times New Roman" w:hAnsi="Times New Roman" w:cs="Times New Roman"/>
        </w:rPr>
      </w:pPr>
      <w:r w:rsidRPr="003A2C99">
        <w:rPr>
          <w:rFonts w:ascii="Times New Roman" w:hAnsi="Times New Roman" w:cs="Times New Roman"/>
        </w:rPr>
        <w:t xml:space="preserve">Authorization to commence Phase 0 (Mobilization, Deep Requirements Elaboration, Telemetry Profiling, and Detailed Design), including the associated initial funding envelope, allocation or recruitment of core program resources, appointment of the Executive Sponsor, and immediate formation of the cross-functional Steering Committee and the Model/Policy Risk &amp; Safety Forum. </w:t>
      </w:r>
    </w:p>
    <w:p w14:paraId="583A0FBA" w14:textId="77777777" w:rsidR="003A2C99" w:rsidRPr="003A2C99" w:rsidRDefault="003A2C99" w:rsidP="003A2C99">
      <w:pPr>
        <w:numPr>
          <w:ilvl w:val="0"/>
          <w:numId w:val="1"/>
        </w:numPr>
        <w:spacing w:line="360" w:lineRule="auto"/>
        <w:jc w:val="both"/>
        <w:rPr>
          <w:rFonts w:ascii="Times New Roman" w:hAnsi="Times New Roman" w:cs="Times New Roman"/>
        </w:rPr>
      </w:pPr>
      <w:r w:rsidRPr="003A2C99">
        <w:rPr>
          <w:rFonts w:ascii="Times New Roman" w:hAnsi="Times New Roman" w:cs="Times New Roman"/>
        </w:rPr>
        <w:t>Explicit commitment that subsequent phase funding will be released only upon successful completion of defined stage-gate criteria, including demonstrated technical progress against pre-agreed metrics, measured pilot value on live building telemetry and actual energy/comfort outcomes, updated quantitative risk assessment, re-validated benefits projections under multiple scenarios, confirmed safety-bound integrity, and unbroken adherence to the exclusive PostgreSQL-centric data, feature, policy-lifecycle, and monitoring architecture together with Power BI as the sole authorised decision-support and visualisation layer.</w:t>
      </w:r>
    </w:p>
    <w:p w14:paraId="6BE2D0DF" w14:textId="6AA23DE3"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This document is intentionally written so that decision-makers possess full, unambiguous visibility of opportunity size, cost structure, residual risk, data and integration dependencies, occupant-comfort and equipment-safety exposure, regulatory and ESG implications, organisational change requirements, and long-term capability-building value before any authorisation is granted.</w:t>
      </w:r>
    </w:p>
    <w:p w14:paraId="1412361A" w14:textId="56E35FE6"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t>2. Executive Summary</w:t>
      </w:r>
    </w:p>
    <w:p w14:paraId="5D8AA838" w14:textId="77777777"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Apex Horizon Properties Corporation owns, operates, and provides full facilities management for a diversified portfolio of commercial office towers, premium mixed-use developments, lifestyle retail centres, and selective specialty assets located across six distinct climate zones. The current portfolio comprises 167 buildings with a total conditioned floor area exceeding 34 million square feet. HVAC </w:t>
      </w:r>
      <w:r w:rsidRPr="003A2C99">
        <w:rPr>
          <w:rFonts w:ascii="Times New Roman" w:hAnsi="Times New Roman" w:cs="Times New Roman"/>
        </w:rPr>
        <w:t>systems</w:t>
      </w:r>
      <w:r>
        <w:rPr>
          <w:rFonts w:ascii="Times New Roman" w:hAnsi="Times New Roman" w:cs="Times New Roman"/>
        </w:rPr>
        <w:t xml:space="preserve"> encompassing</w:t>
      </w:r>
      <w:r w:rsidRPr="003A2C99">
        <w:rPr>
          <w:rFonts w:ascii="Times New Roman" w:hAnsi="Times New Roman" w:cs="Times New Roman"/>
        </w:rPr>
        <w:t xml:space="preserve"> air-handling units, variable-air-volume </w:t>
      </w:r>
      <w:r w:rsidRPr="003A2C99">
        <w:rPr>
          <w:rFonts w:ascii="Times New Roman" w:hAnsi="Times New Roman" w:cs="Times New Roman"/>
        </w:rPr>
        <w:lastRenderedPageBreak/>
        <w:t xml:space="preserve">boxes, chillers, boilers, heat pumps, fans, pumps, and associated zone-level </w:t>
      </w:r>
      <w:r w:rsidRPr="003A2C99">
        <w:rPr>
          <w:rFonts w:ascii="Times New Roman" w:hAnsi="Times New Roman" w:cs="Times New Roman"/>
        </w:rPr>
        <w:t>actuators</w:t>
      </w:r>
      <w:r>
        <w:rPr>
          <w:rFonts w:ascii="Times New Roman" w:hAnsi="Times New Roman" w:cs="Times New Roman"/>
        </w:rPr>
        <w:t xml:space="preserve"> represent</w:t>
      </w:r>
      <w:r w:rsidRPr="003A2C99">
        <w:rPr>
          <w:rFonts w:ascii="Times New Roman" w:hAnsi="Times New Roman" w:cs="Times New Roman"/>
        </w:rPr>
        <w:t xml:space="preserve"> the single largest controllable energy end-use, typically accounting for 38–52 % of total building electricity consumption and a substantial share of thermal energy, depending on climate severity, building vintage, glazing ratio, occupancy density, and operating hours. Over the past twelve years the company has executed successive waves of efficiency investment including LED lighting, basic building-management-system upgrades, selective variable-frequency drives, enhanced sub-metering, and rudimentary scheduling. Nevertheless, the dominant control paradigm remains static or seasonally adjusted set-point schedules, simple rule-based overrides triggered by temperature excursions, and reactive feedback loops that lack any systematic capacity to explore, learn, and exploit the high-dimensional, non-stationary context of outdoor weather trajectories, real-time and forecast occupancy patterns, time-of-use and demand electricity tariffs, internal heat gains from equipment and people, solar radiation, equipment performance drift, and inter-zone thermal </w:t>
      </w:r>
      <w:r w:rsidRPr="003A2C99">
        <w:rPr>
          <w:rFonts w:ascii="Times New Roman" w:hAnsi="Times New Roman" w:cs="Times New Roman"/>
        </w:rPr>
        <w:t>coupling. The</w:t>
      </w:r>
      <w:r w:rsidRPr="003A2C99">
        <w:rPr>
          <w:rFonts w:ascii="Times New Roman" w:hAnsi="Times New Roman" w:cs="Times New Roman"/>
        </w:rPr>
        <w:t xml:space="preserve"> observable consequences are persistent and quantifiable: energy consumption during periods of demonstrably low occupancy or favourable outdoor conditions that could safely support relaxed set-points; thermal-comfort complaint volumes that spike during shoulder seasons and high-load events; elevated peak-demand charges that are only partially mitigated by manual pre-cooling; accelerated equipment cycling and associated maintenance cost; missed or under-optimised participation in demand-response and ancillary-service programmes; and a growing gap between stated ESG ambitions and measurable operational performance. Facility engineers, energy managers, and property teams devote a disproportionate fraction of their time to retrospective trend-log analysis, manual parameter tuning, and reactive work-order resolution rather than continuous, context-aware policy improvement. Occupant-experience scores and green-lease compliance metrics are correspondingly </w:t>
      </w:r>
      <w:r w:rsidRPr="003A2C99">
        <w:rPr>
          <w:rFonts w:ascii="Times New Roman" w:hAnsi="Times New Roman" w:cs="Times New Roman"/>
        </w:rPr>
        <w:t>constrained. The</w:t>
      </w:r>
      <w:r w:rsidRPr="003A2C99">
        <w:rPr>
          <w:rFonts w:ascii="Times New Roman" w:hAnsi="Times New Roman" w:cs="Times New Roman"/>
        </w:rPr>
        <w:t xml:space="preserve"> Intelligent Contextual Multi-Armed Bandit Optimisation Initiative is proposed as the structured, platform-oriented, and rigorously governed response. The program will create a single, high-integrity, fully governed analytical data foundation that consolidates curated building telemetry (zone air temperatures, supply and return conditions, set-points, valve and damper positions, fan and pump speeds, energy sub-meters, occupancy proxies derived from badge, Wi-Fi or CO₂ signals, weather station and forecast feeds, tariff calendars, and equipment runtime counters), equipment and zone metadata, historical control actions, and computed rewards</w:t>
      </w:r>
      <w:r>
        <w:rPr>
          <w:rFonts w:ascii="Times New Roman" w:hAnsi="Times New Roman" w:cs="Times New Roman"/>
        </w:rPr>
        <w:t xml:space="preserve">  </w:t>
      </w:r>
      <w:r w:rsidRPr="003A2C99">
        <w:rPr>
          <w:rFonts w:ascii="Times New Roman" w:hAnsi="Times New Roman" w:cs="Times New Roman"/>
        </w:rPr>
        <w:t xml:space="preserve">all residing exclusively inside PostgreSQL. Upon that foundation the program will develop, independently validate where risk classification requires, deploy, and continuously monitor contextual multi-armed bandit policies. These policies will be approximated and executed entirely via </w:t>
      </w:r>
      <w:r w:rsidRPr="003A2C99">
        <w:rPr>
          <w:rFonts w:ascii="Times New Roman" w:hAnsi="Times New Roman" w:cs="Times New Roman"/>
        </w:rPr>
        <w:lastRenderedPageBreak/>
        <w:t xml:space="preserve">algorithms natively supported by chosen PostgreSQL machine-learning extensions (gradient-boosted trees for reward modelling and action ranking, regularised linear models for </w:t>
      </w:r>
      <w:proofErr w:type="spellStart"/>
      <w:r w:rsidRPr="003A2C99">
        <w:rPr>
          <w:rFonts w:ascii="Times New Roman" w:hAnsi="Times New Roman" w:cs="Times New Roman"/>
        </w:rPr>
        <w:t>LinUCB</w:t>
      </w:r>
      <w:proofErr w:type="spellEnd"/>
      <w:r w:rsidRPr="003A2C99">
        <w:rPr>
          <w:rFonts w:ascii="Times New Roman" w:hAnsi="Times New Roman" w:cs="Times New Roman"/>
        </w:rPr>
        <w:t>-style confidence-bound approximations, logistic models, and basic clustering for context discretisation) together with extensive SQL-based feature engineering and online or periodic policy updates. The policies select discrete or carefully discretised continuous HVAC actions (zone or zone-group set-point adjustments within hard comfort and equipment bounds, operating-mode selections, fan-speed targets, damper-position targets) under the currently observed context vector in order to maximise a composite, multi-objective reward that balances energy cost (including time-of-use and demand components), thermal-comfort deviation (soft and hard band violations), short-term thermal stability, and equipment-stress proxies. All recommendations, uncertainty estimates, feature-importance explanations, and monitoring statistics will be written back into PostgreSQL tables and delivered exclusively through role-specific Power BI decision-support environments. Hard safety interlocks, human-in-the-loop overrides, and full auditability are non-negotiable design invariants; algorithms inform and prioritise; authorised personnel or supervised closed-loop actuators retain final decision authority within immutable bounds.</w:t>
      </w:r>
    </w:p>
    <w:p w14:paraId="4260B9AD" w14:textId="77777777"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The initiative is deliberately conceived as a reusable enterprise platform rather than a collection of isolated point solutions. Early use cases are chosen both for their direct, measurable economic and comfort return and for their ability to generate reusable data products, versioned feature tables, policy-lifecycle patterns, safety-bound templates, and decision interfaces that will accelerate every subsequent use case and future extensions into predictive maintenance integration or portfolio-level energy trading. Conservative base-case projections, grounded in internal telemetry baselines and industry-reported results from comparable commercial portfolios, indicate HVAC energy-intensity reductions in the range of 9–16 % on pilot cohorts within 18–24 months, material reductions in peak-demand charges, measurable declines in thermal-comfort work-order volume, deferred equipment maintenance, and improved ESG reporting metrics within a 24-to-36-month horizon. These operational gains are expected to strengthen competitive positioning in tenant attraction and retention, green-lease negotiations, and external sustainability ratings. Equally important, the program will institutionalise a durable organisational capability in governed sequential decision-making under uncertainty that compounds over time.</w:t>
      </w:r>
    </w:p>
    <w:p w14:paraId="795A897F" w14:textId="77777777" w:rsidR="00135D51" w:rsidRDefault="00135D51" w:rsidP="003A2C99">
      <w:pPr>
        <w:spacing w:line="360" w:lineRule="auto"/>
        <w:jc w:val="both"/>
        <w:rPr>
          <w:rFonts w:ascii="Times New Roman" w:hAnsi="Times New Roman" w:cs="Times New Roman"/>
        </w:rPr>
      </w:pPr>
    </w:p>
    <w:p w14:paraId="15BD90C7" w14:textId="77777777"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lastRenderedPageBreak/>
        <w:t>3. Organizational, Market, and Strategic Context</w:t>
      </w:r>
    </w:p>
    <w:p w14:paraId="42C22739" w14:textId="77777777"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t>3.1 Company Profile, Operating Footprint, and Economic Characteristics</w:t>
      </w:r>
    </w:p>
    <w:p w14:paraId="7A900D4B" w14:textId="77777777"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Apex Horizon Properties Corporation is a mid-to-large-tier commercial real-estate owner-operator and integrated facilities-management provider. Core activities encompass long-term ownership and active management of office, retail, and mixed-use assets, day-to-day building operations and maintenance, centralised energy procurement and performance management, tenant services and experience, and capital planning for system modernisation. The portfolio currently comprises 167 buildings totalling more than 34 million square feet of conditioned space distributed across six climate zones ranging from hot-humid to cold-dry. Annual portfolio energy expenditure is measured in the mid-to-high tens of millions of dollars, of which HVAC-related electricity and thermal energy constitute the dominant controllable share. The enterprise employs approximately 4,100 people across property management, facilities engineering, energy, sustainability, and corporate functions, and maintains commercial relationships with more than 750 service contractors, equipment original-equipment manufacturers, energy suppliers, and technology vendors. After-hours and weekend operation of many assets, combined with variable tenant density, creates a particularly rich and non-stationary decision environment for adaptive control.</w:t>
      </w:r>
    </w:p>
    <w:p w14:paraId="52C49613" w14:textId="77777777"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t>3.2 Published Strategic Priorities and Existing Transformation Portfolio</w:t>
      </w:r>
    </w:p>
    <w:p w14:paraId="467A388C" w14:textId="035AF062"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Apex Horizon’s formal strategic agenda, as approved by the Board, emphasises six interlocking themes:</w:t>
      </w:r>
    </w:p>
    <w:p w14:paraId="59D834DD"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t xml:space="preserve">Delivery of the lowest practical total cost of occupancy for tenants while consistently meeting or exceeding thermal-comfort and indoor-environmental-quality expectations. </w:t>
      </w:r>
    </w:p>
    <w:p w14:paraId="5670F29A"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t xml:space="preserve">Operational excellence, productivity, and risk reduction across all facilities-management and energy-operations processes. </w:t>
      </w:r>
    </w:p>
    <w:p w14:paraId="4617E280"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t xml:space="preserve">Credible, auditable progress toward net-zero-ready and grid-interactive efficient building performance in line with corporate ESG commitments and emerging regulatory disclosure requirements. </w:t>
      </w:r>
    </w:p>
    <w:p w14:paraId="1D591933"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t xml:space="preserve">Data-driven differentiation in tenant attraction, retention, lease negotiations, and external sustainability ratings. </w:t>
      </w:r>
    </w:p>
    <w:p w14:paraId="7E28850D"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lastRenderedPageBreak/>
        <w:t xml:space="preserve">Disciplined capital allocation that prioritises high-return energy, controls, and digital interventions with clear measurement of realised value. </w:t>
      </w:r>
    </w:p>
    <w:p w14:paraId="73854785" w14:textId="77777777" w:rsidR="003A2C99" w:rsidRPr="003A2C99" w:rsidRDefault="003A2C99" w:rsidP="003A2C99">
      <w:pPr>
        <w:numPr>
          <w:ilvl w:val="0"/>
          <w:numId w:val="2"/>
        </w:numPr>
        <w:spacing w:line="360" w:lineRule="auto"/>
        <w:jc w:val="both"/>
        <w:rPr>
          <w:rFonts w:ascii="Times New Roman" w:hAnsi="Times New Roman" w:cs="Times New Roman"/>
        </w:rPr>
      </w:pPr>
      <w:r w:rsidRPr="003A2C99">
        <w:rPr>
          <w:rFonts w:ascii="Times New Roman" w:hAnsi="Times New Roman" w:cs="Times New Roman"/>
        </w:rPr>
        <w:t>Systematic reduction of operational risk associated with energy-price volatility, equipment failure, and occupant dissatisfaction.</w:t>
      </w:r>
    </w:p>
    <w:p w14:paraId="4DAE5734" w14:textId="343C0BEB"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Parallel transformation programmes already address LED retrofits, phased BMS upgrades, selective variable-frequency-drive installations, enhanced interval metering, and basic fault-detection rules. The Contextual Multi-Armed Bandit Adaptive HVAC Initiative is designed to complement, amplify, and ultimately supersede the limitations of these earlier efforts by inserting a sequential, context-aware, continuously learning decision layer that converts the continuous stream of high-resolution building telemetry into improving control </w:t>
      </w:r>
      <w:r w:rsidRPr="003A2C99">
        <w:rPr>
          <w:rFonts w:ascii="Times New Roman" w:hAnsi="Times New Roman" w:cs="Times New Roman"/>
        </w:rPr>
        <w:t>policies</w:t>
      </w:r>
      <w:r>
        <w:rPr>
          <w:rFonts w:ascii="Times New Roman" w:hAnsi="Times New Roman" w:cs="Times New Roman"/>
        </w:rPr>
        <w:t xml:space="preserve"> while</w:t>
      </w:r>
      <w:r w:rsidRPr="003A2C99">
        <w:rPr>
          <w:rFonts w:ascii="Times New Roman" w:hAnsi="Times New Roman" w:cs="Times New Roman"/>
        </w:rPr>
        <w:t xml:space="preserve"> remaining strictly inside the mandated PostgreSQL and Power BI technology boundaries.</w:t>
      </w:r>
    </w:p>
    <w:p w14:paraId="1F9F14CA" w14:textId="77777777"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t>3.3 Industry Structure, Competitive Dynamics, and Tenant Expectations</w:t>
      </w:r>
    </w:p>
    <w:p w14:paraId="74780F8A" w14:textId="77777777" w:rsid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Commercial real estate continues to be defined by high structural energy intensity, rising and increasingly volatile electricity and carbon costs, tightening energy-benchmarking and carbon-disclosure regulations, growing tenant expectations for both thermal comfort and demonstrable sustainability performance, and the emergence of green-lease clauses that shift a portion of energy and carbon risk onto landlords. Larger peer owners and specialised energy-service companies have begun deploying advanced analytics, model-predictive control, and early reinforcement-learning pilots. Many of these solutions, however, rely on external cloud platforms that raise legitimate concerns around data sovereignty, latency for near-real-time control, integration complexity with existing BMS, and long-term cost. </w:t>
      </w:r>
      <w:r w:rsidRPr="003A2C99">
        <w:rPr>
          <w:rFonts w:ascii="Times New Roman" w:hAnsi="Times New Roman" w:cs="Times New Roman"/>
        </w:rPr>
        <w:t>Tenants</w:t>
      </w:r>
      <w:r>
        <w:rPr>
          <w:rFonts w:ascii="Times New Roman" w:hAnsi="Times New Roman" w:cs="Times New Roman"/>
        </w:rPr>
        <w:t xml:space="preserve"> particularly</w:t>
      </w:r>
      <w:r w:rsidRPr="003A2C99">
        <w:rPr>
          <w:rFonts w:ascii="Times New Roman" w:hAnsi="Times New Roman" w:cs="Times New Roman"/>
        </w:rPr>
        <w:t xml:space="preserve"> institutional and corporate </w:t>
      </w:r>
      <w:r w:rsidRPr="003A2C99">
        <w:rPr>
          <w:rFonts w:ascii="Times New Roman" w:hAnsi="Times New Roman" w:cs="Times New Roman"/>
        </w:rPr>
        <w:t>occupiers</w:t>
      </w:r>
      <w:r>
        <w:rPr>
          <w:rFonts w:ascii="Times New Roman" w:hAnsi="Times New Roman" w:cs="Times New Roman"/>
        </w:rPr>
        <w:t xml:space="preserve"> increasingly</w:t>
      </w:r>
      <w:r w:rsidRPr="003A2C99">
        <w:rPr>
          <w:rFonts w:ascii="Times New Roman" w:hAnsi="Times New Roman" w:cs="Times New Roman"/>
        </w:rPr>
        <w:t xml:space="preserve"> evaluate landlords on actual measured energy performance, comfort-complaint rates, transparency of ESG metrics, and willingness to share performance data. In this environment, continued reliance on static schedules and manual or simple-rule tuning progressively widens the competitive gap in operating cost, tenant satisfaction scores, certification outcomes (LEED, BREEAM, NABERS, or equivalent), and ultimately portfolio valuation. Conversely, a credible, fully auditable, continuously improving contextual-bandit capability that operates exclusively on governed data inside PostgreSQL and is consumed via Power BI can become a tangible and defensible differentiator.</w:t>
      </w:r>
    </w:p>
    <w:p w14:paraId="0CA8DA0C" w14:textId="77777777" w:rsidR="00135D51" w:rsidRDefault="00135D51" w:rsidP="003A2C99">
      <w:pPr>
        <w:spacing w:line="360" w:lineRule="auto"/>
        <w:jc w:val="both"/>
        <w:rPr>
          <w:rFonts w:ascii="Times New Roman" w:hAnsi="Times New Roman" w:cs="Times New Roman"/>
          <w:b/>
          <w:bCs/>
        </w:rPr>
      </w:pPr>
    </w:p>
    <w:p w14:paraId="5537D744" w14:textId="77777777" w:rsidR="00135D51" w:rsidRDefault="00135D51" w:rsidP="003A2C99">
      <w:pPr>
        <w:spacing w:line="360" w:lineRule="auto"/>
        <w:jc w:val="both"/>
        <w:rPr>
          <w:rFonts w:ascii="Times New Roman" w:hAnsi="Times New Roman" w:cs="Times New Roman"/>
          <w:b/>
          <w:bCs/>
        </w:rPr>
      </w:pPr>
    </w:p>
    <w:p w14:paraId="3C05177A" w14:textId="44C1ADDD" w:rsidR="003A2C99" w:rsidRPr="003A2C99" w:rsidRDefault="003A2C99" w:rsidP="003A2C99">
      <w:pPr>
        <w:spacing w:line="360" w:lineRule="auto"/>
        <w:jc w:val="both"/>
        <w:rPr>
          <w:rFonts w:ascii="Times New Roman" w:hAnsi="Times New Roman" w:cs="Times New Roman"/>
          <w:b/>
          <w:bCs/>
        </w:rPr>
      </w:pPr>
      <w:r w:rsidRPr="003A2C99">
        <w:rPr>
          <w:rFonts w:ascii="Times New Roman" w:hAnsi="Times New Roman" w:cs="Times New Roman"/>
          <w:b/>
          <w:bCs/>
        </w:rPr>
        <w:lastRenderedPageBreak/>
        <w:t xml:space="preserve">3.4 Current-State Information, Analytics, and Decision </w:t>
      </w:r>
      <w:r w:rsidR="00B73031" w:rsidRPr="003A2C99">
        <w:rPr>
          <w:rFonts w:ascii="Times New Roman" w:hAnsi="Times New Roman" w:cs="Times New Roman"/>
          <w:b/>
          <w:bCs/>
        </w:rPr>
        <w:t>Terrain</w:t>
      </w:r>
    </w:p>
    <w:p w14:paraId="6D7A4A08"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Apex Horizon operates mature building-management systems from multiple vendors, a growing network of interval and sub-meters, weather-station integrations, and a central relational database environment that already supports selected reporting and basic analytics workloads. Nevertheless, HVAC control logic remains predominantly schedule-driven or reactive. Telemetry is abundant yet fragmented across proprietary BMS historians, meter data systems, and manual logs. Contextual </w:t>
      </w:r>
      <w:r w:rsidR="00B73031" w:rsidRPr="003A2C99">
        <w:rPr>
          <w:rFonts w:ascii="Times New Roman" w:hAnsi="Times New Roman" w:cs="Times New Roman"/>
        </w:rPr>
        <w:t>features</w:t>
      </w:r>
      <w:r w:rsidR="00B73031">
        <w:rPr>
          <w:rFonts w:ascii="Times New Roman" w:hAnsi="Times New Roman" w:cs="Times New Roman"/>
        </w:rPr>
        <w:t xml:space="preserve"> real</w:t>
      </w:r>
      <w:r w:rsidRPr="003A2C99">
        <w:rPr>
          <w:rFonts w:ascii="Times New Roman" w:hAnsi="Times New Roman" w:cs="Times New Roman"/>
        </w:rPr>
        <w:t xml:space="preserve">-time and forecast occupancy proxies, tariff periods, solar gains, internal equipment loads, and inter-zone coupling </w:t>
      </w:r>
      <w:r w:rsidR="00B73031" w:rsidRPr="003A2C99">
        <w:rPr>
          <w:rFonts w:ascii="Times New Roman" w:hAnsi="Times New Roman" w:cs="Times New Roman"/>
        </w:rPr>
        <w:t>indicators</w:t>
      </w:r>
      <w:r w:rsidR="00B73031">
        <w:rPr>
          <w:rFonts w:ascii="Times New Roman" w:hAnsi="Times New Roman" w:cs="Times New Roman"/>
        </w:rPr>
        <w:t xml:space="preserve"> are</w:t>
      </w:r>
      <w:r w:rsidRPr="003A2C99">
        <w:rPr>
          <w:rFonts w:ascii="Times New Roman" w:hAnsi="Times New Roman" w:cs="Times New Roman"/>
        </w:rPr>
        <w:t xml:space="preserve"> only partially joined and are almost never used to drive sequential, exploratory decision policies. Advanced techniques such as contextual multi-armed bandits are entirely absent from production operations. Facility engineers and energy managers rely on trend reviews, seasonal schedule adjustments, and experience-based overrides. The cumulative result is quantifiable energy waste, comfort variability, duplicated analytical effort, decision latency, and systematic under-utilisation of the sequential decision signal latent in continuous, high-resolution building data.</w:t>
      </w:r>
    </w:p>
    <w:p w14:paraId="65716BCF" w14:textId="5A4A3FB1" w:rsidR="00B7303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4. Comprehensive Current-State Problem Analysis and Quantified Pain Points</w:t>
      </w:r>
    </w:p>
    <w:p w14:paraId="38268923" w14:textId="77777777" w:rsidR="00B73031" w:rsidRPr="00B73031" w:rsidRDefault="003A2C99" w:rsidP="003A2C99">
      <w:pPr>
        <w:spacing w:line="360" w:lineRule="auto"/>
        <w:jc w:val="both"/>
        <w:rPr>
          <w:rFonts w:ascii="Times New Roman" w:hAnsi="Times New Roman" w:cs="Times New Roman"/>
          <w:b/>
          <w:bCs/>
        </w:rPr>
      </w:pPr>
      <w:r w:rsidRPr="00B73031">
        <w:rPr>
          <w:rFonts w:ascii="Times New Roman" w:hAnsi="Times New Roman" w:cs="Times New Roman"/>
          <w:b/>
          <w:bCs/>
        </w:rPr>
        <w:t>4.1 HVAC Energy Waste under Static, Seasonal, or Simple Rule-Based Control</w:t>
      </w:r>
    </w:p>
    <w:p w14:paraId="7B8EE63A"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Detailed examination of multi-year interval metering, sub-meter data, and corresponding outdoor-weather and occupancy records demonstrates that a material fraction of HVAC electricity and thermal energy is consumed during periods when the prevailing context (low or zero occupancy, mild outdoor enthalpy, favourable tariff windows) would have safely permitted more aggressive set-point relaxation, mode changes, or load shifting without violating comfort bands. Static or seasonally adjusted schedules lack any mechanism for systematic exploration of the action space or for learning the context-dependent reward surface. Conservative internal quantification, cross-checked against industry benchmarks for comparable commercial portfolios, indicates avoidable HVAC energy intensity on the order of 11–19 % on representative building cohorts. At current energy prices and portfolio scale this translates into annual cost exposure measured in the low-to-mid millions of dollars, together with corresponding Scope 2 carbon emissions that directly affect ESG scores and potential future carbon pricing.</w:t>
      </w:r>
    </w:p>
    <w:p w14:paraId="6A48677D" w14:textId="77777777" w:rsidR="00135D51" w:rsidRDefault="00135D51" w:rsidP="003A2C99">
      <w:pPr>
        <w:spacing w:line="360" w:lineRule="auto"/>
        <w:jc w:val="both"/>
        <w:rPr>
          <w:rFonts w:ascii="Times New Roman" w:hAnsi="Times New Roman" w:cs="Times New Roman"/>
        </w:rPr>
      </w:pPr>
    </w:p>
    <w:p w14:paraId="4702D4F8" w14:textId="52B0F8DF"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lastRenderedPageBreak/>
        <w:t>4.2 Thermal Comfort Variability, Occupant Work-Order Volume, and Tenant Experience Impact</w:t>
      </w:r>
    </w:p>
    <w:p w14:paraId="68E72283"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Zone-temperature trajectories, thermostat override logs, and formal comfort-complaint tickets reveal recurring deviations during shoulder seasons, after sudden occupancy changes, during extreme weather events, and after gradual equipment performance drift. Manual overrides and rule changes necessarily lag the actual evolving context. Quantified impact includes elevated work-order volumes (both reactive comfort tickets and subsequent engineering investigations), measurable depression of tenant satisfaction scores, occasional commercial credits or lease concessions, and reputational friction in competitive leasing markets.</w:t>
      </w:r>
    </w:p>
    <w:p w14:paraId="16661FAC" w14:textId="77777777"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4.3 Peak-Demand Charges, Capacity Reservations, and Missed Demand-Response / Flexibility Value</w:t>
      </w:r>
    </w:p>
    <w:p w14:paraId="283E28F2" w14:textId="73B5896D"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The absence of forward-looking, context-aware, and uncertainty-aware control limits the organisation’s ability to pre-cool, pre-heat, or modulate loads in anticipation of high-tariff periods, system peaks, or utility demand-response events. Resulting peak-demand charges, capacity-reservation costs, and forgone incentive or ancillary-service revenue constitute a recurring and partially avoidable financial drag. In several markets the value of flexible load is rising; static control leaves this value largely uncaptured.</w:t>
      </w:r>
    </w:p>
    <w:p w14:paraId="4D9CD3B9" w14:textId="77777777"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4.4 Equipment Cycling Frequency, Wear Accumulation, and Maintenance Cost Trajectory</w:t>
      </w:r>
    </w:p>
    <w:p w14:paraId="256F5A0C"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Frequent, non-optimised start–stop and modulation cycles induced by reactive or poorly coordinated control accelerate mechanical and electrical wear on compressors, fans, pumps, valves, and actuators. Predictive signals of suboptimal control sequences are not systematically harvested or fed back into policy improvement. The longer-term consequence is higher maintenance expenditure, increased probability of unplanned downtime, and earlier capital replacement.</w:t>
      </w:r>
    </w:p>
    <w:p w14:paraId="5A58004E" w14:textId="77777777"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4.5 Analytical Friction, Knowledge Fragmentation, and Hidden Organisational Cost</w:t>
      </w:r>
    </w:p>
    <w:p w14:paraId="7EB9F035"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Energy managers, facilities engineers, and property teams devote a large fraction of available capacity to retrospective log extraction, spreadsheet-based analysis, and manual parameter tuning rather than to continuous policy improvement or higher-value exception management. Decision latency and duplicated effort raise the indirect cost of energy and comfort management itself and slow organisational learning.</w:t>
      </w:r>
    </w:p>
    <w:p w14:paraId="60B67964" w14:textId="77777777"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lastRenderedPageBreak/>
        <w:t>4.6 ESG Reporting Burden, Audit Friction, Green-Lease Compliance, and External Rating Exposure</w:t>
      </w:r>
    </w:p>
    <w:p w14:paraId="0698FF40"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Static control regimes and fragmented analytics increase the labour and elapsed time required to demonstrate continuous improvement, to respond to tenant or investor inquiries on actual versus claimed performance, and to support external certification or rating submissions. Any gap between narrative ESG commitments and measured operational outcomes creates both reputational and, increasingly, regulatory risk.</w:t>
      </w:r>
    </w:p>
    <w:p w14:paraId="23EBB264"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These six problem clusters are tightly interdependent. Improvements realised in any one domain reinforce progress in the others; continued inaction allows energy cost, comfort friction, equipment degradation, and competitive disadvantage to compound while peer owners advance their own adaptive-control capabilities.</w:t>
      </w:r>
    </w:p>
    <w:p w14:paraId="19057376" w14:textId="77777777"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5. Solution Vision, Design Principles, and Architectural Intent</w:t>
      </w:r>
    </w:p>
    <w:p w14:paraId="29F21994"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The Initiative will establish a unified, governed analytical environment that consolidates curated, high-quality telemetry, engineered contextual features, historical action–reward pairs, and policy </w:t>
      </w:r>
      <w:r w:rsidR="00135D51" w:rsidRPr="003A2C99">
        <w:rPr>
          <w:rFonts w:ascii="Times New Roman" w:hAnsi="Times New Roman" w:cs="Times New Roman"/>
        </w:rPr>
        <w:t>artefacts</w:t>
      </w:r>
      <w:r w:rsidR="00135D51">
        <w:rPr>
          <w:rFonts w:ascii="Times New Roman" w:hAnsi="Times New Roman" w:cs="Times New Roman"/>
        </w:rPr>
        <w:t xml:space="preserve"> all</w:t>
      </w:r>
      <w:r w:rsidRPr="003A2C99">
        <w:rPr>
          <w:rFonts w:ascii="Times New Roman" w:hAnsi="Times New Roman" w:cs="Times New Roman"/>
        </w:rPr>
        <w:t xml:space="preserve"> stored, processed, and version-controlled exclusively inside PostgreSQL. On this foundation the program will develop, independently validate where risk classification requires, deploy, and continuously monitor contextual multi-armed bandit policies. These policies will be realised entirely through algorithms and functions natively supported by the chosen PostgreSQL machine-learning extensions, augmented by extensive SQL-based feature engineering, reward calculation, and monitoring logic. Policies select actions from a carefully bounded, discretised action space under the currently observed context vector in order to maximise a composite reward that balances energy cost (energy volume × time-of-use and demand price), thermal-comfort adherence (soft quadratic and hard barrier penalties), short-term thermal stability, and equipment-stress proxies. All recommendations, associated uncertainty or confidence measures, feature-importance explanations, and monitoring statistics are written back into PostgreSQL result tables and surfaced exclusively through role-specific Power BI decision-support environments. Hard safety interlocks (temperature bounds, rate-of-change limits, equipment protection logic) reside both in the policy layer and in the downstream BMS; human-in-the-loop overrides are first-class and fully audited.</w:t>
      </w:r>
    </w:p>
    <w:p w14:paraId="7C557945" w14:textId="77777777" w:rsidR="00135D51" w:rsidRDefault="00135D51" w:rsidP="003A2C99">
      <w:pPr>
        <w:spacing w:line="360" w:lineRule="auto"/>
        <w:jc w:val="both"/>
        <w:rPr>
          <w:rFonts w:ascii="Times New Roman" w:hAnsi="Times New Roman" w:cs="Times New Roman"/>
        </w:rPr>
      </w:pPr>
    </w:p>
    <w:p w14:paraId="5B15A6A3" w14:textId="05BFF48E"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lastRenderedPageBreak/>
        <w:t>Guiding design principles:</w:t>
      </w:r>
    </w:p>
    <w:p w14:paraId="68A695A7"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Platform orientation</w:t>
      </w:r>
      <w:r w:rsidRPr="003A2C99">
        <w:rPr>
          <w:rFonts w:ascii="Times New Roman" w:hAnsi="Times New Roman" w:cs="Times New Roman"/>
        </w:rPr>
        <w:t xml:space="preserve">: every early use case must leave behind reusable, versioned data products, feature tables, reward definitions, policy templates, and safety-bound patterns inside PostgreSQL. </w:t>
      </w:r>
    </w:p>
    <w:p w14:paraId="59C80AB9"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Occupant comfort, equipment safety, and auditability primacy:</w:t>
      </w:r>
      <w:r w:rsidRPr="003A2C99">
        <w:rPr>
          <w:rFonts w:ascii="Times New Roman" w:hAnsi="Times New Roman" w:cs="Times New Roman"/>
        </w:rPr>
        <w:t xml:space="preserve"> any policy capable of influencing live control is subject to elevated standards of offline and online validation, explainability, documentation, immutable safety bounds, and formal change control. </w:t>
      </w:r>
    </w:p>
    <w:p w14:paraId="6A5039FD"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Human-in-the-loop and supervised autonomy by deliberate design</w:t>
      </w:r>
      <w:r w:rsidRPr="003A2C99">
        <w:rPr>
          <w:rFonts w:ascii="Times New Roman" w:hAnsi="Times New Roman" w:cs="Times New Roman"/>
        </w:rPr>
        <w:t xml:space="preserve">: bandit policies generate ranked recommendations or supervised actions; authorised personnel or supervised closed-loop interfaces retain final authority. </w:t>
      </w:r>
    </w:p>
    <w:p w14:paraId="22CD967F"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Closed-loop intent with graceful degradation:</w:t>
      </w:r>
      <w:r w:rsidRPr="003A2C99">
        <w:rPr>
          <w:rFonts w:ascii="Times New Roman" w:hAnsi="Times New Roman" w:cs="Times New Roman"/>
        </w:rPr>
        <w:t xml:space="preserve"> recommendations must be actionable inside existing BMS and energy-management workflows; the system must degrade safely to schedule-based or last-known-good control under any detected anomaly. </w:t>
      </w:r>
    </w:p>
    <w:p w14:paraId="44135C14"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Incremental, value-driven, measurement-first delivery:</w:t>
      </w:r>
      <w:r w:rsidRPr="003A2C99">
        <w:rPr>
          <w:rFonts w:ascii="Times New Roman" w:hAnsi="Times New Roman" w:cs="Times New Roman"/>
        </w:rPr>
        <w:t xml:space="preserve"> each phase must release tangible, independently measurable business benefit while advancing the underlying platform. </w:t>
      </w:r>
    </w:p>
    <w:p w14:paraId="35C05238" w14:textId="77777777" w:rsidR="003A2C99" w:rsidRPr="003A2C99" w:rsidRDefault="003A2C99" w:rsidP="003A2C99">
      <w:pPr>
        <w:numPr>
          <w:ilvl w:val="0"/>
          <w:numId w:val="3"/>
        </w:numPr>
        <w:spacing w:line="360" w:lineRule="auto"/>
        <w:jc w:val="both"/>
        <w:rPr>
          <w:rFonts w:ascii="Times New Roman" w:hAnsi="Times New Roman" w:cs="Times New Roman"/>
        </w:rPr>
      </w:pPr>
      <w:r w:rsidRPr="003A2C99">
        <w:rPr>
          <w:rFonts w:ascii="Times New Roman" w:hAnsi="Times New Roman" w:cs="Times New Roman"/>
        </w:rPr>
        <w:t xml:space="preserve">Governance, lineage, and model/policy risk management embedded from day one. </w:t>
      </w:r>
    </w:p>
    <w:p w14:paraId="2E1EF7DA" w14:textId="77777777" w:rsidR="003A2C99" w:rsidRPr="003A2C99" w:rsidRDefault="003A2C99" w:rsidP="003A2C99">
      <w:pPr>
        <w:numPr>
          <w:ilvl w:val="0"/>
          <w:numId w:val="3"/>
        </w:numPr>
        <w:spacing w:line="360" w:lineRule="auto"/>
        <w:jc w:val="both"/>
        <w:rPr>
          <w:rFonts w:ascii="Times New Roman" w:hAnsi="Times New Roman" w:cs="Times New Roman"/>
        </w:rPr>
      </w:pPr>
      <w:r w:rsidRPr="00135D51">
        <w:rPr>
          <w:rFonts w:ascii="Times New Roman" w:hAnsi="Times New Roman" w:cs="Times New Roman"/>
          <w:b/>
          <w:bCs/>
        </w:rPr>
        <w:t>Absolute technology constraint</w:t>
      </w:r>
      <w:r w:rsidRPr="003A2C99">
        <w:rPr>
          <w:rFonts w:ascii="Times New Roman" w:hAnsi="Times New Roman" w:cs="Times New Roman"/>
        </w:rPr>
        <w:t>: all storage, feature engineering, policy training/updating, inference, monitoring, lineage, and audit logging occur exclusively inside PostgreSQL; Power BI is the sole visualisation, exploration, and interaction layer; no external ML platforms, notebooks for production scoring, or non-PostgreSQL policy engines are permitted.</w:t>
      </w:r>
    </w:p>
    <w:p w14:paraId="34A213C4"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The architectural intent is a cleanly layered structure: </w:t>
      </w:r>
    </w:p>
    <w:p w14:paraId="23116732" w14:textId="77777777" w:rsidR="00135D51" w:rsidRDefault="00135D51" w:rsidP="003A2C99">
      <w:pPr>
        <w:spacing w:line="360" w:lineRule="auto"/>
        <w:jc w:val="both"/>
        <w:rPr>
          <w:rFonts w:ascii="Times New Roman" w:hAnsi="Times New Roman" w:cs="Times New Roman"/>
        </w:rPr>
      </w:pPr>
      <w:r>
        <w:rPr>
          <w:rFonts w:ascii="Times New Roman" w:hAnsi="Times New Roman" w:cs="Times New Roman"/>
        </w:rPr>
        <w:t>1. C</w:t>
      </w:r>
      <w:r w:rsidR="003A2C99" w:rsidRPr="003A2C99">
        <w:rPr>
          <w:rFonts w:ascii="Times New Roman" w:hAnsi="Times New Roman" w:cs="Times New Roman"/>
        </w:rPr>
        <w:t>urated analytical data foundation inside PostgreSQL</w:t>
      </w:r>
      <w:r>
        <w:rPr>
          <w:rFonts w:ascii="Times New Roman" w:hAnsi="Times New Roman" w:cs="Times New Roman"/>
        </w:rPr>
        <w:t>.</w:t>
      </w:r>
    </w:p>
    <w:p w14:paraId="08B5412F" w14:textId="77777777" w:rsidR="00135D51" w:rsidRDefault="00135D51" w:rsidP="003A2C99">
      <w:pPr>
        <w:spacing w:line="360" w:lineRule="auto"/>
        <w:jc w:val="both"/>
        <w:rPr>
          <w:rFonts w:ascii="Times New Roman" w:hAnsi="Times New Roman" w:cs="Times New Roman"/>
        </w:rPr>
      </w:pPr>
      <w:r>
        <w:rPr>
          <w:rFonts w:ascii="Times New Roman" w:hAnsi="Times New Roman" w:cs="Times New Roman"/>
        </w:rPr>
        <w:t>2. F</w:t>
      </w:r>
      <w:r w:rsidR="003A2C99" w:rsidRPr="003A2C99">
        <w:rPr>
          <w:rFonts w:ascii="Times New Roman" w:hAnsi="Times New Roman" w:cs="Times New Roman"/>
        </w:rPr>
        <w:t>eature and reward engineering layer</w:t>
      </w:r>
      <w:r>
        <w:rPr>
          <w:rFonts w:ascii="Times New Roman" w:hAnsi="Times New Roman" w:cs="Times New Roman"/>
        </w:rPr>
        <w:t>.</w:t>
      </w:r>
    </w:p>
    <w:p w14:paraId="2301A795" w14:textId="77777777" w:rsidR="00135D51" w:rsidRDefault="00135D51" w:rsidP="003A2C99">
      <w:pPr>
        <w:spacing w:line="360" w:lineRule="auto"/>
        <w:jc w:val="both"/>
        <w:rPr>
          <w:rFonts w:ascii="Times New Roman" w:hAnsi="Times New Roman" w:cs="Times New Roman"/>
        </w:rPr>
      </w:pPr>
      <w:r>
        <w:rPr>
          <w:rFonts w:ascii="Times New Roman" w:hAnsi="Times New Roman" w:cs="Times New Roman"/>
        </w:rPr>
        <w:t>3. P</w:t>
      </w:r>
      <w:r w:rsidR="003A2C99" w:rsidRPr="003A2C99">
        <w:rPr>
          <w:rFonts w:ascii="Times New Roman" w:hAnsi="Times New Roman" w:cs="Times New Roman"/>
        </w:rPr>
        <w:t>olicy training, versioning, and inference layer using supported extensions</w:t>
      </w:r>
      <w:r>
        <w:rPr>
          <w:rFonts w:ascii="Times New Roman" w:hAnsi="Times New Roman" w:cs="Times New Roman"/>
        </w:rPr>
        <w:t>.</w:t>
      </w:r>
    </w:p>
    <w:p w14:paraId="01F80BC7" w14:textId="77777777" w:rsidR="00135D51" w:rsidRDefault="00135D51" w:rsidP="003A2C99">
      <w:pPr>
        <w:spacing w:line="360" w:lineRule="auto"/>
        <w:jc w:val="both"/>
        <w:rPr>
          <w:rFonts w:ascii="Times New Roman" w:hAnsi="Times New Roman" w:cs="Times New Roman"/>
        </w:rPr>
      </w:pPr>
      <w:r>
        <w:rPr>
          <w:rFonts w:ascii="Times New Roman" w:hAnsi="Times New Roman" w:cs="Times New Roman"/>
        </w:rPr>
        <w:t>4. R</w:t>
      </w:r>
      <w:r w:rsidR="003A2C99" w:rsidRPr="003A2C99">
        <w:rPr>
          <w:rFonts w:ascii="Times New Roman" w:hAnsi="Times New Roman" w:cs="Times New Roman"/>
        </w:rPr>
        <w:t>ecommendation, explanation, and monitoring service layer implemented as PostgreSQL functions and tables</w:t>
      </w:r>
      <w:r>
        <w:rPr>
          <w:rFonts w:ascii="Times New Roman" w:hAnsi="Times New Roman" w:cs="Times New Roman"/>
        </w:rPr>
        <w:t>.</w:t>
      </w:r>
    </w:p>
    <w:p w14:paraId="1AF1366E" w14:textId="77777777" w:rsidR="00135D51" w:rsidRDefault="00135D51" w:rsidP="003A2C99">
      <w:pPr>
        <w:spacing w:line="360" w:lineRule="auto"/>
        <w:jc w:val="both"/>
        <w:rPr>
          <w:rFonts w:ascii="Times New Roman" w:hAnsi="Times New Roman" w:cs="Times New Roman"/>
        </w:rPr>
      </w:pPr>
      <w:r>
        <w:rPr>
          <w:rFonts w:ascii="Times New Roman" w:hAnsi="Times New Roman" w:cs="Times New Roman"/>
        </w:rPr>
        <w:lastRenderedPageBreak/>
        <w:t>5. C</w:t>
      </w:r>
      <w:r w:rsidR="003A2C99" w:rsidRPr="003A2C99">
        <w:rPr>
          <w:rFonts w:ascii="Times New Roman" w:hAnsi="Times New Roman" w:cs="Times New Roman"/>
        </w:rPr>
        <w:t xml:space="preserve">onsumption layer of role-tailored Power BI environments reading exclusively from governed PostgreSQL </w:t>
      </w:r>
      <w:r w:rsidRPr="003A2C99">
        <w:rPr>
          <w:rFonts w:ascii="Times New Roman" w:hAnsi="Times New Roman" w:cs="Times New Roman"/>
        </w:rPr>
        <w:t>artefacts</w:t>
      </w:r>
      <w:r>
        <w:rPr>
          <w:rFonts w:ascii="Times New Roman" w:hAnsi="Times New Roman" w:cs="Times New Roman"/>
        </w:rPr>
        <w:t xml:space="preserve"> all</w:t>
      </w:r>
      <w:r w:rsidR="003A2C99" w:rsidRPr="003A2C99">
        <w:rPr>
          <w:rFonts w:ascii="Times New Roman" w:hAnsi="Times New Roman" w:cs="Times New Roman"/>
        </w:rPr>
        <w:t xml:space="preserve"> under unified security, lineage, and operational monitoring.</w:t>
      </w:r>
    </w:p>
    <w:p w14:paraId="507D0D27" w14:textId="26C1FF78"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6. Priority Use Cases</w:t>
      </w:r>
      <w:r w:rsidR="00135D51" w:rsidRPr="00135D51">
        <w:rPr>
          <w:rFonts w:ascii="Times New Roman" w:hAnsi="Times New Roman" w:cs="Times New Roman"/>
          <w:b/>
          <w:bCs/>
        </w:rPr>
        <w:t xml:space="preserve">: </w:t>
      </w:r>
      <w:r w:rsidRPr="00135D51">
        <w:rPr>
          <w:rFonts w:ascii="Times New Roman" w:hAnsi="Times New Roman" w:cs="Times New Roman"/>
          <w:b/>
          <w:bCs/>
        </w:rPr>
        <w:t>Expanded Description, Context Features, Action Spaces, Reward Formulations, and Value Mechanisms</w:t>
      </w:r>
    </w:p>
    <w:p w14:paraId="6FEADE5C" w14:textId="2061528E" w:rsidR="00135D51" w:rsidRPr="00135D51" w:rsidRDefault="003A2C99" w:rsidP="00135D51">
      <w:pPr>
        <w:spacing w:line="360" w:lineRule="auto"/>
        <w:rPr>
          <w:rFonts w:ascii="Times New Roman" w:hAnsi="Times New Roman" w:cs="Times New Roman"/>
          <w:b/>
          <w:bCs/>
        </w:rPr>
      </w:pPr>
      <w:r w:rsidRPr="00135D51">
        <w:rPr>
          <w:rFonts w:ascii="Times New Roman" w:hAnsi="Times New Roman" w:cs="Times New Roman"/>
          <w:b/>
          <w:bCs/>
        </w:rPr>
        <w:t>Use Case A: Contextual Bandit Zone and Zone-Group Set-Point Selection under Dynamic Occupancy, Weather, and Tariff Context</w:t>
      </w:r>
    </w:p>
    <w:p w14:paraId="7768B3CA"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Policies select discrete set-point actions (or finely discretised continuous adjustments) for individual zones or thermally coupled zone groups. Context vector includes outdoor dry-bulb and wet-bulb temperature, humidity, solar radiation proxies, time-of-day and day-type encodings, real-time and short-horizon occupancy estimates, recent zone thermal trajectory and rate of change, current tariff period, and recent energy intensity. Reward is a weighted combination of immediate energy cost impact, soft and hard comfort-band violations, and short-term stability. Value is realised through systematic reduction of unnecessary conditioning during low-load or favourable-weather periods while protecting occupant comfort within agreed bands.</w:t>
      </w:r>
    </w:p>
    <w:p w14:paraId="7F4FB56D" w14:textId="2FF01BAC" w:rsidR="00135D51" w:rsidRPr="00135D51" w:rsidRDefault="003A2C99" w:rsidP="003A2C99">
      <w:pPr>
        <w:spacing w:line="360" w:lineRule="auto"/>
        <w:jc w:val="both"/>
        <w:rPr>
          <w:rFonts w:ascii="Times New Roman" w:hAnsi="Times New Roman" w:cs="Times New Roman"/>
          <w:b/>
          <w:bCs/>
        </w:rPr>
      </w:pPr>
      <w:r w:rsidRPr="00135D51">
        <w:rPr>
          <w:rFonts w:ascii="Times New Roman" w:hAnsi="Times New Roman" w:cs="Times New Roman"/>
          <w:b/>
          <w:bCs/>
        </w:rPr>
        <w:t>Use Case B: Multi-Zone Coordinated Operating-Mode and Fan/Pump-Speed Bandit Control</w:t>
      </w:r>
    </w:p>
    <w:p w14:paraId="3DFFAFB9" w14:textId="77777777" w:rsidR="00135D51" w:rsidRDefault="003A2C99" w:rsidP="003A2C99">
      <w:pPr>
        <w:spacing w:line="360" w:lineRule="auto"/>
        <w:jc w:val="both"/>
        <w:rPr>
          <w:rFonts w:ascii="Times New Roman" w:hAnsi="Times New Roman" w:cs="Times New Roman"/>
        </w:rPr>
      </w:pPr>
      <w:r w:rsidRPr="003A2C99">
        <w:rPr>
          <w:rFonts w:ascii="Times New Roman" w:hAnsi="Times New Roman" w:cs="Times New Roman"/>
        </w:rPr>
        <w:t>Higher-level policies select discrete operating modes and discretised fan- or pump-speed targets across related air-handling units or hydronic loops, explicitly incorporating features that approximate inter-zone and inter-system thermal and airflow coupling. Value accrues from reduced simultaneous peak loads, improved part-load efficiency, and smoother equipment operation.</w:t>
      </w:r>
    </w:p>
    <w:p w14:paraId="037A160D" w14:textId="2A263760" w:rsidR="00135D51" w:rsidRDefault="003A2C99" w:rsidP="00135D51">
      <w:pPr>
        <w:spacing w:line="360" w:lineRule="auto"/>
        <w:rPr>
          <w:rFonts w:ascii="Times New Roman" w:hAnsi="Times New Roman" w:cs="Times New Roman"/>
        </w:rPr>
      </w:pPr>
      <w:r w:rsidRPr="00135D51">
        <w:rPr>
          <w:rFonts w:ascii="Times New Roman" w:hAnsi="Times New Roman" w:cs="Times New Roman"/>
          <w:b/>
          <w:bCs/>
        </w:rPr>
        <w:t>Use Case C: Tariff-, Peak-, and Demand-Response-Aware Pre-Conditioning and Load-Shifting Bandits</w:t>
      </w:r>
    </w:p>
    <w:p w14:paraId="61919C4E" w14:textId="77777777" w:rsidR="00135D51" w:rsidRDefault="003A2C99" w:rsidP="00135D51">
      <w:pPr>
        <w:spacing w:line="360" w:lineRule="auto"/>
        <w:jc w:val="both"/>
        <w:rPr>
          <w:rFonts w:ascii="Times New Roman" w:hAnsi="Times New Roman" w:cs="Times New Roman"/>
        </w:rPr>
      </w:pPr>
      <w:r w:rsidRPr="003A2C99">
        <w:rPr>
          <w:rFonts w:ascii="Times New Roman" w:hAnsi="Times New Roman" w:cs="Times New Roman"/>
        </w:rPr>
        <w:t>Policies learn context-dependent policies for pre-cooling, pre-heating, or deliberate load modulation in anticipation of high-tariff windows, system peaks, or utility demand-response events, using weather forecasts, historical load shapes, and occupancy forecasts as context. Value includes lower peak-demand charges, reduced capacity costs, and incremental flexibility revenue.</w:t>
      </w:r>
    </w:p>
    <w:p w14:paraId="387F573E" w14:textId="77777777" w:rsidR="00135D51" w:rsidRDefault="00135D51" w:rsidP="00135D51">
      <w:pPr>
        <w:spacing w:line="360" w:lineRule="auto"/>
        <w:jc w:val="both"/>
        <w:rPr>
          <w:rFonts w:ascii="Times New Roman" w:hAnsi="Times New Roman" w:cs="Times New Roman"/>
        </w:rPr>
      </w:pPr>
    </w:p>
    <w:p w14:paraId="54CDED75" w14:textId="7B1B75B8" w:rsidR="00135D51" w:rsidRPr="00135D51" w:rsidRDefault="003A2C99" w:rsidP="00135D51">
      <w:pPr>
        <w:spacing w:line="360" w:lineRule="auto"/>
        <w:rPr>
          <w:rFonts w:ascii="Times New Roman" w:hAnsi="Times New Roman" w:cs="Times New Roman"/>
          <w:b/>
          <w:bCs/>
        </w:rPr>
      </w:pPr>
      <w:r w:rsidRPr="00135D51">
        <w:rPr>
          <w:rFonts w:ascii="Times New Roman" w:hAnsi="Times New Roman" w:cs="Times New Roman"/>
          <w:b/>
          <w:bCs/>
        </w:rPr>
        <w:lastRenderedPageBreak/>
        <w:t>Use Case D: Equipment-Health- and Stress-Aware Action Selection</w:t>
      </w:r>
    </w:p>
    <w:p w14:paraId="048BBAC3" w14:textId="77777777" w:rsidR="00135D51" w:rsidRDefault="003A2C99" w:rsidP="00135D51">
      <w:pPr>
        <w:spacing w:line="360" w:lineRule="auto"/>
        <w:jc w:val="both"/>
        <w:rPr>
          <w:rFonts w:ascii="Times New Roman" w:hAnsi="Times New Roman" w:cs="Times New Roman"/>
        </w:rPr>
      </w:pPr>
      <w:r w:rsidRPr="003A2C99">
        <w:rPr>
          <w:rFonts w:ascii="Times New Roman" w:hAnsi="Times New Roman" w:cs="Times New Roman"/>
        </w:rPr>
        <w:t>Policies augment the context and reward with features reflecting recent cycling frequency, cumulative runtime, valve travel, and simple performance-drift indicators so that purely energy-optimal actions are automatically tempered by equipment-longevity considerations. Value appears as deferred maintenance, reduced unplanned downtime, and extended asset life.</w:t>
      </w:r>
    </w:p>
    <w:p w14:paraId="31FE1FA0" w14:textId="7D100D5F" w:rsidR="00135D51" w:rsidRPr="00135D51" w:rsidRDefault="003A2C99" w:rsidP="00135D51">
      <w:pPr>
        <w:spacing w:line="360" w:lineRule="auto"/>
        <w:rPr>
          <w:rFonts w:ascii="Times New Roman" w:hAnsi="Times New Roman" w:cs="Times New Roman"/>
          <w:b/>
          <w:bCs/>
        </w:rPr>
      </w:pPr>
      <w:r w:rsidRPr="00135D51">
        <w:rPr>
          <w:rFonts w:ascii="Times New Roman" w:hAnsi="Times New Roman" w:cs="Times New Roman"/>
          <w:b/>
          <w:bCs/>
        </w:rPr>
        <w:t>Use Case E: Portfolio-Level Coordination and Cross-Building Learning (Phase-2 extension)</w:t>
      </w:r>
    </w:p>
    <w:p w14:paraId="3D8EE18A" w14:textId="77777777" w:rsidR="00135D51" w:rsidRDefault="003A2C99" w:rsidP="00135D51">
      <w:pPr>
        <w:spacing w:line="360" w:lineRule="auto"/>
        <w:jc w:val="both"/>
        <w:rPr>
          <w:rFonts w:ascii="Times New Roman" w:hAnsi="Times New Roman" w:cs="Times New Roman"/>
        </w:rPr>
      </w:pPr>
      <w:r w:rsidRPr="003A2C99">
        <w:rPr>
          <w:rFonts w:ascii="Times New Roman" w:hAnsi="Times New Roman" w:cs="Times New Roman"/>
        </w:rPr>
        <w:t xml:space="preserve">Once building-level policies are stable, higher-level aggregation and transfer-learning patterns (still realised inside PostgreSQL) enable sharing of learned structure across similar buildings while preserving local adaptation. Value compounds portfolio-wide efficiency and accelerates onboarding of new </w:t>
      </w:r>
      <w:r w:rsidR="00135D51" w:rsidRPr="003A2C99">
        <w:rPr>
          <w:rFonts w:ascii="Times New Roman" w:hAnsi="Times New Roman" w:cs="Times New Roman"/>
        </w:rPr>
        <w:t>assets. Each</w:t>
      </w:r>
      <w:r w:rsidRPr="003A2C99">
        <w:rPr>
          <w:rFonts w:ascii="Times New Roman" w:hAnsi="Times New Roman" w:cs="Times New Roman"/>
        </w:rPr>
        <w:t xml:space="preserve"> use case begins with deliberately constrained scope (selected buildings, AHUs, or zone cohorts of manageable thermal complexity) and expands only after statistical performance, operational stability, measured energy and comfort impact, safety-bound integrity, and user acceptance have been demonstrated on production data inside the PostgreSQL environment.</w:t>
      </w:r>
    </w:p>
    <w:p w14:paraId="03CE22E2" w14:textId="77777777" w:rsidR="00135D51" w:rsidRDefault="003A2C99" w:rsidP="00135D51">
      <w:pPr>
        <w:spacing w:line="360" w:lineRule="auto"/>
        <w:rPr>
          <w:rFonts w:ascii="Times New Roman" w:hAnsi="Times New Roman" w:cs="Times New Roman"/>
          <w:b/>
          <w:bCs/>
        </w:rPr>
      </w:pPr>
      <w:r w:rsidRPr="00135D51">
        <w:rPr>
          <w:rFonts w:ascii="Times New Roman" w:hAnsi="Times New Roman" w:cs="Times New Roman"/>
          <w:b/>
          <w:bCs/>
        </w:rPr>
        <w:t>7. Detailed Functional and Non-Functional Requirements</w:t>
      </w:r>
    </w:p>
    <w:p w14:paraId="1D857ADC" w14:textId="5F5B3024" w:rsidR="00135D51" w:rsidRPr="00135D51" w:rsidRDefault="003A2C99" w:rsidP="00135D51">
      <w:pPr>
        <w:spacing w:line="360" w:lineRule="auto"/>
        <w:rPr>
          <w:rFonts w:ascii="Times New Roman" w:hAnsi="Times New Roman" w:cs="Times New Roman"/>
          <w:b/>
          <w:bCs/>
        </w:rPr>
      </w:pPr>
      <w:r w:rsidRPr="00135D51">
        <w:rPr>
          <w:rFonts w:ascii="Times New Roman" w:hAnsi="Times New Roman" w:cs="Times New Roman"/>
          <w:b/>
          <w:bCs/>
        </w:rPr>
        <w:t xml:space="preserve">7.1 Analytical Data Foundation </w:t>
      </w:r>
    </w:p>
    <w:p w14:paraId="298E4234" w14:textId="77777777" w:rsidR="00164024" w:rsidRDefault="003A2C99" w:rsidP="00135D51">
      <w:pPr>
        <w:spacing w:line="360" w:lineRule="auto"/>
        <w:jc w:val="both"/>
        <w:rPr>
          <w:rFonts w:ascii="Times New Roman" w:hAnsi="Times New Roman" w:cs="Times New Roman"/>
        </w:rPr>
      </w:pPr>
      <w:r w:rsidRPr="003A2C99">
        <w:rPr>
          <w:rFonts w:ascii="Times New Roman" w:hAnsi="Times New Roman" w:cs="Times New Roman"/>
        </w:rPr>
        <w:t xml:space="preserve">All source telemetry, curated analytical tables, engineered feature tables, action histories, reward calculations, policy metadata, recommendation results, monitoring statistics, and lineage records must reside exclusively in PostgreSQL. Robust master-data management for buildings, floors, zones, AHUs, meters, equipment assets, and tariff calendars implemented with native constraints, triggers, and reference tables. Comprehensive, automated data-quality framework executed entirely via SQL functions, constraints, and scheduled jobs covering completeness, validity, consistency, uniqueness, referential integrity, and temporal alignment, with quarantine tables and alerting. Complete, queryable data lineage from raw telemetry through features and rewards to policy outputs, stored as structured metadata inside PostgreSQL. Multi-year historical depth retained in partitioned tables optimised for both analytical queries and in-database policy training. Performance design supporting concurrent feature generation, policy updates, and batch or near-real-time scoring under expected telemetry volumes. Fine-grained role-based access control, encryption at rest and in transit, and immutable audit logging of all access and changes using native PostgreSQL capabilities. </w:t>
      </w:r>
      <w:r w:rsidRPr="003A2C99">
        <w:rPr>
          <w:rFonts w:ascii="Times New Roman" w:hAnsi="Times New Roman" w:cs="Times New Roman"/>
        </w:rPr>
        <w:lastRenderedPageBreak/>
        <w:t>Retention, archival, and legal-hold policies implemented via partitioning, tablespaces, and scheduled procedures.</w:t>
      </w:r>
    </w:p>
    <w:p w14:paraId="679D1B68" w14:textId="113144D8" w:rsidR="00164024" w:rsidRPr="00164024" w:rsidRDefault="003A2C99" w:rsidP="00164024">
      <w:pPr>
        <w:spacing w:line="360" w:lineRule="auto"/>
        <w:rPr>
          <w:rFonts w:ascii="Times New Roman" w:hAnsi="Times New Roman" w:cs="Times New Roman"/>
          <w:b/>
          <w:bCs/>
        </w:rPr>
      </w:pPr>
      <w:r w:rsidRPr="00164024">
        <w:rPr>
          <w:rFonts w:ascii="Times New Roman" w:hAnsi="Times New Roman" w:cs="Times New Roman"/>
          <w:b/>
          <w:bCs/>
        </w:rPr>
        <w:t>7.2 In-Database Contextual Bandit Policy Lifecycle (Constrained exclusively to PostgreSQL Extensions and SQL)</w:t>
      </w:r>
    </w:p>
    <w:p w14:paraId="452F6FA4" w14:textId="77777777" w:rsidR="00164024" w:rsidRDefault="003A2C99" w:rsidP="00135D51">
      <w:pPr>
        <w:spacing w:line="360" w:lineRule="auto"/>
        <w:jc w:val="both"/>
        <w:rPr>
          <w:rFonts w:ascii="Times New Roman" w:hAnsi="Times New Roman" w:cs="Times New Roman"/>
        </w:rPr>
      </w:pPr>
      <w:r w:rsidRPr="003A2C99">
        <w:rPr>
          <w:rFonts w:ascii="Times New Roman" w:hAnsi="Times New Roman" w:cs="Times New Roman"/>
        </w:rPr>
        <w:t xml:space="preserve">All policy training, incremental updating, validation, deployment, and inference must be performed exclusively inside PostgreSQL using supported extension functions. Algorithm selection is restricted to methods natively available in the chosen extensions that can approximate contextual bandits: gradient-boosted trees for flexible reward modelling and action ranking, regularised linear and logistic models for </w:t>
      </w:r>
      <w:proofErr w:type="spellStart"/>
      <w:r w:rsidRPr="003A2C99">
        <w:rPr>
          <w:rFonts w:ascii="Times New Roman" w:hAnsi="Times New Roman" w:cs="Times New Roman"/>
        </w:rPr>
        <w:t>LinUCB</w:t>
      </w:r>
      <w:proofErr w:type="spellEnd"/>
      <w:r w:rsidRPr="003A2C99">
        <w:rPr>
          <w:rFonts w:ascii="Times New Roman" w:hAnsi="Times New Roman" w:cs="Times New Roman"/>
        </w:rPr>
        <w:t>-style or logistic-bandit approximations, basic clustering for context discretisation, and related classical techniques. Complex external deep-reinforcement-learning libraries, specialised bandit toolkits, or non-PostgreSQL scoring engines are out of scope. Feature engineering is performed predominantly with SQL (window functions, aggregations, joins, CTEs, temporal encodings) and any extension-provided preprocessors; results are materialised into versioned feature tables. Standardised problem framing, action-space definition, reward formulation, and success metrics are captured in PostgreSQL metadata tables. Training and updating execute via SQL calls that reference feature and reward tables and produce policy artefacts stored inside the database. Validation is limited to techniques expressible in SQL or extension functions (temporal hold-out, basic cross-validation patterns, counterfactual or offline policy-evaluation approximations). Every policy version is accompanied by a structured policy-card record (training data summary, hyperparameters, performance metrics, intended use, known limitations, safety bounds, version, timestamp). Explainability is restricted to extension-native feature importance and simple SQL-derived contribution approximations. Controlled deployment activates a policy version for recommendation generation; all outputs are written back into PostgreSQL result tables together with policy version, context key, confidence or uncertainty measures, and explanation fields. Continuous monitoring of context drift, reward distribution shift, and policy performance is implemented entirely with SQL statistical tests and threshold logic. Retraining or incremental updates are triggered by scheduled jobs or threshold conditions under formal change-control metadata. Human review, acceptance, and override of high-impact recommendations are captured in PostgreSQL tables and made available for subsequent learning cycles.</w:t>
      </w:r>
    </w:p>
    <w:p w14:paraId="2B403B22" w14:textId="5A296370" w:rsidR="00164024" w:rsidRPr="00164024" w:rsidRDefault="003A2C99" w:rsidP="00164024">
      <w:pPr>
        <w:spacing w:line="360" w:lineRule="auto"/>
        <w:rPr>
          <w:rFonts w:ascii="Times New Roman" w:hAnsi="Times New Roman" w:cs="Times New Roman"/>
          <w:b/>
          <w:bCs/>
        </w:rPr>
      </w:pPr>
      <w:r w:rsidRPr="00164024">
        <w:rPr>
          <w:rFonts w:ascii="Times New Roman" w:hAnsi="Times New Roman" w:cs="Times New Roman"/>
          <w:b/>
          <w:bCs/>
        </w:rPr>
        <w:lastRenderedPageBreak/>
        <w:t>7.3 Decision-Support Environments (Power BI consumption exclusively of PostgreSQL artefacts)</w:t>
      </w:r>
    </w:p>
    <w:p w14:paraId="11E27212" w14:textId="77777777" w:rsidR="00164024" w:rsidRDefault="003A2C99" w:rsidP="00135D51">
      <w:pPr>
        <w:spacing w:line="360" w:lineRule="auto"/>
        <w:jc w:val="both"/>
        <w:rPr>
          <w:rFonts w:ascii="Times New Roman" w:hAnsi="Times New Roman" w:cs="Times New Roman"/>
        </w:rPr>
      </w:pPr>
      <w:r w:rsidRPr="003A2C99">
        <w:rPr>
          <w:rFonts w:ascii="Times New Roman" w:hAnsi="Times New Roman" w:cs="Times New Roman"/>
        </w:rPr>
        <w:t>Role-specific Power BI interfaces for executive energy and ESG dashboards, facilities engineering workbenches, central energy managers, and property/occupant-experience teams. All visuals connect exclusively to PostgreSQL tables, views, and materialised views. Clear visual separation of historical telemetry, current context, bandit-generated recommendations, uncertainty bands, and safety-bound status. Full drill-down from portfolio to building, AHU, and individual zone. Configurable alerting sourced from PostgreSQL monitoring tables. Interactive exploration and scheduled distribution constrained to the governed semantic layer. Mobile-optimised views where operationally justified. User feedback and decision-outcome capture written back into PostgreSQL where compliant and useful for closed-loop improvement.</w:t>
      </w:r>
    </w:p>
    <w:p w14:paraId="7FB0A745" w14:textId="3F888652" w:rsidR="00164024" w:rsidRPr="00164024" w:rsidRDefault="003A2C99" w:rsidP="00164024">
      <w:pPr>
        <w:spacing w:line="360" w:lineRule="auto"/>
        <w:rPr>
          <w:rFonts w:ascii="Times New Roman" w:hAnsi="Times New Roman" w:cs="Times New Roman"/>
          <w:b/>
          <w:bCs/>
        </w:rPr>
      </w:pPr>
      <w:r w:rsidRPr="00164024">
        <w:rPr>
          <w:rFonts w:ascii="Times New Roman" w:hAnsi="Times New Roman" w:cs="Times New Roman"/>
          <w:b/>
          <w:bCs/>
        </w:rPr>
        <w:t>7.4 Integration, Safety, Security, Compliance, and Governance</w:t>
      </w:r>
    </w:p>
    <w:p w14:paraId="578EE887" w14:textId="77777777" w:rsidR="00164024" w:rsidRDefault="003A2C99" w:rsidP="00135D51">
      <w:pPr>
        <w:spacing w:line="360" w:lineRule="auto"/>
        <w:jc w:val="both"/>
        <w:rPr>
          <w:rFonts w:ascii="Times New Roman" w:hAnsi="Times New Roman" w:cs="Times New Roman"/>
        </w:rPr>
      </w:pPr>
      <w:r w:rsidRPr="003A2C99">
        <w:rPr>
          <w:rFonts w:ascii="Times New Roman" w:hAnsi="Times New Roman" w:cs="Times New Roman"/>
        </w:rPr>
        <w:t>Controlled, auditable, non-invasive ingestion from BMS historians, meter data systems, and weather services that preserves operational system integrity. Full alignment with cybersecurity, cyber-physical safety, data-protection, and building-control standards. Model/policy-risk classification and multi-stage approval workflow recorded in PostgreSQL metadata; higher-risk policies subject to additional validation and safety-bound checks before activation. All documentation, policy cards, lineage, and operational procedures maintained as structured data or tightly linked artefacts inside or adjacent to the PostgreSQL environment. Clear named ownership of every data product, feature set, policy, and recommendation stream enforced through roles and metadata.</w:t>
      </w:r>
    </w:p>
    <w:p w14:paraId="38C0CF1A" w14:textId="30F09A20" w:rsidR="00164024" w:rsidRPr="00164024" w:rsidRDefault="003A2C99" w:rsidP="00164024">
      <w:pPr>
        <w:spacing w:line="360" w:lineRule="auto"/>
        <w:rPr>
          <w:rFonts w:ascii="Times New Roman" w:hAnsi="Times New Roman" w:cs="Times New Roman"/>
          <w:b/>
          <w:bCs/>
        </w:rPr>
      </w:pPr>
      <w:r w:rsidRPr="00164024">
        <w:rPr>
          <w:rFonts w:ascii="Times New Roman" w:hAnsi="Times New Roman" w:cs="Times New Roman"/>
          <w:b/>
          <w:bCs/>
        </w:rPr>
        <w:t xml:space="preserve">7.5 Non-Functional Requirements </w:t>
      </w:r>
    </w:p>
    <w:p w14:paraId="7F03170D" w14:textId="77777777" w:rsidR="00164024" w:rsidRDefault="003A2C99" w:rsidP="00135D51">
      <w:pPr>
        <w:spacing w:line="360" w:lineRule="auto"/>
        <w:jc w:val="both"/>
        <w:rPr>
          <w:rFonts w:ascii="Times New Roman" w:hAnsi="Times New Roman" w:cs="Times New Roman"/>
        </w:rPr>
      </w:pPr>
      <w:r w:rsidRPr="003A2C99">
        <w:rPr>
          <w:rFonts w:ascii="Times New Roman" w:hAnsi="Times New Roman" w:cs="Times New Roman"/>
        </w:rPr>
        <w:t xml:space="preserve">Interactive Power BI response times and recommendation-generation windows must meet agreed service levels under concurrent load and growing telemetry volume. Architecture must accommodate multi-year growth in data volume, number of zones, and number of active policies using PostgreSQL partitioning, indexing, and extension scalability features. High availability for scoring and decision-support components provided by standard PostgreSQL high-availability configurations. Backup, recovery, and business-continuity procedures explicitly cover both operational telemetry and in-database policy artefacts. Design remains modular within PostgreSQL (separate schemas for raw, curated, features, rewards, policies, recommendations, monitoring) with comprehensive SQL-based operational runbooks. </w:t>
      </w:r>
      <w:r w:rsidRPr="003A2C99">
        <w:rPr>
          <w:rFonts w:ascii="Times New Roman" w:hAnsi="Times New Roman" w:cs="Times New Roman"/>
        </w:rPr>
        <w:lastRenderedPageBreak/>
        <w:t>Usability of every Power BI interface validated with representative users from each persona group; all underlying logic and data remain inside PostgreSQL.</w:t>
      </w:r>
    </w:p>
    <w:p w14:paraId="751720F0" w14:textId="195578AC" w:rsidR="003A2C99" w:rsidRPr="00164024" w:rsidRDefault="003A2C99" w:rsidP="00135D51">
      <w:pPr>
        <w:spacing w:line="360" w:lineRule="auto"/>
        <w:jc w:val="both"/>
        <w:rPr>
          <w:rFonts w:ascii="Times New Roman" w:hAnsi="Times New Roman" w:cs="Times New Roman"/>
          <w:b/>
          <w:bCs/>
        </w:rPr>
      </w:pPr>
      <w:r w:rsidRPr="00164024">
        <w:rPr>
          <w:rFonts w:ascii="Times New Roman" w:hAnsi="Times New Roman" w:cs="Times New Roman"/>
          <w:b/>
          <w:bCs/>
        </w:rPr>
        <w:t>8. Expected Deliverables and Explicit Acceptance Criteria</w:t>
      </w:r>
    </w:p>
    <w:p w14:paraId="1357809D"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Approved Strategic, Architectural, Safety, and Operating-Model Blueprint formally accepted by the Steering Committee, with explicit written confirmation of exclusive PostgreSQL and Power BI constraints. </w:t>
      </w:r>
    </w:p>
    <w:p w14:paraId="1EEDD064"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Production-grade analytical data environment with all priority subject areas populated to pre-agreed data-quality thresholds and complete lineage coverage. </w:t>
      </w:r>
    </w:p>
    <w:p w14:paraId="24605F80"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Operational, fully monitored, and run-booked data pipelines for every priority telemetry and context source. </w:t>
      </w:r>
    </w:p>
    <w:p w14:paraId="203C7CCE"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Validated contextual bandit policies for the initial use-case cohort, each accompanied by a complete policy card, independent validation evidence, production recommendation pipeline, monitoring configuration, and safety-bound certification. Acceptance requires simultaneous satisfaction of pre-defined statistical performance thresholds and measurable energy, comfort, and safety-impact criteria on unseen production data. </w:t>
      </w:r>
    </w:p>
    <w:p w14:paraId="4B8CB35E"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Production Power BI decision-support environments for all defined personas, secured according to the access matrix, equipped with alerting, accompanied by user documentation, and carrying formal user-acceptance sign-off from each persona group. </w:t>
      </w:r>
    </w:p>
    <w:p w14:paraId="6FC9F064"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Complete policy-operations framework (registry, monitoring dashboards, drift-response procedures, controlled update protocols) implemented entirely inside the mandated stack. </w:t>
      </w:r>
    </w:p>
    <w:p w14:paraId="311824F7"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Comprehensive governance, safety, and knowledge-transfer package including data dictionary, full lineage documentation, policy documentation, operational runbooks, training materials, and recorded knowledge-transfer sessions. </w:t>
      </w:r>
    </w:p>
    <w:p w14:paraId="064EDC4B"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 xml:space="preserve">Benefits baseline report, pilot-value assessment with statistical confidence intervals, and updated benefits-realisation plan with named executive owners. </w:t>
      </w:r>
    </w:p>
    <w:p w14:paraId="1A65E471" w14:textId="77777777" w:rsidR="003A2C99" w:rsidRPr="003A2C99" w:rsidRDefault="003A2C99" w:rsidP="003A2C99">
      <w:pPr>
        <w:numPr>
          <w:ilvl w:val="0"/>
          <w:numId w:val="4"/>
        </w:numPr>
        <w:spacing w:line="360" w:lineRule="auto"/>
        <w:jc w:val="both"/>
        <w:rPr>
          <w:rFonts w:ascii="Times New Roman" w:hAnsi="Times New Roman" w:cs="Times New Roman"/>
        </w:rPr>
      </w:pPr>
      <w:r w:rsidRPr="003A2C99">
        <w:rPr>
          <w:rFonts w:ascii="Times New Roman" w:hAnsi="Times New Roman" w:cs="Times New Roman"/>
        </w:rPr>
        <w:t>Configuration-controlled repository containing all SQL definitions, extension configurations, documentation, decision records, and audit artefacts.</w:t>
      </w:r>
    </w:p>
    <w:p w14:paraId="52BE65BD" w14:textId="77777777" w:rsidR="00164024" w:rsidRDefault="003A2C99" w:rsidP="003A2C99">
      <w:pPr>
        <w:spacing w:line="360" w:lineRule="auto"/>
        <w:jc w:val="both"/>
        <w:rPr>
          <w:rFonts w:ascii="Times New Roman" w:hAnsi="Times New Roman" w:cs="Times New Roman"/>
        </w:rPr>
      </w:pPr>
      <w:r w:rsidRPr="003A2C99">
        <w:rPr>
          <w:rFonts w:ascii="Times New Roman" w:hAnsi="Times New Roman" w:cs="Times New Roman"/>
        </w:rPr>
        <w:lastRenderedPageBreak/>
        <w:t>Every deliverable carries written entry criteria, quality gates, required evidence artefacts, and named business and technical acceptors.</w:t>
      </w:r>
    </w:p>
    <w:p w14:paraId="7715FB67" w14:textId="77777777" w:rsidR="00164024" w:rsidRPr="00164024" w:rsidRDefault="003A2C99" w:rsidP="003A2C99">
      <w:pPr>
        <w:spacing w:line="360" w:lineRule="auto"/>
        <w:jc w:val="both"/>
        <w:rPr>
          <w:rFonts w:ascii="Times New Roman" w:hAnsi="Times New Roman" w:cs="Times New Roman"/>
          <w:b/>
          <w:bCs/>
        </w:rPr>
      </w:pPr>
      <w:r w:rsidRPr="00164024">
        <w:rPr>
          <w:rFonts w:ascii="Times New Roman" w:hAnsi="Times New Roman" w:cs="Times New Roman"/>
          <w:b/>
          <w:bCs/>
        </w:rPr>
        <w:t>9. Benefits-Realization Framework, Value Levers, Financial Perspective, and Sensitivity Analysis</w:t>
      </w:r>
    </w:p>
    <w:p w14:paraId="2D4D4275" w14:textId="77777777" w:rsidR="00164024"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A formal benefits-realisation plan assigns executive ownership for each major value lever, establishes quantitative baselines before any pilot deployment, defines measurement frequency and methodology (including statistical tests for attribution), and explicitly links realised value to stage-gate continuation decisions. </w:t>
      </w:r>
    </w:p>
    <w:p w14:paraId="51F9898F" w14:textId="215AA3DE"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Primary value levers include:</w:t>
      </w:r>
    </w:p>
    <w:p w14:paraId="6D1F09DD"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 xml:space="preserve">Reduction in HVAC electricity and thermal energy cost and associated carbon intensity. </w:t>
      </w:r>
    </w:p>
    <w:p w14:paraId="5ACA5819"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 xml:space="preserve">Reduction in peak-demand and capacity charges. </w:t>
      </w:r>
    </w:p>
    <w:p w14:paraId="1FA297D1"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 xml:space="preserve">Reduction in thermal-comfort work-order volume and associated labour and tenant-credit costs. </w:t>
      </w:r>
    </w:p>
    <w:p w14:paraId="3BA6F382"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 xml:space="preserve">Deferred equipment maintenance and extended asset life through stress-aware action selection. </w:t>
      </w:r>
    </w:p>
    <w:p w14:paraId="0ED8A01D"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 xml:space="preserve">Productivity gains from substantially reduced manual tuning and retrospective analysis effort. </w:t>
      </w:r>
    </w:p>
    <w:p w14:paraId="278342DE" w14:textId="77777777" w:rsidR="003A2C99" w:rsidRPr="003A2C99" w:rsidRDefault="003A2C99" w:rsidP="003A2C99">
      <w:pPr>
        <w:numPr>
          <w:ilvl w:val="0"/>
          <w:numId w:val="5"/>
        </w:numPr>
        <w:spacing w:line="360" w:lineRule="auto"/>
        <w:jc w:val="both"/>
        <w:rPr>
          <w:rFonts w:ascii="Times New Roman" w:hAnsi="Times New Roman" w:cs="Times New Roman"/>
        </w:rPr>
      </w:pPr>
      <w:r w:rsidRPr="003A2C99">
        <w:rPr>
          <w:rFonts w:ascii="Times New Roman" w:hAnsi="Times New Roman" w:cs="Times New Roman"/>
        </w:rPr>
        <w:t>Secondary and longer-term benefits in tenant satisfaction and retention, green-lease compliance, external ESG ratings, and portfolio valuation support.</w:t>
      </w:r>
    </w:p>
    <w:p w14:paraId="4F0FE4CA" w14:textId="77777777" w:rsidR="00164024" w:rsidRDefault="003A2C99" w:rsidP="003A2C99">
      <w:pPr>
        <w:spacing w:line="360" w:lineRule="auto"/>
        <w:jc w:val="both"/>
        <w:rPr>
          <w:rFonts w:ascii="Times New Roman" w:hAnsi="Times New Roman" w:cs="Times New Roman"/>
        </w:rPr>
      </w:pPr>
      <w:r w:rsidRPr="003A2C99">
        <w:rPr>
          <w:rFonts w:ascii="Times New Roman" w:hAnsi="Times New Roman" w:cs="Times New Roman"/>
        </w:rPr>
        <w:t>Financial projections are maintained on a deliberately conservative base case and are stress-tested under multiple scenarios (slower adoption, lower policy lift, more stringent comfort constraints, adverse weather years, higher or lower energy-price trajectories). Leading indicators (data quality, policy offline and online performance, recommendation acceptance rates, user adoption of Power BI views) are tracked separately from lagging financial and operational outcomes. All measurements are designed to be independently auditable.</w:t>
      </w:r>
    </w:p>
    <w:p w14:paraId="55304A38" w14:textId="77777777" w:rsidR="00164024" w:rsidRDefault="00164024" w:rsidP="003A2C99">
      <w:pPr>
        <w:spacing w:line="360" w:lineRule="auto"/>
        <w:jc w:val="both"/>
        <w:rPr>
          <w:rFonts w:ascii="Times New Roman" w:hAnsi="Times New Roman" w:cs="Times New Roman"/>
        </w:rPr>
      </w:pPr>
    </w:p>
    <w:p w14:paraId="5B17FF63" w14:textId="77777777" w:rsidR="00164024" w:rsidRDefault="00164024" w:rsidP="003A2C99">
      <w:pPr>
        <w:spacing w:line="360" w:lineRule="auto"/>
        <w:jc w:val="both"/>
        <w:rPr>
          <w:rFonts w:ascii="Times New Roman" w:hAnsi="Times New Roman" w:cs="Times New Roman"/>
        </w:rPr>
      </w:pPr>
    </w:p>
    <w:p w14:paraId="11C6B28D" w14:textId="77777777" w:rsidR="00164024" w:rsidRDefault="00164024" w:rsidP="003A2C99">
      <w:pPr>
        <w:spacing w:line="360" w:lineRule="auto"/>
        <w:jc w:val="both"/>
        <w:rPr>
          <w:rFonts w:ascii="Times New Roman" w:hAnsi="Times New Roman" w:cs="Times New Roman"/>
        </w:rPr>
      </w:pPr>
    </w:p>
    <w:p w14:paraId="4C66B506" w14:textId="42AD69F5" w:rsidR="00164024" w:rsidRDefault="003A2C99" w:rsidP="003A2C99">
      <w:pPr>
        <w:spacing w:line="360" w:lineRule="auto"/>
        <w:jc w:val="both"/>
        <w:rPr>
          <w:rFonts w:ascii="Times New Roman" w:hAnsi="Times New Roman" w:cs="Times New Roman"/>
        </w:rPr>
      </w:pPr>
      <w:r w:rsidRPr="003A2C99">
        <w:rPr>
          <w:rFonts w:ascii="Times New Roman" w:hAnsi="Times New Roman" w:cs="Times New Roman"/>
        </w:rPr>
        <w:lastRenderedPageBreak/>
        <w:t>10. Multi-Phase Implementation Roadmap and Stage-Gate Discipline</w:t>
      </w:r>
    </w:p>
    <w:p w14:paraId="5A3F68A5" w14:textId="4D9E745B" w:rsidR="00CE11F1" w:rsidRPr="00CE11F1" w:rsidRDefault="003A2C99" w:rsidP="00CE11F1">
      <w:pPr>
        <w:spacing w:line="360" w:lineRule="auto"/>
        <w:rPr>
          <w:rFonts w:ascii="Times New Roman" w:hAnsi="Times New Roman" w:cs="Times New Roman"/>
          <w:b/>
          <w:bCs/>
        </w:rPr>
      </w:pPr>
      <w:r w:rsidRPr="00CE11F1">
        <w:rPr>
          <w:rFonts w:ascii="Times New Roman" w:hAnsi="Times New Roman" w:cs="Times New Roman"/>
          <w:b/>
          <w:bCs/>
        </w:rPr>
        <w:t>Phase 0 – Mobilization, Deep Requirements, Telemetry Profiling, and Detailed Design (target 3–4 months)</w:t>
      </w:r>
    </w:p>
    <w:p w14:paraId="5D5CF10B"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Comprehensive stakeholder requirements workshops, exhaustive source-system and telemetry profiling, finalisation of architecture and safety design under exclusive constraints, core team assembly and onboarding, lock-down of success metrics and benefits baselines, privacy and cyber-physical safety impact assessment, and completion of the initial detailed risk-mitigation and contingency plan. Exit criteria: Steering Committee approval of the complete detailed design package and confirmed resource availability for Phase 1.</w:t>
      </w:r>
    </w:p>
    <w:p w14:paraId="509EA602" w14:textId="71538679" w:rsidR="00CE11F1" w:rsidRPr="00CE11F1" w:rsidRDefault="003A2C99" w:rsidP="00CE11F1">
      <w:pPr>
        <w:spacing w:line="360" w:lineRule="auto"/>
        <w:rPr>
          <w:rFonts w:ascii="Times New Roman" w:hAnsi="Times New Roman" w:cs="Times New Roman"/>
          <w:b/>
          <w:bCs/>
        </w:rPr>
      </w:pPr>
      <w:r w:rsidRPr="00CE11F1">
        <w:rPr>
          <w:rFonts w:ascii="Times New Roman" w:hAnsi="Times New Roman" w:cs="Times New Roman"/>
          <w:b/>
          <w:bCs/>
        </w:rPr>
        <w:t>Phase 1 – Foundation and First Measured Value (target 7–9 months)</w:t>
      </w:r>
    </w:p>
    <w:p w14:paraId="2E55FBAB"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Build-out of the analytical data environment inside PostgreSQL, implementation of core pipelines and data-quality framework, delivery of an initial Power BI decision-support shell, and execution of limited-scope, rigorously instrumented pilots of at least two priority use cases with full before-and-after measurement of energy, comfort, and safety metrics. Exit criteria: achievement of pre-agreed data-quality scores, successful pilot statistical and business-impact thresholds, confirmed safety-bound integrity, and updated benefits and risk assessments.</w:t>
      </w:r>
    </w:p>
    <w:p w14:paraId="4A6C4B28" w14:textId="378C2216" w:rsidR="00CE11F1" w:rsidRPr="00CE11F1" w:rsidRDefault="003A2C99" w:rsidP="00CE11F1">
      <w:pPr>
        <w:spacing w:line="360" w:lineRule="auto"/>
        <w:rPr>
          <w:rFonts w:ascii="Times New Roman" w:hAnsi="Times New Roman" w:cs="Times New Roman"/>
          <w:b/>
          <w:bCs/>
        </w:rPr>
      </w:pPr>
      <w:r w:rsidRPr="00CE11F1">
        <w:rPr>
          <w:rFonts w:ascii="Times New Roman" w:hAnsi="Times New Roman" w:cs="Times New Roman"/>
          <w:b/>
          <w:bCs/>
        </w:rPr>
        <w:t>Phase 2 – Industrialization and Controlled Expansion (target 10–14 months)</w:t>
      </w:r>
    </w:p>
    <w:p w14:paraId="444A2FD4"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Full production deployment of the initial use-case cohort, expansion of Power BI environments to all target personas, embedding of recommendations into operational processes and supervised closed-loop interfaces where authorised, continuous benefits tracking, and preparation of the next wave of use cases. </w:t>
      </w:r>
    </w:p>
    <w:p w14:paraId="0E52EA07"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Exit criteria: sustained policy performance in production, demonstrated user adoption and recommendation acceptance, measured realisation of a material portion of projected benefits, and readiness for transition toward a product operating model.</w:t>
      </w:r>
    </w:p>
    <w:p w14:paraId="0476965B" w14:textId="5472D4FC" w:rsidR="00CE11F1" w:rsidRPr="00CE11F1" w:rsidRDefault="003A2C99" w:rsidP="00CE11F1">
      <w:pPr>
        <w:spacing w:line="360" w:lineRule="auto"/>
        <w:rPr>
          <w:rFonts w:ascii="Times New Roman" w:hAnsi="Times New Roman" w:cs="Times New Roman"/>
          <w:b/>
          <w:bCs/>
        </w:rPr>
      </w:pPr>
      <w:r w:rsidRPr="00CE11F1">
        <w:rPr>
          <w:rFonts w:ascii="Times New Roman" w:hAnsi="Times New Roman" w:cs="Times New Roman"/>
          <w:b/>
          <w:bCs/>
        </w:rPr>
        <w:t>Phase 3 – Scale, Optimise, Cross-Building Learning, and Institutionalise (ongoing)</w:t>
      </w:r>
    </w:p>
    <w:p w14:paraId="31629A8D"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Portfolio-wide broadening, increased automation of monitoring and policy updates under strict governance, controlled expansion of self-service capabilities within Power BI, formal handover to sustained product ownership with multi-year funding, and initiation of higher-level portfolio coordination </w:t>
      </w:r>
      <w:proofErr w:type="gramStart"/>
      <w:r w:rsidRPr="003A2C99">
        <w:rPr>
          <w:rFonts w:ascii="Times New Roman" w:hAnsi="Times New Roman" w:cs="Times New Roman"/>
        </w:rPr>
        <w:t>patterns</w:t>
      </w:r>
      <w:r>
        <w:rPr>
          <w:rFonts w:ascii="Times New Roman" w:hAnsi="Times New Roman" w:cs="Times New Roman"/>
        </w:rPr>
        <w:t xml:space="preserve">  </w:t>
      </w:r>
      <w:r w:rsidRPr="003A2C99">
        <w:rPr>
          <w:rFonts w:ascii="Times New Roman" w:hAnsi="Times New Roman" w:cs="Times New Roman"/>
        </w:rPr>
        <w:t>all</w:t>
      </w:r>
      <w:proofErr w:type="gramEnd"/>
      <w:r w:rsidRPr="003A2C99">
        <w:rPr>
          <w:rFonts w:ascii="Times New Roman" w:hAnsi="Times New Roman" w:cs="Times New Roman"/>
        </w:rPr>
        <w:t xml:space="preserve"> still inside the mandated technology </w:t>
      </w:r>
      <w:r w:rsidR="00CE11F1" w:rsidRPr="003A2C99">
        <w:rPr>
          <w:rFonts w:ascii="Times New Roman" w:hAnsi="Times New Roman" w:cs="Times New Roman"/>
        </w:rPr>
        <w:t>stack. Progression</w:t>
      </w:r>
      <w:r w:rsidRPr="003A2C99">
        <w:rPr>
          <w:rFonts w:ascii="Times New Roman" w:hAnsi="Times New Roman" w:cs="Times New Roman"/>
        </w:rPr>
        <w:t xml:space="preserve"> between phases is strictly controlled by formal stage-gate reviews that examine technical health, </w:t>
      </w:r>
      <w:r w:rsidRPr="003A2C99">
        <w:rPr>
          <w:rFonts w:ascii="Times New Roman" w:hAnsi="Times New Roman" w:cs="Times New Roman"/>
        </w:rPr>
        <w:lastRenderedPageBreak/>
        <w:t>measured value, residual risk, resource adequacy, continued strategic alignment, safety performance, and unbroken adherence to the PostgreSQL-only and Power BI-only constraints.</w:t>
      </w:r>
    </w:p>
    <w:p w14:paraId="71A8F951" w14:textId="17048E22" w:rsidR="003A2C99" w:rsidRPr="00CE11F1" w:rsidRDefault="003A2C99" w:rsidP="003A2C99">
      <w:pPr>
        <w:spacing w:line="360" w:lineRule="auto"/>
        <w:jc w:val="both"/>
        <w:rPr>
          <w:rFonts w:ascii="Times New Roman" w:hAnsi="Times New Roman" w:cs="Times New Roman"/>
          <w:b/>
          <w:bCs/>
        </w:rPr>
      </w:pPr>
      <w:r w:rsidRPr="00CE11F1">
        <w:rPr>
          <w:rFonts w:ascii="Times New Roman" w:hAnsi="Times New Roman" w:cs="Times New Roman"/>
          <w:b/>
          <w:bCs/>
        </w:rPr>
        <w:t>11. Expanded Risk Register</w:t>
      </w:r>
      <w:r w:rsidR="00CE11F1" w:rsidRPr="00CE11F1">
        <w:rPr>
          <w:rFonts w:ascii="Times New Roman" w:hAnsi="Times New Roman" w:cs="Times New Roman"/>
          <w:b/>
          <w:bCs/>
        </w:rPr>
        <w:t xml:space="preserve">: </w:t>
      </w:r>
      <w:r w:rsidRPr="00CE11F1">
        <w:rPr>
          <w:rFonts w:ascii="Times New Roman" w:hAnsi="Times New Roman" w:cs="Times New Roman"/>
          <w:b/>
          <w:bCs/>
        </w:rPr>
        <w:t>Major Categories with Illustrative Mitigations</w:t>
      </w:r>
    </w:p>
    <w:p w14:paraId="7A717AE1"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Data accessibility, quality, temporal alignment, or historical-depth shortfalls → early comprehensive profiling, executive escalation paths, phased scope adjustment, and investment in robust SQL-based cleansing and entity resolution. </w:t>
      </w:r>
    </w:p>
    <w:p w14:paraId="6E83FDA6"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Policy performance that meets offline validation but degrades under live non-stationary conditions → rigorous temporal and group-aware validation, continuous drift and performance monitoring inside PostgreSQL, rapid rollback to last-known-good policy, and mandatory human overrides. </w:t>
      </w:r>
    </w:p>
    <w:p w14:paraId="58A6C981"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Limitations inherent in classical extension-supported approximations versus full external deep-RL libraries → deliberate investment in rich feature engineering, conservative performance targets, transparent communication of scope boundaries, and staged ambition. </w:t>
      </w:r>
    </w:p>
    <w:p w14:paraId="118D51FA"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Integration complexity or any risk of adverse impact on live BMS stability → strictly non-invasive interface patterns, thorough non-functional and failure-mode testing, staged roll-out with manual override primacy, and independent safety review. </w:t>
      </w:r>
    </w:p>
    <w:p w14:paraId="758E9DD0"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Insufficient user adoption or failure to embed recommendations into daily workflows → intensive, persona-specific change-management programme, visible executive sponsorship, rapid incorporation of user feedback, and inclusion of adoption metrics in stage gates. </w:t>
      </w:r>
    </w:p>
    <w:p w14:paraId="7B492507"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Resource contention with competing enterprise priorities → clear prioritisation by the Steering Committee and protected core-team capacity. </w:t>
      </w:r>
    </w:p>
    <w:p w14:paraId="401E701C"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 xml:space="preserve">Cybersecurity, cyber-physical safety, data-protection, or audit-documentation gaps → early and continuous involvement of information-security, controls-engineering, and compliance functions together with formal policy-risk governance recorded in PostgreSQL. </w:t>
      </w:r>
    </w:p>
    <w:p w14:paraId="6ABFB1AB" w14:textId="77777777" w:rsidR="003A2C99" w:rsidRPr="003A2C99" w:rsidRDefault="003A2C99" w:rsidP="003A2C99">
      <w:pPr>
        <w:numPr>
          <w:ilvl w:val="0"/>
          <w:numId w:val="6"/>
        </w:numPr>
        <w:spacing w:line="360" w:lineRule="auto"/>
        <w:jc w:val="both"/>
        <w:rPr>
          <w:rFonts w:ascii="Times New Roman" w:hAnsi="Times New Roman" w:cs="Times New Roman"/>
        </w:rPr>
      </w:pPr>
      <w:r w:rsidRPr="003A2C99">
        <w:rPr>
          <w:rFonts w:ascii="Times New Roman" w:hAnsi="Times New Roman" w:cs="Times New Roman"/>
        </w:rPr>
        <w:t>Benefits realisation below projections under real-world conditions → conservative initial targets, frequent independent measurement, and explicit scope or approach adjustment authority at every stage gate.</w:t>
      </w:r>
    </w:p>
    <w:p w14:paraId="77C9E131"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lastRenderedPageBreak/>
        <w:t>Each individual risk maintains a named owner, inherent and residual ratings, specific mitigation actions, early-warning indicators, and predefined contingency options. The full living risk register is reviewed at every Steering Committee meeting and formally re-baselined at each stage gate.</w:t>
      </w:r>
    </w:p>
    <w:p w14:paraId="6BFA91BC" w14:textId="77777777" w:rsidR="00CE11F1" w:rsidRPr="00CE11F1" w:rsidRDefault="003A2C99" w:rsidP="003A2C99">
      <w:pPr>
        <w:spacing w:line="360" w:lineRule="auto"/>
        <w:jc w:val="both"/>
        <w:rPr>
          <w:rFonts w:ascii="Times New Roman" w:hAnsi="Times New Roman" w:cs="Times New Roman"/>
          <w:b/>
          <w:bCs/>
        </w:rPr>
      </w:pPr>
      <w:r w:rsidRPr="00CE11F1">
        <w:rPr>
          <w:rFonts w:ascii="Times New Roman" w:hAnsi="Times New Roman" w:cs="Times New Roman"/>
          <w:b/>
          <w:bCs/>
        </w:rPr>
        <w:t>12. Governance, Organizational Structure, and Long-Term Operating Model</w:t>
      </w:r>
    </w:p>
    <w:p w14:paraId="68480B94"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An Executive Sponsor drawn from the Executive Leadership Team holds ultimate accountability for strategic alignment, value realisation, and safety culture. A cross-functional Steering Committee, meeting at least monthly, provides direction, resolves escalations, and formally approves stage-gate transitions. A dedicated Program Director leads a core team organised into workstreams for data foundation (PostgreSQL), contextual-bandit policy modelling (in-database), Power BI decision environments, change management and adoption, cyber-physical safety &amp; compliance, and benefits tracking. Named Business Process Owners in Facilities Engineering, Central Energy Management, and Property Management are accountable for embedding recommendations and delivering benefits inside their domains. </w:t>
      </w:r>
    </w:p>
    <w:p w14:paraId="068E960C" w14:textId="271EEBC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A standing Model/Policy Risk &amp; Safety Forum oversees analytical quality, validation standards, safety-bound integrity, ethics, and regulatory alignment. Detailed RACI matrices are maintained for every major deliverable and decision class. The explicit long-term intent is a managed transition from temporary program mode to a sustained product-oriented operating model with clear ownership, multi-year funding, continuous improvement of the contextual-bandit platform, and unbroken adherence to the mandated technology stack.</w:t>
      </w:r>
    </w:p>
    <w:p w14:paraId="74A1DFE9" w14:textId="77777777" w:rsidR="00CE11F1" w:rsidRPr="00CE11F1" w:rsidRDefault="003A2C99" w:rsidP="003A2C99">
      <w:pPr>
        <w:spacing w:line="360" w:lineRule="auto"/>
        <w:jc w:val="both"/>
        <w:rPr>
          <w:rFonts w:ascii="Times New Roman" w:hAnsi="Times New Roman" w:cs="Times New Roman"/>
          <w:b/>
          <w:bCs/>
        </w:rPr>
      </w:pPr>
      <w:r w:rsidRPr="00CE11F1">
        <w:rPr>
          <w:rFonts w:ascii="Times New Roman" w:hAnsi="Times New Roman" w:cs="Times New Roman"/>
          <w:b/>
          <w:bCs/>
        </w:rPr>
        <w:t>13. Change-Management, Communication, and Adoption Strategy</w:t>
      </w:r>
    </w:p>
    <w:p w14:paraId="0CA51FD3"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A structured change-management approach addressing awareness, desire, knowledge, ability, and reinforcement is executed in parallel with technical delivery. Core activities include comprehensive stakeholder mapping and influence planning, a regular cadence of leadership communications that transparently share both successes and limitations, role-specific training and coaching programmes focused on interpretation and safe use of Power BI-delivered bandit recommendations, identification and active support of change champions inside each function, rapid-feedback mechanisms with visible response, and recognition of early energy, comfort, and safety wins. Adoption metrics (active Power BI users, recommendation acceptance and override rates, qualitative feedback, and process-embedding indicators) are tracked with the same rigor as technical and financial metrics and form an explicit part of every stage-gate review.</w:t>
      </w:r>
    </w:p>
    <w:p w14:paraId="039B1EC8" w14:textId="0839747D" w:rsidR="00CE11F1" w:rsidRPr="00CE11F1" w:rsidRDefault="003A2C99" w:rsidP="003A2C99">
      <w:pPr>
        <w:spacing w:line="360" w:lineRule="auto"/>
        <w:jc w:val="both"/>
        <w:rPr>
          <w:rFonts w:ascii="Times New Roman" w:hAnsi="Times New Roman" w:cs="Times New Roman"/>
          <w:b/>
          <w:bCs/>
        </w:rPr>
      </w:pPr>
      <w:r w:rsidRPr="00CE11F1">
        <w:rPr>
          <w:rFonts w:ascii="Times New Roman" w:hAnsi="Times New Roman" w:cs="Times New Roman"/>
          <w:b/>
          <w:bCs/>
        </w:rPr>
        <w:lastRenderedPageBreak/>
        <w:t xml:space="preserve">14. Success-Measurement System and Review </w:t>
      </w:r>
      <w:r w:rsidR="00CE11F1" w:rsidRPr="00CE11F1">
        <w:rPr>
          <w:rFonts w:ascii="Times New Roman" w:hAnsi="Times New Roman" w:cs="Times New Roman"/>
          <w:b/>
          <w:bCs/>
        </w:rPr>
        <w:t>Tone</w:t>
      </w:r>
    </w:p>
    <w:p w14:paraId="570FE29C" w14:textId="35C28CAA"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A balanced scorecard continuously monitors four perspectives with pre-defined metrics and owners:</w:t>
      </w:r>
    </w:p>
    <w:p w14:paraId="17754D52" w14:textId="0201817B" w:rsidR="003A2C99" w:rsidRPr="003A2C99" w:rsidRDefault="003A2C99" w:rsidP="003A2C99">
      <w:pPr>
        <w:numPr>
          <w:ilvl w:val="0"/>
          <w:numId w:val="7"/>
        </w:numPr>
        <w:spacing w:line="360" w:lineRule="auto"/>
        <w:jc w:val="both"/>
        <w:rPr>
          <w:rFonts w:ascii="Times New Roman" w:hAnsi="Times New Roman" w:cs="Times New Roman"/>
        </w:rPr>
      </w:pPr>
      <w:r w:rsidRPr="00CE11F1">
        <w:rPr>
          <w:rFonts w:ascii="Times New Roman" w:hAnsi="Times New Roman" w:cs="Times New Roman"/>
          <w:b/>
          <w:bCs/>
        </w:rPr>
        <w:t xml:space="preserve">Technical health: </w:t>
      </w:r>
      <w:r w:rsidRPr="003A2C99">
        <w:rPr>
          <w:rFonts w:ascii="Times New Roman" w:hAnsi="Times New Roman" w:cs="Times New Roman"/>
        </w:rPr>
        <w:t xml:space="preserve">data-quality scores, pipeline reliability, policy statistical performance (offline and online), calibration, stability, and safety-bound </w:t>
      </w:r>
      <w:r w:rsidR="00CE11F1" w:rsidRPr="003A2C99">
        <w:rPr>
          <w:rFonts w:ascii="Times New Roman" w:hAnsi="Times New Roman" w:cs="Times New Roman"/>
        </w:rPr>
        <w:t>integrity</w:t>
      </w:r>
      <w:r w:rsidR="00CE11F1">
        <w:rPr>
          <w:rFonts w:ascii="Times New Roman" w:hAnsi="Times New Roman" w:cs="Times New Roman"/>
        </w:rPr>
        <w:t xml:space="preserve"> all</w:t>
      </w:r>
      <w:r w:rsidRPr="003A2C99">
        <w:rPr>
          <w:rFonts w:ascii="Times New Roman" w:hAnsi="Times New Roman" w:cs="Times New Roman"/>
        </w:rPr>
        <w:t xml:space="preserve"> measured inside PostgreSQL. </w:t>
      </w:r>
    </w:p>
    <w:p w14:paraId="0A2403AE" w14:textId="06745F7B" w:rsidR="003A2C99" w:rsidRPr="003A2C99" w:rsidRDefault="003A2C99" w:rsidP="003A2C99">
      <w:pPr>
        <w:numPr>
          <w:ilvl w:val="0"/>
          <w:numId w:val="7"/>
        </w:numPr>
        <w:spacing w:line="360" w:lineRule="auto"/>
        <w:jc w:val="both"/>
        <w:rPr>
          <w:rFonts w:ascii="Times New Roman" w:hAnsi="Times New Roman" w:cs="Times New Roman"/>
        </w:rPr>
      </w:pPr>
      <w:r w:rsidRPr="00CE11F1">
        <w:rPr>
          <w:rFonts w:ascii="Times New Roman" w:hAnsi="Times New Roman" w:cs="Times New Roman"/>
          <w:b/>
          <w:bCs/>
        </w:rPr>
        <w:t xml:space="preserve">Adoption and </w:t>
      </w:r>
      <w:r w:rsidR="00CE11F1" w:rsidRPr="00CE11F1">
        <w:rPr>
          <w:rFonts w:ascii="Times New Roman" w:hAnsi="Times New Roman" w:cs="Times New Roman"/>
          <w:b/>
          <w:bCs/>
        </w:rPr>
        <w:t>embedding</w:t>
      </w:r>
      <w:r w:rsidRPr="003A2C99">
        <w:rPr>
          <w:rFonts w:ascii="Times New Roman" w:hAnsi="Times New Roman" w:cs="Times New Roman"/>
        </w:rPr>
        <w:t xml:space="preserve"> </w:t>
      </w:r>
      <w:r w:rsidR="00CE11F1" w:rsidRPr="003A2C99">
        <w:rPr>
          <w:rFonts w:ascii="Times New Roman" w:hAnsi="Times New Roman" w:cs="Times New Roman"/>
        </w:rPr>
        <w:t>active user</w:t>
      </w:r>
      <w:r w:rsidRPr="003A2C99">
        <w:rPr>
          <w:rFonts w:ascii="Times New Roman" w:hAnsi="Times New Roman" w:cs="Times New Roman"/>
        </w:rPr>
        <w:t xml:space="preserve"> </w:t>
      </w:r>
      <w:r w:rsidR="00CE11F1" w:rsidRPr="003A2C99">
        <w:rPr>
          <w:rFonts w:ascii="Times New Roman" w:hAnsi="Times New Roman" w:cs="Times New Roman"/>
        </w:rPr>
        <w:t>count</w:t>
      </w:r>
      <w:r w:rsidRPr="003A2C99">
        <w:rPr>
          <w:rFonts w:ascii="Times New Roman" w:hAnsi="Times New Roman" w:cs="Times New Roman"/>
        </w:rPr>
        <w:t xml:space="preserve"> of Power BI environments, recommendation acceptance versus override rates, feature usage, and qualitative user feedback. </w:t>
      </w:r>
    </w:p>
    <w:p w14:paraId="22ADE93A" w14:textId="2562B875" w:rsidR="003A2C99" w:rsidRPr="003A2C99" w:rsidRDefault="003A2C99" w:rsidP="003A2C99">
      <w:pPr>
        <w:numPr>
          <w:ilvl w:val="0"/>
          <w:numId w:val="7"/>
        </w:numPr>
        <w:spacing w:line="360" w:lineRule="auto"/>
        <w:jc w:val="both"/>
        <w:rPr>
          <w:rFonts w:ascii="Times New Roman" w:hAnsi="Times New Roman" w:cs="Times New Roman"/>
        </w:rPr>
      </w:pPr>
      <w:r w:rsidRPr="00CE11F1">
        <w:rPr>
          <w:rFonts w:ascii="Times New Roman" w:hAnsi="Times New Roman" w:cs="Times New Roman"/>
          <w:b/>
          <w:bCs/>
        </w:rPr>
        <w:t>Business outcomes</w:t>
      </w:r>
      <w:r w:rsidRPr="003A2C99">
        <w:rPr>
          <w:rFonts w:ascii="Times New Roman" w:hAnsi="Times New Roman" w:cs="Times New Roman"/>
        </w:rPr>
        <w:t xml:space="preserve">: HVAC energy intensity and cost (normalised), peak-demand charges, thermal-comfort work-order volume and severity, equipment runtime and cycling metrics, and selected ESG </w:t>
      </w:r>
      <w:r w:rsidR="00CE11F1" w:rsidRPr="003A2C99">
        <w:rPr>
          <w:rFonts w:ascii="Times New Roman" w:hAnsi="Times New Roman" w:cs="Times New Roman"/>
        </w:rPr>
        <w:t>indicators</w:t>
      </w:r>
      <w:r w:rsidR="00CE11F1">
        <w:rPr>
          <w:rFonts w:ascii="Times New Roman" w:hAnsi="Times New Roman" w:cs="Times New Roman"/>
        </w:rPr>
        <w:t xml:space="preserve"> all</w:t>
      </w:r>
      <w:r w:rsidRPr="003A2C99">
        <w:rPr>
          <w:rFonts w:ascii="Times New Roman" w:hAnsi="Times New Roman" w:cs="Times New Roman"/>
        </w:rPr>
        <w:t xml:space="preserve"> tracked against pre-initiative baselines with statistical attribution where feasible. </w:t>
      </w:r>
    </w:p>
    <w:p w14:paraId="04D926B2" w14:textId="77777777" w:rsidR="003A2C99" w:rsidRPr="003A2C99" w:rsidRDefault="003A2C99" w:rsidP="003A2C99">
      <w:pPr>
        <w:numPr>
          <w:ilvl w:val="0"/>
          <w:numId w:val="7"/>
        </w:numPr>
        <w:spacing w:line="360" w:lineRule="auto"/>
        <w:jc w:val="both"/>
        <w:rPr>
          <w:rFonts w:ascii="Times New Roman" w:hAnsi="Times New Roman" w:cs="Times New Roman"/>
        </w:rPr>
      </w:pPr>
      <w:r w:rsidRPr="00CE11F1">
        <w:rPr>
          <w:rFonts w:ascii="Times New Roman" w:hAnsi="Times New Roman" w:cs="Times New Roman"/>
          <w:b/>
          <w:bCs/>
        </w:rPr>
        <w:t>Program delivery</w:t>
      </w:r>
      <w:r w:rsidRPr="003A2C99">
        <w:rPr>
          <w:rFonts w:ascii="Times New Roman" w:hAnsi="Times New Roman" w:cs="Times New Roman"/>
        </w:rPr>
        <w:t>: milestone adherence, budget variance, residual risk posture, and unbroken compliance with technology and safety constraints.</w:t>
      </w:r>
    </w:p>
    <w:p w14:paraId="78B0C23A"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Program leadership reviews the scorecard monthly; the Steering Committee reviews it quarterly. Formal post-implementation reviews occur at the conclusion of Phases 1 and 2 and feed directly into the subsequent phase authorisation decision.</w:t>
      </w:r>
    </w:p>
    <w:p w14:paraId="2AAB4951" w14:textId="77777777" w:rsidR="00CE11F1" w:rsidRPr="00CE11F1" w:rsidRDefault="003A2C99" w:rsidP="003A2C99">
      <w:pPr>
        <w:spacing w:line="360" w:lineRule="auto"/>
        <w:jc w:val="both"/>
        <w:rPr>
          <w:rFonts w:ascii="Times New Roman" w:hAnsi="Times New Roman" w:cs="Times New Roman"/>
          <w:b/>
          <w:bCs/>
        </w:rPr>
      </w:pPr>
      <w:r w:rsidRPr="00CE11F1">
        <w:rPr>
          <w:rFonts w:ascii="Times New Roman" w:hAnsi="Times New Roman" w:cs="Times New Roman"/>
          <w:b/>
          <w:bCs/>
        </w:rPr>
        <w:t>15. Conclusion and Formal Recommendation to the Board and Executive Leadership Team</w:t>
      </w:r>
    </w:p>
    <w:p w14:paraId="152E5B79" w14:textId="77777777" w:rsidR="00CE11F1" w:rsidRDefault="003A2C99" w:rsidP="003A2C99">
      <w:pPr>
        <w:spacing w:line="360" w:lineRule="auto"/>
        <w:jc w:val="both"/>
        <w:rPr>
          <w:rFonts w:ascii="Times New Roman" w:hAnsi="Times New Roman" w:cs="Times New Roman"/>
        </w:rPr>
      </w:pPr>
      <w:r w:rsidRPr="003A2C99">
        <w:rPr>
          <w:rFonts w:ascii="Times New Roman" w:hAnsi="Times New Roman" w:cs="Times New Roman"/>
        </w:rPr>
        <w:t xml:space="preserve">The Intelligent Contextual Multi-Armed Bandit Optimisation for Adaptive Multi-Zone HVAC Control, Dynamic Set-Point Selection, and Portfolio-Wide Building Energy &amp; Comfort Management Initiative constitutes a strategically necessary, economically attractive, and organisationally capability-building investment for Apex Horizon Properties Corporation. Continuation of predominantly static, seasonal, or simple rule-based HVAC control exposes the company to rising and volatile energy and carbon costs, avoidable comfort friction and tenant dissatisfaction, missed flexibility value, accelerated equipment wear, and a widening gap relative to more adaptive competitors. By systematically constructing a governed contextual-bandit capability on a foundation of high-integrity data residing exclusively inside PostgreSQL, with recommendations and explanations consumed solely through Power BI, </w:t>
      </w:r>
      <w:r w:rsidRPr="003A2C99">
        <w:rPr>
          <w:rFonts w:ascii="Times New Roman" w:hAnsi="Times New Roman" w:cs="Times New Roman"/>
        </w:rPr>
        <w:lastRenderedPageBreak/>
        <w:t>Apex Horizon can achieve measurable reductions in energy cost and carbon intensity, improved and more consistent occupant comfort, enhanced equipment longevity, stronger ESG credentials, and a durable platform for future grid-interactive and portfolio-level optimisation</w:t>
      </w:r>
      <w:r>
        <w:rPr>
          <w:rFonts w:ascii="Times New Roman" w:hAnsi="Times New Roman" w:cs="Times New Roman"/>
        </w:rPr>
        <w:t xml:space="preserve">  </w:t>
      </w:r>
      <w:r w:rsidRPr="003A2C99">
        <w:rPr>
          <w:rFonts w:ascii="Times New Roman" w:hAnsi="Times New Roman" w:cs="Times New Roman"/>
        </w:rPr>
        <w:t>while maintaining absolute control over data, algorithms, safety bounds, and auditability.</w:t>
      </w:r>
    </w:p>
    <w:p w14:paraId="19AE3F3A" w14:textId="082882CB"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It is therefore recommended that the Board of Directors and the Executive Leadership Team:</w:t>
      </w:r>
    </w:p>
    <w:p w14:paraId="4CBC4F43" w14:textId="77777777" w:rsidR="003A2C99" w:rsidRPr="003A2C99" w:rsidRDefault="003A2C99" w:rsidP="003A2C99">
      <w:pPr>
        <w:numPr>
          <w:ilvl w:val="0"/>
          <w:numId w:val="8"/>
        </w:numPr>
        <w:spacing w:line="360" w:lineRule="auto"/>
        <w:jc w:val="both"/>
        <w:rPr>
          <w:rFonts w:ascii="Times New Roman" w:hAnsi="Times New Roman" w:cs="Times New Roman"/>
        </w:rPr>
      </w:pPr>
      <w:r w:rsidRPr="003A2C99">
        <w:rPr>
          <w:rFonts w:ascii="Times New Roman" w:hAnsi="Times New Roman" w:cs="Times New Roman"/>
        </w:rPr>
        <w:t xml:space="preserve">Approve the Intelligent Contextual Multi-Armed Bandit Optimisation Initiative as an enterprise strategic program. </w:t>
      </w:r>
    </w:p>
    <w:p w14:paraId="6F39AA35" w14:textId="77777777" w:rsidR="003A2C99" w:rsidRPr="003A2C99" w:rsidRDefault="003A2C99" w:rsidP="003A2C99">
      <w:pPr>
        <w:numPr>
          <w:ilvl w:val="0"/>
          <w:numId w:val="8"/>
        </w:numPr>
        <w:spacing w:line="360" w:lineRule="auto"/>
        <w:jc w:val="both"/>
        <w:rPr>
          <w:rFonts w:ascii="Times New Roman" w:hAnsi="Times New Roman" w:cs="Times New Roman"/>
        </w:rPr>
      </w:pPr>
      <w:r w:rsidRPr="003A2C99">
        <w:rPr>
          <w:rFonts w:ascii="Times New Roman" w:hAnsi="Times New Roman" w:cs="Times New Roman"/>
        </w:rPr>
        <w:t xml:space="preserve">Authorize immediate commencement of Phase 0, including the associated funding envelope and resource commitments. </w:t>
      </w:r>
    </w:p>
    <w:p w14:paraId="1243B08A" w14:textId="77777777" w:rsidR="003A2C99" w:rsidRPr="003A2C99" w:rsidRDefault="003A2C99" w:rsidP="003A2C99">
      <w:pPr>
        <w:numPr>
          <w:ilvl w:val="0"/>
          <w:numId w:val="8"/>
        </w:numPr>
        <w:spacing w:line="360" w:lineRule="auto"/>
        <w:jc w:val="both"/>
        <w:rPr>
          <w:rFonts w:ascii="Times New Roman" w:hAnsi="Times New Roman" w:cs="Times New Roman"/>
        </w:rPr>
      </w:pPr>
      <w:r w:rsidRPr="003A2C99">
        <w:rPr>
          <w:rFonts w:ascii="Times New Roman" w:hAnsi="Times New Roman" w:cs="Times New Roman"/>
        </w:rPr>
        <w:t xml:space="preserve">Appoint the Executive Sponsor and direct the formation of the Steering Committee and the Model/Policy Risk &amp; Safety Forum within two weeks of approval. </w:t>
      </w:r>
    </w:p>
    <w:p w14:paraId="49D84638" w14:textId="77777777" w:rsidR="003A2C99" w:rsidRPr="003A2C99" w:rsidRDefault="003A2C99" w:rsidP="003A2C99">
      <w:pPr>
        <w:numPr>
          <w:ilvl w:val="0"/>
          <w:numId w:val="8"/>
        </w:numPr>
        <w:spacing w:line="360" w:lineRule="auto"/>
        <w:jc w:val="both"/>
        <w:rPr>
          <w:rFonts w:ascii="Times New Roman" w:hAnsi="Times New Roman" w:cs="Times New Roman"/>
        </w:rPr>
      </w:pPr>
      <w:r w:rsidRPr="003A2C99">
        <w:rPr>
          <w:rFonts w:ascii="Times New Roman" w:hAnsi="Times New Roman" w:cs="Times New Roman"/>
        </w:rPr>
        <w:t>Require that every subsequent phase be authorised only after formal stage-gate review of technical progress, measured value, updated risk assessment, re-validated benefits projections, confirmed safety performance, and unbroken adherence to the exclusive PostgreSQL data/policy lifecycle and Power BI frontend constraints.</w:t>
      </w:r>
    </w:p>
    <w:p w14:paraId="090AB301" w14:textId="77777777" w:rsidR="003A2C99" w:rsidRPr="003A2C99" w:rsidRDefault="003A2C99" w:rsidP="003A2C99">
      <w:pPr>
        <w:spacing w:line="360" w:lineRule="auto"/>
        <w:jc w:val="both"/>
        <w:rPr>
          <w:rFonts w:ascii="Times New Roman" w:hAnsi="Times New Roman" w:cs="Times New Roman"/>
        </w:rPr>
      </w:pPr>
      <w:r w:rsidRPr="003A2C99">
        <w:rPr>
          <w:rFonts w:ascii="Times New Roman" w:hAnsi="Times New Roman" w:cs="Times New Roman"/>
        </w:rPr>
        <w:t>Upon approval, the Digital Transformation Office will issue a detailed Phase 0 mobilisation plan to the newly formed Steering Committee within four weeks and will commence execution without delay.</w:t>
      </w:r>
    </w:p>
    <w:p w14:paraId="1C004296" w14:textId="77777777" w:rsidR="0011423B" w:rsidRPr="003A2C99" w:rsidRDefault="0011423B" w:rsidP="003A2C99">
      <w:pPr>
        <w:spacing w:line="360" w:lineRule="auto"/>
        <w:jc w:val="both"/>
        <w:rPr>
          <w:rFonts w:ascii="Times New Roman" w:hAnsi="Times New Roman" w:cs="Times New Roman"/>
        </w:rPr>
      </w:pPr>
    </w:p>
    <w:sectPr w:rsidR="0011423B" w:rsidRPr="003A2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C7FAB"/>
    <w:multiLevelType w:val="multilevel"/>
    <w:tmpl w:val="0EAAC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6615D"/>
    <w:multiLevelType w:val="multilevel"/>
    <w:tmpl w:val="F0A6B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900444"/>
    <w:multiLevelType w:val="multilevel"/>
    <w:tmpl w:val="CBAA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C45A07"/>
    <w:multiLevelType w:val="multilevel"/>
    <w:tmpl w:val="2A0C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302541"/>
    <w:multiLevelType w:val="multilevel"/>
    <w:tmpl w:val="E136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EC3130"/>
    <w:multiLevelType w:val="multilevel"/>
    <w:tmpl w:val="86F62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92290D"/>
    <w:multiLevelType w:val="multilevel"/>
    <w:tmpl w:val="177E8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C43E98"/>
    <w:multiLevelType w:val="multilevel"/>
    <w:tmpl w:val="2146C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660096">
    <w:abstractNumId w:val="6"/>
  </w:num>
  <w:num w:numId="2" w16cid:durableId="313218013">
    <w:abstractNumId w:val="1"/>
  </w:num>
  <w:num w:numId="3" w16cid:durableId="779683907">
    <w:abstractNumId w:val="2"/>
  </w:num>
  <w:num w:numId="4" w16cid:durableId="1410007900">
    <w:abstractNumId w:val="7"/>
  </w:num>
  <w:num w:numId="5" w16cid:durableId="1592200919">
    <w:abstractNumId w:val="4"/>
  </w:num>
  <w:num w:numId="6" w16cid:durableId="1508517713">
    <w:abstractNumId w:val="3"/>
  </w:num>
  <w:num w:numId="7" w16cid:durableId="1449931625">
    <w:abstractNumId w:val="0"/>
  </w:num>
  <w:num w:numId="8" w16cid:durableId="9799228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F5"/>
    <w:rsid w:val="0011423B"/>
    <w:rsid w:val="00135D51"/>
    <w:rsid w:val="00164024"/>
    <w:rsid w:val="00243FF5"/>
    <w:rsid w:val="00313E4B"/>
    <w:rsid w:val="0034268F"/>
    <w:rsid w:val="003A2C99"/>
    <w:rsid w:val="0084538B"/>
    <w:rsid w:val="00B73031"/>
    <w:rsid w:val="00CE11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8E6DE"/>
  <w15:chartTrackingRefBased/>
  <w15:docId w15:val="{7CF1F9FA-9FFC-4338-84CA-BFDD3D6D8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F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3F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3F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3F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3F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3F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3F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3F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3F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3F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3F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F5"/>
    <w:rPr>
      <w:rFonts w:eastAsiaTheme="majorEastAsia" w:cstheme="majorBidi"/>
      <w:color w:val="272727" w:themeColor="text1" w:themeTint="D8"/>
    </w:rPr>
  </w:style>
  <w:style w:type="paragraph" w:styleId="Title">
    <w:name w:val="Title"/>
    <w:basedOn w:val="Normal"/>
    <w:next w:val="Normal"/>
    <w:link w:val="TitleChar"/>
    <w:uiPriority w:val="10"/>
    <w:qFormat/>
    <w:rsid w:val="00243F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F5"/>
    <w:pPr>
      <w:spacing w:before="160"/>
      <w:jc w:val="center"/>
    </w:pPr>
    <w:rPr>
      <w:i/>
      <w:iCs/>
      <w:color w:val="404040" w:themeColor="text1" w:themeTint="BF"/>
    </w:rPr>
  </w:style>
  <w:style w:type="character" w:customStyle="1" w:styleId="QuoteChar">
    <w:name w:val="Quote Char"/>
    <w:basedOn w:val="DefaultParagraphFont"/>
    <w:link w:val="Quote"/>
    <w:uiPriority w:val="29"/>
    <w:rsid w:val="00243FF5"/>
    <w:rPr>
      <w:i/>
      <w:iCs/>
      <w:color w:val="404040" w:themeColor="text1" w:themeTint="BF"/>
    </w:rPr>
  </w:style>
  <w:style w:type="paragraph" w:styleId="ListParagraph">
    <w:name w:val="List Paragraph"/>
    <w:basedOn w:val="Normal"/>
    <w:uiPriority w:val="34"/>
    <w:qFormat/>
    <w:rsid w:val="00243FF5"/>
    <w:pPr>
      <w:ind w:left="720"/>
      <w:contextualSpacing/>
    </w:pPr>
  </w:style>
  <w:style w:type="character" w:styleId="IntenseEmphasis">
    <w:name w:val="Intense Emphasis"/>
    <w:basedOn w:val="DefaultParagraphFont"/>
    <w:uiPriority w:val="21"/>
    <w:qFormat/>
    <w:rsid w:val="00243FF5"/>
    <w:rPr>
      <w:i/>
      <w:iCs/>
      <w:color w:val="0F4761" w:themeColor="accent1" w:themeShade="BF"/>
    </w:rPr>
  </w:style>
  <w:style w:type="paragraph" w:styleId="IntenseQuote">
    <w:name w:val="Intense Quote"/>
    <w:basedOn w:val="Normal"/>
    <w:next w:val="Normal"/>
    <w:link w:val="IntenseQuoteChar"/>
    <w:uiPriority w:val="30"/>
    <w:qFormat/>
    <w:rsid w:val="00243F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3FF5"/>
    <w:rPr>
      <w:i/>
      <w:iCs/>
      <w:color w:val="0F4761" w:themeColor="accent1" w:themeShade="BF"/>
    </w:rPr>
  </w:style>
  <w:style w:type="character" w:styleId="IntenseReference">
    <w:name w:val="Intense Reference"/>
    <w:basedOn w:val="DefaultParagraphFont"/>
    <w:uiPriority w:val="32"/>
    <w:qFormat/>
    <w:rsid w:val="00243F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21</Pages>
  <Words>7342</Words>
  <Characters>41853</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chinedu Echem</dc:creator>
  <cp:keywords/>
  <dc:description/>
  <cp:lastModifiedBy>Anthony chinedu Echem</cp:lastModifiedBy>
  <cp:revision>6</cp:revision>
  <dcterms:created xsi:type="dcterms:W3CDTF">2026-09-03T00:14:00Z</dcterms:created>
  <dcterms:modified xsi:type="dcterms:W3CDTF">2026-09-03T00:55:00Z</dcterms:modified>
</cp:coreProperties>
</file>