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A363" w14:textId="31840D57" w:rsidR="008B6A02" w:rsidRPr="008B6A02" w:rsidRDefault="008B6A02" w:rsidP="008B6A02">
      <w:pPr>
        <w:spacing w:line="360" w:lineRule="auto"/>
        <w:jc w:val="center"/>
        <w:rPr>
          <w:rFonts w:ascii="Times New Roman" w:hAnsi="Times New Roman" w:cs="Times New Roman"/>
          <w:sz w:val="22"/>
          <w:szCs w:val="22"/>
        </w:rPr>
      </w:pPr>
      <w:r w:rsidRPr="008B6A02">
        <w:rPr>
          <w:rFonts w:ascii="Times New Roman" w:hAnsi="Times New Roman" w:cs="Times New Roman"/>
          <w:b/>
          <w:bCs/>
          <w:sz w:val="22"/>
          <w:szCs w:val="22"/>
        </w:rPr>
        <w:t>Intelligent Predictive Operations Initiative</w:t>
      </w:r>
      <w:r w:rsidRPr="008B6A02">
        <w:rPr>
          <w:rFonts w:ascii="Times New Roman" w:hAnsi="Times New Roman" w:cs="Times New Roman"/>
          <w:b/>
          <w:bCs/>
          <w:sz w:val="22"/>
          <w:szCs w:val="22"/>
        </w:rPr>
        <w:br/>
        <w:t>Helios Aircraft Corporation Document Control</w:t>
      </w:r>
      <w:r w:rsidRPr="008B6A02">
        <w:rPr>
          <w:rFonts w:ascii="Times New Roman" w:hAnsi="Times New Roman" w:cs="Times New Roman"/>
          <w:b/>
          <w:bCs/>
          <w:sz w:val="22"/>
          <w:szCs w:val="22"/>
        </w:rPr>
        <w:br/>
      </w:r>
      <w:r w:rsidRPr="008B6A02">
        <w:rPr>
          <w:rFonts w:ascii="Times New Roman" w:hAnsi="Times New Roman" w:cs="Times New Roman"/>
          <w:sz w:val="22"/>
          <w:szCs w:val="22"/>
        </w:rPr>
        <w:br/>
      </w:r>
      <w:r w:rsidRPr="009F5885">
        <w:rPr>
          <w:rFonts w:ascii="Times New Roman" w:hAnsi="Times New Roman" w:cs="Times New Roman"/>
          <w:b/>
          <w:bCs/>
          <w:sz w:val="22"/>
          <w:szCs w:val="22"/>
        </w:rPr>
        <w:t>Digital Transformation Office in close collaboration with Operations, Engineering, Supply Chain, Quality, Finance, Customer Support, Reliability, and Information Security</w:t>
      </w:r>
      <w:r w:rsidRPr="009F5885">
        <w:rPr>
          <w:rFonts w:ascii="Times New Roman" w:hAnsi="Times New Roman" w:cs="Times New Roman"/>
          <w:b/>
          <w:bCs/>
          <w:sz w:val="22"/>
          <w:szCs w:val="22"/>
        </w:rPr>
        <w:br/>
      </w:r>
    </w:p>
    <w:p w14:paraId="712FE5D4"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0002C6DB">
          <v:rect id="_x0000_i1025" style="width:0;height:1.5pt" o:hralign="center" o:hrstd="t" o:hrnoshade="t" o:hr="t" fillcolor="black" stroked="f"/>
        </w:pict>
      </w:r>
    </w:p>
    <w:p w14:paraId="26A1D0ED"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1. Document Purpose, Scope of Decision, and Authorization Request</w:t>
      </w:r>
    </w:p>
    <w:p w14:paraId="4B61EE4D" w14:textId="77777777"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This business case constitutes the complete, standalone justification for the launch and multi-year execution of the Intelligent Predictive Operations Initiative at Helios Aircraft Corporation. It is written to support a formal decision by the Board of Directors and the Executive Leadership Team. The document examines the strategic context in depth, provides a rigorously quantified analysis of current-state operational and financial pain points, articulates a clear solution vision grounded in design principles appropriate to a safety-critical aerospace enterprise, defines priority use cases with expected mechanisms of value creation, specifies functional and non-functional requirements at a level sufficient to guide architecture and delivery, lists concrete deliverables with explicit acceptance criteria, presents a benefits-realization framework and conservative financial perspective, details a multi-phase roadmap with stage gates, contains an expanded risk register with mitigation and contingency approaches, describes the required governance and organizational model, outlines a comprehensive change-management and adoption strategy, and defines the success-measurement system that will govern continuation decisions.</w:t>
      </w:r>
    </w:p>
    <w:p w14:paraId="5590E030" w14:textId="11FA537F"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The specific decision requested is:</w:t>
      </w:r>
    </w:p>
    <w:p w14:paraId="31F57A1D" w14:textId="77777777" w:rsidR="008B6A02" w:rsidRPr="008B6A02" w:rsidRDefault="008B6A02" w:rsidP="008B6A02">
      <w:pPr>
        <w:numPr>
          <w:ilvl w:val="0"/>
          <w:numId w:val="1"/>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Formal approval of the Intelligent Predictive Operations Initiative as a strategic enterprise program. </w:t>
      </w:r>
    </w:p>
    <w:p w14:paraId="315A7ADC" w14:textId="77777777" w:rsidR="008B6A02" w:rsidRPr="008B6A02" w:rsidRDefault="008B6A02" w:rsidP="008B6A02">
      <w:pPr>
        <w:numPr>
          <w:ilvl w:val="0"/>
          <w:numId w:val="1"/>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Authorization to commence Phase 0 (Mobilization and Detailed Design), including the associated initial funding envelope, allocation or recruitment of core program resources, appointment of the Executive Sponsor, and immediate formation of the cross-functional Steering Committee. </w:t>
      </w:r>
    </w:p>
    <w:p w14:paraId="772818F8" w14:textId="77777777" w:rsidR="008B6A02" w:rsidRPr="008B6A02" w:rsidRDefault="008B6A02" w:rsidP="008B6A02">
      <w:pPr>
        <w:numPr>
          <w:ilvl w:val="0"/>
          <w:numId w:val="1"/>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Commitment that subsequent phase funding will be released only upon successful completion of defined stage-gate criteria, including demonstrated technical progress, measured pilot value, updated risk assessment, and re-validated benefits projections.</w:t>
      </w:r>
    </w:p>
    <w:p w14:paraId="5852D422" w14:textId="77777777"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This document is intentionally exhaustive so that decision-makers possess full visibility of opportunity, cost, risk, dependency, and required organizational commitment before authorizing the program.</w:t>
      </w:r>
    </w:p>
    <w:p w14:paraId="7CA107DF"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pict w14:anchorId="05937343">
          <v:rect id="_x0000_i1026" style="width:0;height:1.5pt" o:hralign="center" o:hrstd="t" o:hrnoshade="t" o:hr="t" fillcolor="black" stroked="f"/>
        </w:pict>
      </w:r>
    </w:p>
    <w:p w14:paraId="2108EA17"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2. Executive Summary</w:t>
      </w:r>
    </w:p>
    <w:p w14:paraId="039283B9" w14:textId="77777777"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Helios Aircraft Corporation designs, manufactures, certifies, and provides through-life support for commercial narrow-body, regional, and specialized-mission aircraft. Over several decades the company has built a reputation for engineering rigor, product integrity, and responsive customer support. That reputation is now tested by a markedly more demanding operating environment. Unplanned component failures and degradations continue to generate Aircraft-on-Ground events, schedule disruption, and elevated support costs. Inventory positions simultaneously immobilize excess capital in slow-moving stock while exposing the company to shortages of long-lead critical parts. Quality variability produces scrap, rework, repair, and late-stage concessions that erode margin and destabilize production flow. Supplier performance and external risk signals are monitored largely retrospectively, limiting proactive mitigation. Across the enterprise, decision-makers experience persistent latency and friction in obtaining trusted, forward-looking insight; specialist engineers and analysts devote disproportionate effort to data acquisition and reconciliation rather than to diagnosis and action.</w:t>
      </w:r>
    </w:p>
    <w:p w14:paraId="2C6D9B77" w14:textId="77777777"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The Intelligent Predictive Operations Initiative is proposed as the structured response to these interconnected challenges. The program will create a single, high-integrity, governed analytical data foundation that consolidates curated operational, quality, maintenance, inventory, usage, and supplier data. Upon that foundation it will develop, validate, deploy, and continuously monitor predictive models for the highest-value domains. The resulting insights will be delivered through role-specific decision-support environments that present predictions together with context, confidence measures, explanations, and recommended actions, while preserving unambiguous human accountability for every safety- or airworthiness-related decision.</w:t>
      </w:r>
    </w:p>
    <w:p w14:paraId="754DEE7A" w14:textId="77777777"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The initiative is deliberately conceived as a platform rather than a collection of isolated point solutions. Early use cases are chosen both for their direct economic return and for their ability to generate reusable data products, feature pipelines, model-lifecycle patterns, and decision interfaces that will accelerate every subsequent use case. Conservative projections indicate material improvements in aircraft availability, inventory productivity, quality cost, and analytical efficiency within a 24-to-36-month horizon, accompanied by strengthened competitive positioning in original-equipment campaigns and aftermarket service offerings. Equally important, the program will institutionalize a durable organizational capability in governed, data-driven prediction that compounds over time and supports future advances in condition-based maintenance, digital performance management, and sustainability analytics.</w:t>
      </w:r>
    </w:p>
    <w:p w14:paraId="48B7E8F4" w14:textId="03F1FB9A"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This expanded business case examines every material dimension of the opportunity, the solution, the requirements, the value, the risk, and the execution approach in substantially greater depth than prior versions, thereby enabling a fully informed authorization decision.</w:t>
      </w:r>
    </w:p>
    <w:p w14:paraId="5270A4B1"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pict w14:anchorId="04B9918F">
          <v:rect id="_x0000_i1027" style="width:0;height:1.5pt" o:hralign="center" o:hrstd="t" o:hrnoshade="t" o:hr="t" fillcolor="black" stroked="f"/>
        </w:pict>
      </w:r>
    </w:p>
    <w:p w14:paraId="4C64EB43"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3. Organizational, Market, and Strategic Context</w:t>
      </w:r>
    </w:p>
    <w:p w14:paraId="2806C3C2"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3.1 Company Profile, Operating Footprint, and Economic Characteristics</w:t>
      </w:r>
    </w:p>
    <w:p w14:paraId="182C486C" w14:textId="77777777"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Helios Aircraft Corporation is a mid-to-large-tier, vertically integrated aerospace manufacturer and through-life support provider. Core activities encompass final assembly of complete aircraft, fabrication and assembly of major aerostructures, systems integration, component maintenance, repair and overhaul, and global distribution of spare parts and consumables. The company currently sustains two primary commercial platforms together with a family of specialized-mission variants. Annual production output normally lies in the range of 160 to 240 aircraft, subject to order intake, supply-chain health, and certification schedules. The in-service fleet surpasses 1,400 aircraft operated by airlines, lessors, and government customers across multiple geographic regions.</w:t>
      </w:r>
    </w:p>
    <w:p w14:paraId="2512B7C7" w14:textId="77008138"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The enterprise employs approximately 14,000 people worldwide and maintains active commercial relationships with more than 850 suppliers, many of them multi-tier and geographically dispersed. Manufacturing, assembly, and heavy-maintenance facilities </w:t>
      </w:r>
      <w:proofErr w:type="gramStart"/>
      <w:r w:rsidRPr="008B6A02">
        <w:rPr>
          <w:rFonts w:ascii="Times New Roman" w:hAnsi="Times New Roman" w:cs="Times New Roman"/>
          <w:sz w:val="22"/>
          <w:szCs w:val="22"/>
        </w:rPr>
        <w:t>are located in</w:t>
      </w:r>
      <w:proofErr w:type="gramEnd"/>
      <w:r w:rsidRPr="008B6A02">
        <w:rPr>
          <w:rFonts w:ascii="Times New Roman" w:hAnsi="Times New Roman" w:cs="Times New Roman"/>
          <w:sz w:val="22"/>
          <w:szCs w:val="22"/>
        </w:rPr>
        <w:t xml:space="preserve"> three countries; additional customer-support stations and logistics nodes operate on additional continents. Aftermarket </w:t>
      </w:r>
      <w:r w:rsidR="00746219" w:rsidRPr="008B6A02">
        <w:rPr>
          <w:rFonts w:ascii="Times New Roman" w:hAnsi="Times New Roman" w:cs="Times New Roman"/>
          <w:sz w:val="22"/>
          <w:szCs w:val="22"/>
        </w:rPr>
        <w:t>revenue</w:t>
      </w:r>
      <w:r w:rsidR="00746219">
        <w:rPr>
          <w:rFonts w:ascii="Times New Roman" w:hAnsi="Times New Roman" w:cs="Times New Roman"/>
          <w:sz w:val="22"/>
          <w:szCs w:val="22"/>
        </w:rPr>
        <w:t>,</w:t>
      </w:r>
      <w:r w:rsidR="00746219" w:rsidRPr="008B6A02">
        <w:rPr>
          <w:rFonts w:ascii="Times New Roman" w:hAnsi="Times New Roman" w:cs="Times New Roman"/>
          <w:sz w:val="22"/>
          <w:szCs w:val="22"/>
        </w:rPr>
        <w:t xml:space="preserve"> comprising</w:t>
      </w:r>
      <w:r w:rsidRPr="008B6A02">
        <w:rPr>
          <w:rFonts w:ascii="Times New Roman" w:hAnsi="Times New Roman" w:cs="Times New Roman"/>
          <w:sz w:val="22"/>
          <w:szCs w:val="22"/>
        </w:rPr>
        <w:t xml:space="preserve"> spare parts, component repair, heavy checks, and related </w:t>
      </w:r>
      <w:r w:rsidR="00746219" w:rsidRPr="008B6A02">
        <w:rPr>
          <w:rFonts w:ascii="Times New Roman" w:hAnsi="Times New Roman" w:cs="Times New Roman"/>
          <w:sz w:val="22"/>
          <w:szCs w:val="22"/>
        </w:rPr>
        <w:t>services</w:t>
      </w:r>
      <w:r w:rsidR="00746219">
        <w:rPr>
          <w:rFonts w:ascii="Times New Roman" w:hAnsi="Times New Roman" w:cs="Times New Roman"/>
          <w:sz w:val="22"/>
          <w:szCs w:val="22"/>
        </w:rPr>
        <w:t>,</w:t>
      </w:r>
      <w:r w:rsidR="00746219" w:rsidRPr="008B6A02">
        <w:rPr>
          <w:rFonts w:ascii="Times New Roman" w:hAnsi="Times New Roman" w:cs="Times New Roman"/>
          <w:sz w:val="22"/>
          <w:szCs w:val="22"/>
        </w:rPr>
        <w:t xml:space="preserve"> has</w:t>
      </w:r>
      <w:r w:rsidRPr="008B6A02">
        <w:rPr>
          <w:rFonts w:ascii="Times New Roman" w:hAnsi="Times New Roman" w:cs="Times New Roman"/>
          <w:sz w:val="22"/>
          <w:szCs w:val="22"/>
        </w:rPr>
        <w:t xml:space="preserve"> grown steadily and now constitutes a strategically material share of total earnings and a critical source of recurring cash flow.</w:t>
      </w:r>
    </w:p>
    <w:p w14:paraId="4365E65A"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3.2 Published Strategic Priorities and Existing Transformation Portfolio</w:t>
      </w:r>
    </w:p>
    <w:p w14:paraId="32875D93" w14:textId="77777777"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Helios’s formal strategic agenda emphasizes four interlocking themes: </w:t>
      </w:r>
    </w:p>
    <w:p w14:paraId="45B5AFC0" w14:textId="33C8848A" w:rsidR="008B6A02" w:rsidRDefault="008B6A02"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t>1. S</w:t>
      </w:r>
      <w:r w:rsidRPr="008B6A02">
        <w:rPr>
          <w:rFonts w:ascii="Times New Roman" w:hAnsi="Times New Roman" w:cs="Times New Roman"/>
          <w:sz w:val="22"/>
          <w:szCs w:val="22"/>
        </w:rPr>
        <w:t>uperior product reliability and lowest practical cost of ownership for operators</w:t>
      </w:r>
      <w:r>
        <w:rPr>
          <w:rFonts w:ascii="Times New Roman" w:hAnsi="Times New Roman" w:cs="Times New Roman"/>
          <w:sz w:val="22"/>
          <w:szCs w:val="22"/>
        </w:rPr>
        <w:t>.</w:t>
      </w:r>
    </w:p>
    <w:p w14:paraId="40D8F198" w14:textId="77777777" w:rsidR="008B6A02" w:rsidRDefault="008B6A02"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t>2. O</w:t>
      </w:r>
      <w:r w:rsidRPr="008B6A02">
        <w:rPr>
          <w:rFonts w:ascii="Times New Roman" w:hAnsi="Times New Roman" w:cs="Times New Roman"/>
          <w:sz w:val="22"/>
          <w:szCs w:val="22"/>
        </w:rPr>
        <w:t>perational excellence and productivity across manufacturing and support</w:t>
      </w:r>
      <w:r>
        <w:rPr>
          <w:rFonts w:ascii="Times New Roman" w:hAnsi="Times New Roman" w:cs="Times New Roman"/>
          <w:sz w:val="22"/>
          <w:szCs w:val="22"/>
        </w:rPr>
        <w:t>.</w:t>
      </w:r>
    </w:p>
    <w:p w14:paraId="15841F51" w14:textId="77777777" w:rsidR="008B6A02" w:rsidRDefault="008B6A02"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t>3. P</w:t>
      </w:r>
      <w:r w:rsidRPr="008B6A02">
        <w:rPr>
          <w:rFonts w:ascii="Times New Roman" w:hAnsi="Times New Roman" w:cs="Times New Roman"/>
          <w:sz w:val="22"/>
          <w:szCs w:val="22"/>
        </w:rPr>
        <w:t>rofitable growth of the aftermarket franchise</w:t>
      </w:r>
      <w:r>
        <w:rPr>
          <w:rFonts w:ascii="Times New Roman" w:hAnsi="Times New Roman" w:cs="Times New Roman"/>
          <w:sz w:val="22"/>
          <w:szCs w:val="22"/>
        </w:rPr>
        <w:t>.</w:t>
      </w:r>
    </w:p>
    <w:p w14:paraId="740AC008" w14:textId="77777777" w:rsidR="008079D4" w:rsidRDefault="008B6A02"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t>4. D</w:t>
      </w:r>
      <w:r w:rsidRPr="008B6A02">
        <w:rPr>
          <w:rFonts w:ascii="Times New Roman" w:hAnsi="Times New Roman" w:cs="Times New Roman"/>
          <w:sz w:val="22"/>
          <w:szCs w:val="22"/>
        </w:rPr>
        <w:t xml:space="preserve">isciplined preparation for next-generation propulsion, systems, and sustainability technologies. </w:t>
      </w:r>
    </w:p>
    <w:p w14:paraId="58838E10" w14:textId="1B10F16E"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Parallel transformation programs already address lean manufacturing methods, digital manufacturing-execution systems, selective automation, and enhanced configuration management. The Intelligent Predictive Operations Initiative is designed to complement and amplify these efforts by inserting a predictive intelligence layer that converts the data already generated by operations into timely, actionable foresight.</w:t>
      </w:r>
    </w:p>
    <w:p w14:paraId="45D965F1"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3.3 Industry Structure, Competitive Dynamics, and Customer Expectations</w:t>
      </w:r>
    </w:p>
    <w:p w14:paraId="7218DE46" w14:textId="77777777"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lastRenderedPageBreak/>
        <w:t>Commercial aerospace remains defined by extreme capital intensity, protracted development and certification cycles, rigorous safety and airworthiness regulation, and acute sensitivity to dispatch reliability and maintenance-cost predictability. Airline and lessor customers continue to prioritize aircraft availability, predictable direct maintenance cost, residual-value protection, and increasingly transparent data sharing. Larger original-equipment manufacturers have invested heavily over the past decade in fleet-health management platforms, predictive maintenance algorithms, and digital-twin representations of airframe and systems. At the same time, new entrants focused on novel propulsion architectures and advanced air mobility are establishing expectations for inherently data-centric product support from the outset.</w:t>
      </w:r>
    </w:p>
    <w:p w14:paraId="01DE98A8" w14:textId="77777777" w:rsid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In this environment, continued reliance on predominantly interval-based maintenance, retrospective supplier scorecards, and experience-driven quality problem-solving progressively widens the competitive gap. Conversely, a credible, auditable, and continuously improving predictive capability can become a tangible differentiator in aircraft sales campaigns (through demonstrably lower projected cost of ownership) and in aftermarket negotiations (through higher availability guarantees and more sophisticated support offerings, including elements of performance-based contracting).</w:t>
      </w:r>
    </w:p>
    <w:p w14:paraId="4B56F977"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3.4 Current-State Information, Analytics, and Decision Landscape</w:t>
      </w:r>
    </w:p>
    <w:p w14:paraId="466B0227" w14:textId="53930C98"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Helios operates mature enterprise-resource-planning, manufacturing-execution, quality-management, maintenance-information, and logistics systems. A relational database environment already underpins selected engineering, logistics, and aftermarket workloads. Nevertheless, critical data assets remain fragmented across systems and organizational boundaries. Master-data inconsistencies, incomplete historical depth in analytically usable form, and heavy dependence on manual extraction, desktop reconciliation, and spreadsheet-based analysis are commonplace. Predictive or advanced statistical techniques are applied only in isolated specialist pockets; they lack standardization, independent validation, version control, performance monitoring, and closed-loop integration into planning or execution workflows. The cumulative result is decision latency, variable insight quality, duplicated analytical effort, and systematic under-utilization of the predictive signal already latent in operational data.</w:t>
      </w:r>
    </w:p>
    <w:p w14:paraId="123E6292"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5E11CF72">
          <v:rect id="_x0000_i1028" style="width:0;height:1.5pt" o:hralign="center" o:hrstd="t" o:hrnoshade="t" o:hr="t" fillcolor="black" stroked="f"/>
        </w:pict>
      </w:r>
    </w:p>
    <w:p w14:paraId="2564EE33"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4. Comprehensive Current-State Problem Analysis and Quantified Pain Points</w:t>
      </w:r>
    </w:p>
    <w:p w14:paraId="69E5BD7B" w14:textId="77777777" w:rsidR="008B6A02" w:rsidRPr="008B6A02" w:rsidRDefault="008B6A02" w:rsidP="008B6A02">
      <w:pPr>
        <w:spacing w:line="360" w:lineRule="auto"/>
        <w:jc w:val="both"/>
        <w:rPr>
          <w:rFonts w:ascii="Times New Roman" w:hAnsi="Times New Roman" w:cs="Times New Roman"/>
          <w:b/>
          <w:bCs/>
          <w:sz w:val="22"/>
          <w:szCs w:val="22"/>
        </w:rPr>
      </w:pPr>
      <w:r w:rsidRPr="008B6A02">
        <w:rPr>
          <w:rFonts w:ascii="Times New Roman" w:hAnsi="Times New Roman" w:cs="Times New Roman"/>
          <w:b/>
          <w:bCs/>
          <w:sz w:val="22"/>
          <w:szCs w:val="22"/>
        </w:rPr>
        <w:t>4.1 Fleet Health, Unplanned Removals, Aircraft-on-Ground Events, and Availability Impact</w:t>
      </w:r>
    </w:p>
    <w:p w14:paraId="54250BB6" w14:textId="77777777" w:rsidR="008079D4"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Detailed examination of multi-year maintenance, reliability, and operational data demonstrates that a material fraction of high-impact component removals and resulting Aircraft-on-Ground events were preceded by detectable precursor patterns in cumulative usage, prior maintenance actions, or available health-monitoring summaries. Prevailing maintenance philosophy remains largely interval-driven or </w:t>
      </w:r>
      <w:r w:rsidRPr="008B6A02">
        <w:rPr>
          <w:rFonts w:ascii="Times New Roman" w:hAnsi="Times New Roman" w:cs="Times New Roman"/>
          <w:sz w:val="22"/>
          <w:szCs w:val="22"/>
        </w:rPr>
        <w:lastRenderedPageBreak/>
        <w:t>reactive. Direct consequences include the cost of unscheduled repairs, expedited logistics, aircraft downtime, customer schedule disruption, potential compensation or commercial goodwill credits, and longer-term reputational effects that influence support-contract renewals and new-aircraft evaluations. Reliability-engineering teams expend substantial effort on retrospective root-cause investigations that, in many cases, could have been partially anticipated by systematic, model-supported precursor detection and remaining-useful-life estimation.</w:t>
      </w:r>
    </w:p>
    <w:p w14:paraId="0F9E6BA2" w14:textId="77777777" w:rsidR="008079D4" w:rsidRPr="008079D4" w:rsidRDefault="008B6A02" w:rsidP="008B6A02">
      <w:pPr>
        <w:spacing w:line="360" w:lineRule="auto"/>
        <w:jc w:val="both"/>
        <w:rPr>
          <w:rFonts w:ascii="Times New Roman" w:hAnsi="Times New Roman" w:cs="Times New Roman"/>
          <w:b/>
          <w:bCs/>
          <w:sz w:val="22"/>
          <w:szCs w:val="22"/>
        </w:rPr>
      </w:pPr>
      <w:r w:rsidRPr="008079D4">
        <w:rPr>
          <w:rFonts w:ascii="Times New Roman" w:hAnsi="Times New Roman" w:cs="Times New Roman"/>
          <w:b/>
          <w:bCs/>
          <w:sz w:val="22"/>
          <w:szCs w:val="22"/>
        </w:rPr>
        <w:t>4.2 Inventory Productivity, Service Levels, and Working-Capital Drag</w:t>
      </w:r>
    </w:p>
    <w:p w14:paraId="01502557" w14:textId="77777777" w:rsidR="008079D4"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Spare-parts and production-material inventories constitute a significant balance-sheet commitment and a recurring source of both cost and risk. Persistent structural patterns include accumulation of slow-moving or obsolete stock alongside recurring shortages of long-lead, high-criticality items. Forecast accuracy at the granular part-number and stocking-location level remains insufficient to underwrite optimized multi-echelon inventory policies. Excess inventory generates holding costs, insurance, cycle-counting effort, and obsolescence write-downs; shortages trigger premium expediting, production-line interruptions, delayed aircraft deliveries, and customer-service failures. The net effect is suboptimal working-capital efficiency that constrains financial capacity for product investment and capacity expansion.</w:t>
      </w:r>
    </w:p>
    <w:p w14:paraId="124E5D79" w14:textId="77777777" w:rsidR="008079D4" w:rsidRPr="008079D4" w:rsidRDefault="008B6A02" w:rsidP="008B6A02">
      <w:pPr>
        <w:spacing w:line="360" w:lineRule="auto"/>
        <w:jc w:val="both"/>
        <w:rPr>
          <w:rFonts w:ascii="Times New Roman" w:hAnsi="Times New Roman" w:cs="Times New Roman"/>
          <w:b/>
          <w:bCs/>
          <w:sz w:val="22"/>
          <w:szCs w:val="22"/>
        </w:rPr>
      </w:pPr>
      <w:r w:rsidRPr="008079D4">
        <w:rPr>
          <w:rFonts w:ascii="Times New Roman" w:hAnsi="Times New Roman" w:cs="Times New Roman"/>
          <w:b/>
          <w:bCs/>
          <w:sz w:val="22"/>
          <w:szCs w:val="22"/>
        </w:rPr>
        <w:t>4.3 Quality Cost, First-Pass Yield Variability, and Late-Stage Detection</w:t>
      </w:r>
    </w:p>
    <w:p w14:paraId="517AEE92" w14:textId="77777777" w:rsidR="008079D4"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While regulatory airworthiness standards are consistently satisfied, internal quality and production metrics reveal meaningful variability in </w:t>
      </w:r>
      <w:r w:rsidR="008079D4" w:rsidRPr="008B6A02">
        <w:rPr>
          <w:rFonts w:ascii="Times New Roman" w:hAnsi="Times New Roman" w:cs="Times New Roman"/>
          <w:sz w:val="22"/>
          <w:szCs w:val="22"/>
        </w:rPr>
        <w:t>first pass</w:t>
      </w:r>
      <w:r w:rsidRPr="008B6A02">
        <w:rPr>
          <w:rFonts w:ascii="Times New Roman" w:hAnsi="Times New Roman" w:cs="Times New Roman"/>
          <w:sz w:val="22"/>
          <w:szCs w:val="22"/>
        </w:rPr>
        <w:t xml:space="preserve"> yield and elevated costs associated with scrap, rework, repair, and concession activity. A substantial portion of deviations is detected only at downstream inspection or final-assembly stages. Upstream process parameters, material and supplier-lot characteristics, tooling and equipment condition, environmental variables, and shift or crew factors contain predictive information that is presently exploited only through classical statistical process control and tacit engineering experience. Earlier, systematic detection of elevated defect or yield risk would enable targeted inspection, process adjustment, or containment, thereby reducing waste, stabilizing flow, and lowering total quality cost.</w:t>
      </w:r>
    </w:p>
    <w:p w14:paraId="6AC88EB3" w14:textId="77777777" w:rsidR="008079D4" w:rsidRPr="008079D4" w:rsidRDefault="008B6A02" w:rsidP="008B6A02">
      <w:pPr>
        <w:spacing w:line="360" w:lineRule="auto"/>
        <w:jc w:val="both"/>
        <w:rPr>
          <w:rFonts w:ascii="Times New Roman" w:hAnsi="Times New Roman" w:cs="Times New Roman"/>
          <w:b/>
          <w:bCs/>
          <w:sz w:val="22"/>
          <w:szCs w:val="22"/>
        </w:rPr>
      </w:pPr>
      <w:r w:rsidRPr="008079D4">
        <w:rPr>
          <w:rFonts w:ascii="Times New Roman" w:hAnsi="Times New Roman" w:cs="Times New Roman"/>
          <w:b/>
          <w:bCs/>
          <w:sz w:val="22"/>
          <w:szCs w:val="22"/>
        </w:rPr>
        <w:t>4.4 Supplier Performance Volatility and External Risk Propagation</w:t>
      </w:r>
    </w:p>
    <w:p w14:paraId="3BDC51CD" w14:textId="2BD153E4" w:rsidR="008079D4"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The global, multi-tier supply base is simultaneously a source of specialized capability and a vector of vulnerability. Delivery reliability and quality performance vary across suppliers and over time. External </w:t>
      </w:r>
      <w:r w:rsidR="00746219" w:rsidRPr="008B6A02">
        <w:rPr>
          <w:rFonts w:ascii="Times New Roman" w:hAnsi="Times New Roman" w:cs="Times New Roman"/>
          <w:sz w:val="22"/>
          <w:szCs w:val="22"/>
        </w:rPr>
        <w:t>shocks</w:t>
      </w:r>
      <w:r w:rsidR="00746219">
        <w:rPr>
          <w:rFonts w:ascii="Times New Roman" w:hAnsi="Times New Roman" w:cs="Times New Roman"/>
          <w:sz w:val="22"/>
          <w:szCs w:val="22"/>
        </w:rPr>
        <w:t>,</w:t>
      </w:r>
      <w:r w:rsidR="00746219" w:rsidRPr="008B6A02">
        <w:rPr>
          <w:rFonts w:ascii="Times New Roman" w:hAnsi="Times New Roman" w:cs="Times New Roman"/>
          <w:sz w:val="22"/>
          <w:szCs w:val="22"/>
        </w:rPr>
        <w:t xml:space="preserve"> capacity</w:t>
      </w:r>
      <w:r w:rsidRPr="008B6A02">
        <w:rPr>
          <w:rFonts w:ascii="Times New Roman" w:hAnsi="Times New Roman" w:cs="Times New Roman"/>
          <w:sz w:val="22"/>
          <w:szCs w:val="22"/>
        </w:rPr>
        <w:t xml:space="preserve"> constraints, financial distress, geopolitical events, logistics disruption, or raw-material </w:t>
      </w:r>
      <w:r w:rsidR="00746219" w:rsidRPr="008B6A02">
        <w:rPr>
          <w:rFonts w:ascii="Times New Roman" w:hAnsi="Times New Roman" w:cs="Times New Roman"/>
          <w:sz w:val="22"/>
          <w:szCs w:val="22"/>
        </w:rPr>
        <w:t>shortages</w:t>
      </w:r>
      <w:r w:rsidR="00746219">
        <w:rPr>
          <w:rFonts w:ascii="Times New Roman" w:hAnsi="Times New Roman" w:cs="Times New Roman"/>
          <w:sz w:val="22"/>
          <w:szCs w:val="22"/>
        </w:rPr>
        <w:t>,</w:t>
      </w:r>
      <w:r w:rsidR="00746219" w:rsidRPr="008B6A02">
        <w:rPr>
          <w:rFonts w:ascii="Times New Roman" w:hAnsi="Times New Roman" w:cs="Times New Roman"/>
          <w:sz w:val="22"/>
          <w:szCs w:val="22"/>
        </w:rPr>
        <w:t xml:space="preserve"> can</w:t>
      </w:r>
      <w:r w:rsidRPr="008B6A02">
        <w:rPr>
          <w:rFonts w:ascii="Times New Roman" w:hAnsi="Times New Roman" w:cs="Times New Roman"/>
          <w:sz w:val="22"/>
          <w:szCs w:val="22"/>
        </w:rPr>
        <w:t xml:space="preserve"> propagate rapidly through the network. Existing supplier-management processes rely predominantly on lagging performance scorecards. The absence of a dynamic, multi-factor risk view that fuses internal performance history with external signals limits the organization’s ability to trigger </w:t>
      </w:r>
      <w:r w:rsidRPr="008B6A02">
        <w:rPr>
          <w:rFonts w:ascii="Times New Roman" w:hAnsi="Times New Roman" w:cs="Times New Roman"/>
          <w:sz w:val="22"/>
          <w:szCs w:val="22"/>
        </w:rPr>
        <w:lastRenderedPageBreak/>
        <w:t>timely dual-sourcing, strategic buffering, collaborative improvement programs, or commercial intervention before disruptions fully materialize.</w:t>
      </w:r>
    </w:p>
    <w:p w14:paraId="096705F8" w14:textId="77777777" w:rsidR="008079D4" w:rsidRPr="008079D4" w:rsidRDefault="008B6A02" w:rsidP="008B6A02">
      <w:pPr>
        <w:spacing w:line="360" w:lineRule="auto"/>
        <w:jc w:val="both"/>
        <w:rPr>
          <w:rFonts w:ascii="Times New Roman" w:hAnsi="Times New Roman" w:cs="Times New Roman"/>
          <w:b/>
          <w:bCs/>
          <w:sz w:val="22"/>
          <w:szCs w:val="22"/>
        </w:rPr>
      </w:pPr>
      <w:r w:rsidRPr="008079D4">
        <w:rPr>
          <w:rFonts w:ascii="Times New Roman" w:hAnsi="Times New Roman" w:cs="Times New Roman"/>
          <w:b/>
          <w:bCs/>
          <w:sz w:val="22"/>
          <w:szCs w:val="22"/>
        </w:rPr>
        <w:t>4.5 Decision Latency, Analytical Friction, and Hidden Organizational Cost</w:t>
      </w:r>
    </w:p>
    <w:p w14:paraId="0FDB3A9E" w14:textId="77777777" w:rsidR="008079D4"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Leadership business reviews, production stand-up meetings, reliability boards, and supply-planning cycles frequently operate on data that is already days or weeks old and that has been manually assembled and reconciled from multiple sources. Specialist analysts, reliability engineers, and planners devote a large fraction of their time to data acquisition, cleansing, and formatting rather than to insight generation, prioritization, and action. The cumulative organizational cost appears both as delayed response to emerging risks and as higher indirect expense of decision-making itself.</w:t>
      </w:r>
    </w:p>
    <w:p w14:paraId="7232DA8D" w14:textId="77777777" w:rsidR="008079D4" w:rsidRPr="008079D4" w:rsidRDefault="008B6A02" w:rsidP="008B6A02">
      <w:pPr>
        <w:spacing w:line="360" w:lineRule="auto"/>
        <w:jc w:val="both"/>
        <w:rPr>
          <w:rFonts w:ascii="Times New Roman" w:hAnsi="Times New Roman" w:cs="Times New Roman"/>
          <w:b/>
          <w:bCs/>
          <w:sz w:val="22"/>
          <w:szCs w:val="22"/>
        </w:rPr>
      </w:pPr>
      <w:r w:rsidRPr="008079D4">
        <w:rPr>
          <w:rFonts w:ascii="Times New Roman" w:hAnsi="Times New Roman" w:cs="Times New Roman"/>
          <w:b/>
          <w:bCs/>
          <w:sz w:val="22"/>
          <w:szCs w:val="22"/>
        </w:rPr>
        <w:t>4.6 Regulatory, Audit, Customer-Assurance, and Liability Considerations</w:t>
      </w:r>
    </w:p>
    <w:p w14:paraId="276251C9" w14:textId="77777777" w:rsidR="008079D4"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Aerospace operations require complete, traceable records of configuration, maintenance actions, and quality decisions. Any predictive model that influences maintenance planning, production acceptance, or customer advisories must itself be transparent, version-controlled, performance-monitored, and capable of supporting regulatory or customer scrutiny. Current fragmented and largely undocumented analytical practices increase the effort required to demonstrate continuous improvement and airworthiness compliance during audits, customer reviews, or potential incident </w:t>
      </w:r>
      <w:r w:rsidR="008079D4" w:rsidRPr="008B6A02">
        <w:rPr>
          <w:rFonts w:ascii="Times New Roman" w:hAnsi="Times New Roman" w:cs="Times New Roman"/>
          <w:sz w:val="22"/>
          <w:szCs w:val="22"/>
        </w:rPr>
        <w:t xml:space="preserve">investigations. </w:t>
      </w:r>
    </w:p>
    <w:p w14:paraId="7E582AB1" w14:textId="69EF9635" w:rsidR="008B6A02" w:rsidRPr="008B6A02" w:rsidRDefault="008079D4"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These</w:t>
      </w:r>
      <w:r w:rsidR="008B6A02" w:rsidRPr="008B6A02">
        <w:rPr>
          <w:rFonts w:ascii="Times New Roman" w:hAnsi="Times New Roman" w:cs="Times New Roman"/>
          <w:sz w:val="22"/>
          <w:szCs w:val="22"/>
        </w:rPr>
        <w:t xml:space="preserve"> six problem clusters are tightly interconnected. Improvements in any one domain reinforce progress in the others; conversely, continued inaction allows the problems to compound.</w:t>
      </w:r>
    </w:p>
    <w:p w14:paraId="176AB639"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6C502781">
          <v:rect id="_x0000_i1029" style="width:0;height:1.5pt" o:hralign="center" o:hrstd="t" o:hrnoshade="t" o:hr="t" fillcolor="black" stroked="f"/>
        </w:pict>
      </w:r>
    </w:p>
    <w:p w14:paraId="4AC6A409" w14:textId="77777777" w:rsidR="008079D4" w:rsidRPr="008079D4" w:rsidRDefault="008B6A02" w:rsidP="008B6A02">
      <w:pPr>
        <w:spacing w:line="360" w:lineRule="auto"/>
        <w:jc w:val="both"/>
        <w:rPr>
          <w:rFonts w:ascii="Times New Roman" w:hAnsi="Times New Roman" w:cs="Times New Roman"/>
          <w:b/>
          <w:bCs/>
          <w:sz w:val="22"/>
          <w:szCs w:val="22"/>
        </w:rPr>
      </w:pPr>
      <w:r w:rsidRPr="008079D4">
        <w:rPr>
          <w:rFonts w:ascii="Times New Roman" w:hAnsi="Times New Roman" w:cs="Times New Roman"/>
          <w:b/>
          <w:bCs/>
          <w:sz w:val="22"/>
          <w:szCs w:val="22"/>
        </w:rPr>
        <w:t>5. Solution Vision, Design Principles, and Architectural Intent</w:t>
      </w:r>
    </w:p>
    <w:p w14:paraId="42DC5119" w14:textId="77777777" w:rsidR="008079D4"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The Intelligent Predictive Operations Initiative will establish a unified, governed analytical environment that consolidates curated, high-quality data from operational, quality, maintenance, inventory, usage, and supplier sources. On this foundation the program will develop, independently validate where required, deploy, and continuously monitor predictive models for the priority domains. Insights will be delivered through role-specific decision-support environments that present predictions together with supporting context, statistical confidence measures, human-interpretable explanations, and suggested next actions, while preserving clear human accountability for every decision that affects safety, airworthiness, or contractual commitments.</w:t>
      </w:r>
    </w:p>
    <w:p w14:paraId="73DD6E2A" w14:textId="418FC098"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Guiding design principles:</w:t>
      </w:r>
    </w:p>
    <w:p w14:paraId="10D829B6" w14:textId="77777777" w:rsidR="008B6A02" w:rsidRPr="008B6A02" w:rsidRDefault="008B6A02" w:rsidP="008B6A02">
      <w:pPr>
        <w:numPr>
          <w:ilvl w:val="0"/>
          <w:numId w:val="2"/>
        </w:num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t>Platform orientation:</w:t>
      </w:r>
      <w:r w:rsidRPr="008B6A02">
        <w:rPr>
          <w:rFonts w:ascii="Times New Roman" w:hAnsi="Times New Roman" w:cs="Times New Roman"/>
          <w:sz w:val="22"/>
          <w:szCs w:val="22"/>
        </w:rPr>
        <w:t xml:space="preserve"> every early use case must leave behind reusable data products, versioned features, and model patterns. </w:t>
      </w:r>
    </w:p>
    <w:p w14:paraId="4FC4E6AF" w14:textId="77777777" w:rsidR="008B6A02" w:rsidRPr="008B6A02" w:rsidRDefault="008B6A02" w:rsidP="008B6A02">
      <w:pPr>
        <w:numPr>
          <w:ilvl w:val="0"/>
          <w:numId w:val="2"/>
        </w:num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lastRenderedPageBreak/>
        <w:t>Safety and airworthiness primacy:</w:t>
      </w:r>
      <w:r w:rsidRPr="008B6A02">
        <w:rPr>
          <w:rFonts w:ascii="Times New Roman" w:hAnsi="Times New Roman" w:cs="Times New Roman"/>
          <w:sz w:val="22"/>
          <w:szCs w:val="22"/>
        </w:rPr>
        <w:t xml:space="preserve"> models that can influence operational decisions will be subjected to elevated standards of validation, explainability, documentation, and change control. </w:t>
      </w:r>
    </w:p>
    <w:p w14:paraId="4FD2B0EC" w14:textId="77777777" w:rsidR="008B6A02" w:rsidRPr="008B6A02" w:rsidRDefault="008B6A02" w:rsidP="008B6A02">
      <w:pPr>
        <w:numPr>
          <w:ilvl w:val="0"/>
          <w:numId w:val="2"/>
        </w:num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t>Human-in-the-loop by deliberate design:</w:t>
      </w:r>
      <w:r w:rsidRPr="008B6A02">
        <w:rPr>
          <w:rFonts w:ascii="Times New Roman" w:hAnsi="Times New Roman" w:cs="Times New Roman"/>
          <w:sz w:val="22"/>
          <w:szCs w:val="22"/>
        </w:rPr>
        <w:t xml:space="preserve"> algorithms inform and prioritize; authorized personnel retain decision authority. </w:t>
      </w:r>
    </w:p>
    <w:p w14:paraId="60DA3668" w14:textId="77777777" w:rsidR="008B6A02" w:rsidRPr="008B6A02" w:rsidRDefault="008B6A02" w:rsidP="008B6A02">
      <w:pPr>
        <w:numPr>
          <w:ilvl w:val="0"/>
          <w:numId w:val="2"/>
        </w:num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t>Closed-loop intent:</w:t>
      </w:r>
      <w:r w:rsidRPr="008B6A02">
        <w:rPr>
          <w:rFonts w:ascii="Times New Roman" w:hAnsi="Times New Roman" w:cs="Times New Roman"/>
          <w:sz w:val="22"/>
          <w:szCs w:val="22"/>
        </w:rPr>
        <w:t xml:space="preserve"> insights must be actionable inside existing planning, scheduling, and execution processes. </w:t>
      </w:r>
    </w:p>
    <w:p w14:paraId="2E662A78" w14:textId="77777777" w:rsidR="008B6A02" w:rsidRPr="008B6A02" w:rsidRDefault="008B6A02" w:rsidP="008B6A02">
      <w:pPr>
        <w:numPr>
          <w:ilvl w:val="0"/>
          <w:numId w:val="2"/>
        </w:num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t>Incremental, value-driven delivery:</w:t>
      </w:r>
      <w:r w:rsidRPr="008B6A02">
        <w:rPr>
          <w:rFonts w:ascii="Times New Roman" w:hAnsi="Times New Roman" w:cs="Times New Roman"/>
          <w:sz w:val="22"/>
          <w:szCs w:val="22"/>
        </w:rPr>
        <w:t xml:space="preserve"> each phase must release tangible business benefit while advancing the underlying platform. </w:t>
      </w:r>
    </w:p>
    <w:p w14:paraId="20780CA5" w14:textId="77777777" w:rsidR="008B6A02" w:rsidRPr="008B6A02" w:rsidRDefault="008B6A02" w:rsidP="008B6A02">
      <w:pPr>
        <w:numPr>
          <w:ilvl w:val="0"/>
          <w:numId w:val="2"/>
        </w:num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t>Governance embedded from day one:</w:t>
      </w:r>
      <w:r w:rsidRPr="008B6A02">
        <w:rPr>
          <w:rFonts w:ascii="Times New Roman" w:hAnsi="Times New Roman" w:cs="Times New Roman"/>
          <w:sz w:val="22"/>
          <w:szCs w:val="22"/>
        </w:rPr>
        <w:t xml:space="preserve"> data quality, model risk, security, lineage, and auditability are integral, not retrospective. </w:t>
      </w:r>
    </w:p>
    <w:p w14:paraId="3889E19F" w14:textId="77777777" w:rsidR="008B6A02" w:rsidRPr="008B6A02" w:rsidRDefault="008B6A02" w:rsidP="008B6A02">
      <w:pPr>
        <w:numPr>
          <w:ilvl w:val="0"/>
          <w:numId w:val="2"/>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Technology choices deferred to architecture phase under explicit non-functional and compliance constraints.</w:t>
      </w:r>
    </w:p>
    <w:p w14:paraId="1CA155C6" w14:textId="77777777"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The architectural intent is a layered structure comprising a curated analytical data foundation, a feature and model layer with full lifecycle control, a prediction and explanation service layer, and a consumption layer of role-tailored decision environments, all operating under unified security, lineage, and monitoring.</w:t>
      </w:r>
    </w:p>
    <w:p w14:paraId="74644B91"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5A087C3E">
          <v:rect id="_x0000_i1030" style="width:0;height:1.5pt" o:hralign="center" o:hrstd="t" o:hrnoshade="t" o:hr="t" fillcolor="black" stroked="f"/>
        </w:pict>
      </w:r>
    </w:p>
    <w:p w14:paraId="7D1FB9F0" w14:textId="77777777" w:rsidR="008079D4" w:rsidRPr="00746219" w:rsidRDefault="008B6A02" w:rsidP="008B6A02">
      <w:pPr>
        <w:spacing w:line="360" w:lineRule="auto"/>
        <w:jc w:val="both"/>
        <w:rPr>
          <w:rFonts w:ascii="Times New Roman" w:hAnsi="Times New Roman" w:cs="Times New Roman"/>
          <w:b/>
          <w:bCs/>
          <w:sz w:val="22"/>
          <w:szCs w:val="22"/>
        </w:rPr>
      </w:pPr>
      <w:r w:rsidRPr="00746219">
        <w:rPr>
          <w:rFonts w:ascii="Times New Roman" w:hAnsi="Times New Roman" w:cs="Times New Roman"/>
          <w:b/>
          <w:bCs/>
          <w:sz w:val="22"/>
          <w:szCs w:val="22"/>
        </w:rPr>
        <w:t>6. Priority Use Cases – Expanded Description and Value Mechanisms</w:t>
      </w:r>
    </w:p>
    <w:p w14:paraId="7710F150" w14:textId="77777777" w:rsidR="008079D4" w:rsidRDefault="008B6A02" w:rsidP="008B6A02">
      <w:p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t>Use Case A</w:t>
      </w:r>
      <w:r w:rsidR="008079D4">
        <w:rPr>
          <w:rFonts w:ascii="Times New Roman" w:hAnsi="Times New Roman" w:cs="Times New Roman"/>
          <w:b/>
          <w:bCs/>
          <w:sz w:val="22"/>
          <w:szCs w:val="22"/>
        </w:rPr>
        <w:t xml:space="preserve">: </w:t>
      </w:r>
      <w:r w:rsidRPr="008B6A02">
        <w:rPr>
          <w:rFonts w:ascii="Times New Roman" w:hAnsi="Times New Roman" w:cs="Times New Roman"/>
          <w:sz w:val="22"/>
          <w:szCs w:val="22"/>
        </w:rPr>
        <w:t>Component Health Assessment and Remaining Useful Life Estimation</w:t>
      </w:r>
      <w:r w:rsidRPr="008B6A02">
        <w:rPr>
          <w:rFonts w:ascii="Times New Roman" w:hAnsi="Times New Roman" w:cs="Times New Roman"/>
          <w:sz w:val="22"/>
          <w:szCs w:val="22"/>
        </w:rPr>
        <w:br/>
        <w:t>The use case will deliver statistically robust, continuously updated estimates of remaining useful life and near-term failure probability for an initial set of high-value, high-criticality components. Model inputs will include cumulative operational usage, detailed maintenance and removal history, and available health-monitoring or condition summaries. Outputs will comprise component-level and population-level risk scores, ranked lists of assets requiring attention, confidence intervals, and ranked contributing factors. Value is realized through earlier detection of emerging issues, more precise maintenance planning, reduction in the frequency and duration of high-impact Aircraft-on-Ground events, improved customer technical advisories, and progressive accumulation of evidence that can support selective introduction of condition-based maintenance elements under appropriate regulatory frameworks.</w:t>
      </w:r>
    </w:p>
    <w:p w14:paraId="41C9EDA4" w14:textId="77777777" w:rsidR="008079D4" w:rsidRDefault="008079D4" w:rsidP="008B6A02">
      <w:pPr>
        <w:spacing w:line="360" w:lineRule="auto"/>
        <w:jc w:val="both"/>
        <w:rPr>
          <w:rFonts w:ascii="Times New Roman" w:hAnsi="Times New Roman" w:cs="Times New Roman"/>
          <w:sz w:val="22"/>
          <w:szCs w:val="22"/>
        </w:rPr>
      </w:pPr>
    </w:p>
    <w:p w14:paraId="115C8B98" w14:textId="77777777" w:rsidR="008079D4" w:rsidRDefault="008B6A02" w:rsidP="008B6A02">
      <w:p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lastRenderedPageBreak/>
        <w:t>Use Case B</w:t>
      </w:r>
      <w:r w:rsidR="008079D4" w:rsidRPr="008079D4">
        <w:rPr>
          <w:rFonts w:ascii="Times New Roman" w:hAnsi="Times New Roman" w:cs="Times New Roman"/>
          <w:b/>
          <w:bCs/>
          <w:sz w:val="22"/>
          <w:szCs w:val="22"/>
        </w:rPr>
        <w:t>:</w:t>
      </w:r>
      <w:r w:rsidR="008079D4">
        <w:rPr>
          <w:rFonts w:ascii="Times New Roman" w:hAnsi="Times New Roman" w:cs="Times New Roman"/>
          <w:sz w:val="22"/>
          <w:szCs w:val="22"/>
        </w:rPr>
        <w:t xml:space="preserve"> </w:t>
      </w:r>
      <w:r w:rsidRPr="008B6A02">
        <w:rPr>
          <w:rFonts w:ascii="Times New Roman" w:hAnsi="Times New Roman" w:cs="Times New Roman"/>
          <w:sz w:val="22"/>
          <w:szCs w:val="22"/>
        </w:rPr>
        <w:t>Production Process Quality and Yield Risk Prediction</w:t>
      </w:r>
      <w:r w:rsidRPr="008B6A02">
        <w:rPr>
          <w:rFonts w:ascii="Times New Roman" w:hAnsi="Times New Roman" w:cs="Times New Roman"/>
          <w:sz w:val="22"/>
          <w:szCs w:val="22"/>
        </w:rPr>
        <w:br/>
        <w:t>Models will identify elevated probability of defects or yield shortfalls at critical process gates before the defects are realized. Inputs will encompass upstream process-parameter histories, material and supplier-lot attributes, tooling and equipment state, environmental conditions, and historical quality outcomes. Outputs will include work-order or batch-level risk flags, contribution analysis identifying the most influential factors, and prioritized recommendations for inspection, adjustment, or containment. Value accrues through reduced scrap and rework volumes, higher and more stable first-pass yield, smoother production flow, lower total cost of quality, and faster feedback to process-engineering teams.</w:t>
      </w:r>
    </w:p>
    <w:p w14:paraId="382829AA" w14:textId="77777777" w:rsidR="008079D4" w:rsidRDefault="008B6A02" w:rsidP="008B6A02">
      <w:p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t>Use Case C</w:t>
      </w:r>
      <w:r w:rsidR="008079D4">
        <w:rPr>
          <w:rFonts w:ascii="Times New Roman" w:hAnsi="Times New Roman" w:cs="Times New Roman"/>
          <w:b/>
          <w:bCs/>
          <w:sz w:val="22"/>
          <w:szCs w:val="22"/>
        </w:rPr>
        <w:t xml:space="preserve">: </w:t>
      </w:r>
      <w:r w:rsidRPr="008B6A02">
        <w:rPr>
          <w:rFonts w:ascii="Times New Roman" w:hAnsi="Times New Roman" w:cs="Times New Roman"/>
          <w:sz w:val="22"/>
          <w:szCs w:val="22"/>
        </w:rPr>
        <w:t>Multi-Horizon, Multi-Echelon Spare Parts Demand Forecasting</w:t>
      </w:r>
      <w:r w:rsidRPr="008B6A02">
        <w:rPr>
          <w:rFonts w:ascii="Times New Roman" w:hAnsi="Times New Roman" w:cs="Times New Roman"/>
          <w:sz w:val="22"/>
          <w:szCs w:val="22"/>
        </w:rPr>
        <w:br/>
        <w:t>The use case will produce accurate probabilistic demand forecasts at part-number and stocking-location granularity across multiple planning horizons. Inputs will incorporate historical consumption patterns, projected fleet utilization and flying hours, known reliability-improvement and service-bulletin campaigns, seasonal effects, and other relevant demand drivers. Outputs will include forecast distributions, recommended safety-stock and reorder parameters, and exception lists highlighting items requiring planner attention. Value is captured through simultaneous improvement in service levels and reduction in aggregate inventory investment, lower expediting expense, reduced obsolescence, and more efficient working-capital deployment.</w:t>
      </w:r>
    </w:p>
    <w:p w14:paraId="436DCAFA" w14:textId="77777777" w:rsidR="008079D4" w:rsidRDefault="008B6A02" w:rsidP="008B6A02">
      <w:pPr>
        <w:spacing w:line="360" w:lineRule="auto"/>
        <w:jc w:val="both"/>
        <w:rPr>
          <w:rFonts w:ascii="Times New Roman" w:hAnsi="Times New Roman" w:cs="Times New Roman"/>
          <w:sz w:val="22"/>
          <w:szCs w:val="22"/>
        </w:rPr>
      </w:pPr>
      <w:r w:rsidRPr="008079D4">
        <w:rPr>
          <w:rFonts w:ascii="Times New Roman" w:hAnsi="Times New Roman" w:cs="Times New Roman"/>
          <w:b/>
          <w:bCs/>
          <w:sz w:val="22"/>
          <w:szCs w:val="22"/>
        </w:rPr>
        <w:t>Use Case D</w:t>
      </w:r>
      <w:r w:rsidR="008079D4" w:rsidRPr="008079D4">
        <w:rPr>
          <w:rFonts w:ascii="Times New Roman" w:hAnsi="Times New Roman" w:cs="Times New Roman"/>
          <w:b/>
          <w:bCs/>
          <w:sz w:val="22"/>
          <w:szCs w:val="22"/>
        </w:rPr>
        <w:t>:</w:t>
      </w:r>
      <w:r w:rsidR="008079D4">
        <w:rPr>
          <w:rFonts w:ascii="Times New Roman" w:hAnsi="Times New Roman" w:cs="Times New Roman"/>
          <w:sz w:val="22"/>
          <w:szCs w:val="22"/>
        </w:rPr>
        <w:t xml:space="preserve"> </w:t>
      </w:r>
      <w:r w:rsidRPr="008B6A02">
        <w:rPr>
          <w:rFonts w:ascii="Times New Roman" w:hAnsi="Times New Roman" w:cs="Times New Roman"/>
          <w:sz w:val="22"/>
          <w:szCs w:val="22"/>
        </w:rPr>
        <w:t>Dynamic Supplier Risk Scoring and Early-Warning System</w:t>
      </w:r>
      <w:r w:rsidRPr="008B6A02">
        <w:rPr>
          <w:rFonts w:ascii="Times New Roman" w:hAnsi="Times New Roman" w:cs="Times New Roman"/>
          <w:sz w:val="22"/>
          <w:szCs w:val="22"/>
        </w:rPr>
        <w:br/>
        <w:t>A continuously refreshed, multi-factor risk score will be maintained for critical suppliers and commodity groups. Inputs will fuse internal delivery and quality performance history with capacity and lead-time signals, financial-health indicators, geographic and geopolitical concentration measures, and other external risk factors. Outputs will consist of risk tiers, trend alerts, and prioritized mitigation recommendations. Value is realized through earlier triggering of dual-sourcing, strategic inventory buffers, focused supplier-development actions, or commercial interventions, thereby reducing both the frequency and the severity of supply disruptions.</w:t>
      </w:r>
    </w:p>
    <w:p w14:paraId="46B3F42F" w14:textId="1DCC588D"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Each use case will begin with a deliberately constrained scope (selected components, process families, part cohorts, or supplier segments) and will expand only after statistical performance, operational stability, and measured business value have been demonstrated.</w:t>
      </w:r>
    </w:p>
    <w:p w14:paraId="00AB8851"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12934472">
          <v:rect id="_x0000_i1031" style="width:0;height:1.5pt" o:hralign="center" o:hrstd="t" o:hrnoshade="t" o:hr="t" fillcolor="black" stroked="f"/>
        </w:pict>
      </w:r>
    </w:p>
    <w:p w14:paraId="2763E8EF" w14:textId="77777777" w:rsidR="008079D4" w:rsidRPr="008079D4" w:rsidRDefault="008B6A02" w:rsidP="008B6A02">
      <w:pPr>
        <w:spacing w:line="360" w:lineRule="auto"/>
        <w:jc w:val="both"/>
        <w:rPr>
          <w:rFonts w:ascii="Times New Roman" w:hAnsi="Times New Roman" w:cs="Times New Roman"/>
          <w:b/>
          <w:bCs/>
          <w:sz w:val="22"/>
          <w:szCs w:val="22"/>
        </w:rPr>
      </w:pPr>
      <w:r w:rsidRPr="008079D4">
        <w:rPr>
          <w:rFonts w:ascii="Times New Roman" w:hAnsi="Times New Roman" w:cs="Times New Roman"/>
          <w:b/>
          <w:bCs/>
          <w:sz w:val="22"/>
          <w:szCs w:val="22"/>
        </w:rPr>
        <w:t>7. Detailed Functional and Non-Functional Requirements</w:t>
      </w:r>
    </w:p>
    <w:p w14:paraId="2E333FAA" w14:textId="77777777" w:rsidR="001D50D6" w:rsidRPr="001D50D6" w:rsidRDefault="001D50D6" w:rsidP="001D50D6">
      <w:pPr>
        <w:spacing w:line="360" w:lineRule="auto"/>
        <w:jc w:val="both"/>
        <w:rPr>
          <w:rFonts w:ascii="Times New Roman" w:hAnsi="Times New Roman" w:cs="Times New Roman"/>
          <w:b/>
          <w:bCs/>
          <w:sz w:val="22"/>
          <w:szCs w:val="22"/>
        </w:rPr>
      </w:pPr>
      <w:r w:rsidRPr="001D50D6">
        <w:rPr>
          <w:rFonts w:ascii="Times New Roman" w:hAnsi="Times New Roman" w:cs="Times New Roman"/>
          <w:b/>
          <w:bCs/>
          <w:sz w:val="22"/>
          <w:szCs w:val="22"/>
        </w:rPr>
        <w:t>7.1 Analytical Data Foundation (PostgreSQL-native)</w:t>
      </w:r>
    </w:p>
    <w:p w14:paraId="7F1E219D" w14:textId="77777777" w:rsidR="001D50D6" w:rsidRPr="001D50D6" w:rsidRDefault="001D50D6" w:rsidP="001D50D6">
      <w:pPr>
        <w:numPr>
          <w:ilvl w:val="0"/>
          <w:numId w:val="8"/>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All source data, curated analytical tables, feature tables, model metadata, prediction results, and monitoring statistics must reside exclusively in PostgreSQL.</w:t>
      </w:r>
    </w:p>
    <w:p w14:paraId="41FC8177" w14:textId="77777777" w:rsidR="001D50D6" w:rsidRPr="001D50D6" w:rsidRDefault="001D50D6" w:rsidP="001D50D6">
      <w:pPr>
        <w:numPr>
          <w:ilvl w:val="0"/>
          <w:numId w:val="8"/>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lastRenderedPageBreak/>
        <w:t>Robust master-data management for core aerospace entities (aircraft serial/tail, component serial, part number, supplier, work centre, process operation) implemented with standard PostgreSQL constraints, triggers, and reference tables.</w:t>
      </w:r>
    </w:p>
    <w:p w14:paraId="0EFF8EC5" w14:textId="77777777" w:rsidR="001D50D6" w:rsidRPr="001D50D6" w:rsidRDefault="001D50D6" w:rsidP="001D50D6">
      <w:pPr>
        <w:numPr>
          <w:ilvl w:val="0"/>
          <w:numId w:val="8"/>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Comprehensive, automated data-quality framework executed entirely via SQL functions, constraints, and scheduled jobs (completeness, validity, consistency, uniqueness, referential integrity), with quarantine tables and notification mechanisms.</w:t>
      </w:r>
    </w:p>
    <w:p w14:paraId="7D14DB8D" w14:textId="77777777" w:rsidR="001D50D6" w:rsidRPr="001D50D6" w:rsidRDefault="001D50D6" w:rsidP="001D50D6">
      <w:pPr>
        <w:numPr>
          <w:ilvl w:val="0"/>
          <w:numId w:val="8"/>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Complete, queryable data lineage captured and stored inside PostgreSQL (source-to-feature-to-prediction) using metadata tables and views.</w:t>
      </w:r>
    </w:p>
    <w:p w14:paraId="2437B513" w14:textId="77777777" w:rsidR="001D50D6" w:rsidRPr="001D50D6" w:rsidRDefault="001D50D6" w:rsidP="001D50D6">
      <w:pPr>
        <w:numPr>
          <w:ilvl w:val="0"/>
          <w:numId w:val="8"/>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Multi-year historical depth retained in partitioned PostgreSQL tables optimised for both analytical queries and in-database model training.</w:t>
      </w:r>
    </w:p>
    <w:p w14:paraId="082A4F54" w14:textId="77777777" w:rsidR="001D50D6" w:rsidRPr="001D50D6" w:rsidRDefault="001D50D6" w:rsidP="001D50D6">
      <w:pPr>
        <w:numPr>
          <w:ilvl w:val="0"/>
          <w:numId w:val="8"/>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Performance design supporting concurrent SQL-based feature generation, model training, and batch/near-real-time scoring workloads.</w:t>
      </w:r>
    </w:p>
    <w:p w14:paraId="5A32108C" w14:textId="77777777" w:rsidR="001D50D6" w:rsidRPr="001D50D6" w:rsidRDefault="001D50D6" w:rsidP="001D50D6">
      <w:pPr>
        <w:numPr>
          <w:ilvl w:val="0"/>
          <w:numId w:val="8"/>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Fine-grained role-based access control, encryption, and immutable audit logging of all data access and changes using native PostgreSQL capabilities.</w:t>
      </w:r>
    </w:p>
    <w:p w14:paraId="4DB1AC31" w14:textId="77777777" w:rsidR="001D50D6" w:rsidRPr="001D50D6" w:rsidRDefault="001D50D6" w:rsidP="001D50D6">
      <w:pPr>
        <w:numPr>
          <w:ilvl w:val="0"/>
          <w:numId w:val="8"/>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Retention, archival, and legal-hold policies implemented with PostgreSQL partitioning, tablespaces, and scheduled maintenance procedures.</w:t>
      </w:r>
    </w:p>
    <w:p w14:paraId="3427ABC5" w14:textId="77777777" w:rsidR="001D50D6" w:rsidRPr="001D50D6" w:rsidRDefault="001D50D6" w:rsidP="001D50D6">
      <w:pPr>
        <w:spacing w:line="360" w:lineRule="auto"/>
        <w:jc w:val="both"/>
        <w:rPr>
          <w:rFonts w:ascii="Times New Roman" w:hAnsi="Times New Roman" w:cs="Times New Roman"/>
          <w:b/>
          <w:bCs/>
          <w:sz w:val="22"/>
          <w:szCs w:val="22"/>
        </w:rPr>
      </w:pPr>
      <w:r w:rsidRPr="001D50D6">
        <w:rPr>
          <w:rFonts w:ascii="Times New Roman" w:hAnsi="Times New Roman" w:cs="Times New Roman"/>
          <w:b/>
          <w:bCs/>
          <w:sz w:val="22"/>
          <w:szCs w:val="22"/>
        </w:rPr>
        <w:t>7.2 In-Database Predictive Model Lifecycle (Constrained to PostgreSQL Extensions)</w:t>
      </w:r>
    </w:p>
    <w:p w14:paraId="70F5617B" w14:textId="6AA84E5D"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 xml:space="preserve">All model training, validation, deployment, and inference must be performed exclusively inside PostgreSQL using supported extension functions (e.g., </w:t>
      </w:r>
      <w:proofErr w:type="spellStart"/>
      <w:r w:rsidRPr="001D50D6">
        <w:rPr>
          <w:rFonts w:ascii="Times New Roman" w:hAnsi="Times New Roman" w:cs="Times New Roman"/>
          <w:sz w:val="22"/>
          <w:szCs w:val="22"/>
        </w:rPr>
        <w:t>PostgresML</w:t>
      </w:r>
      <w:proofErr w:type="spellEnd"/>
      <w:r w:rsidRPr="001D50D6">
        <w:rPr>
          <w:rFonts w:ascii="Times New Roman" w:hAnsi="Times New Roman" w:cs="Times New Roman"/>
          <w:sz w:val="22"/>
          <w:szCs w:val="22"/>
        </w:rPr>
        <w:t xml:space="preserve"> </w:t>
      </w:r>
      <w:proofErr w:type="spellStart"/>
      <w:proofErr w:type="gramStart"/>
      <w:r w:rsidRPr="001D50D6">
        <w:rPr>
          <w:rFonts w:ascii="Times New Roman" w:hAnsi="Times New Roman" w:cs="Times New Roman"/>
          <w:sz w:val="22"/>
          <w:szCs w:val="22"/>
        </w:rPr>
        <w:t>pgml.train</w:t>
      </w:r>
      <w:proofErr w:type="spellEnd"/>
      <w:proofErr w:type="gramEnd"/>
      <w:r w:rsidRPr="001D50D6">
        <w:rPr>
          <w:rFonts w:ascii="Times New Roman" w:hAnsi="Times New Roman" w:cs="Times New Roman"/>
          <w:sz w:val="22"/>
          <w:szCs w:val="22"/>
        </w:rPr>
        <w:t xml:space="preserve"> / </w:t>
      </w:r>
      <w:proofErr w:type="spellStart"/>
      <w:proofErr w:type="gramStart"/>
      <w:r w:rsidRPr="001D50D6">
        <w:rPr>
          <w:rFonts w:ascii="Times New Roman" w:hAnsi="Times New Roman" w:cs="Times New Roman"/>
          <w:sz w:val="22"/>
          <w:szCs w:val="22"/>
        </w:rPr>
        <w:t>pgml.predict</w:t>
      </w:r>
      <w:proofErr w:type="spellEnd"/>
      <w:proofErr w:type="gramEnd"/>
      <w:r w:rsidRPr="001D50D6">
        <w:rPr>
          <w:rFonts w:ascii="Times New Roman" w:hAnsi="Times New Roman" w:cs="Times New Roman"/>
          <w:sz w:val="22"/>
          <w:szCs w:val="22"/>
        </w:rPr>
        <w:t xml:space="preserve"> family or equivalent </w:t>
      </w:r>
      <w:proofErr w:type="spellStart"/>
      <w:r w:rsidRPr="001D50D6">
        <w:rPr>
          <w:rFonts w:ascii="Times New Roman" w:hAnsi="Times New Roman" w:cs="Times New Roman"/>
          <w:sz w:val="22"/>
          <w:szCs w:val="22"/>
        </w:rPr>
        <w:t>MADlib</w:t>
      </w:r>
      <w:proofErr w:type="spellEnd"/>
      <w:r w:rsidRPr="001D50D6">
        <w:rPr>
          <w:rFonts w:ascii="Times New Roman" w:hAnsi="Times New Roman" w:cs="Times New Roman"/>
          <w:sz w:val="22"/>
          <w:szCs w:val="22"/>
        </w:rPr>
        <w:t xml:space="preserve"> functions). </w:t>
      </w:r>
    </w:p>
    <w:p w14:paraId="10A99F60"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Algorithm selection restricted to those natively supported by the chosen PostgreSQL ML extension(s): primarily gradient-boosted trees (</w:t>
      </w:r>
      <w:proofErr w:type="spellStart"/>
      <w:r w:rsidRPr="001D50D6">
        <w:rPr>
          <w:rFonts w:ascii="Times New Roman" w:hAnsi="Times New Roman" w:cs="Times New Roman"/>
          <w:sz w:val="22"/>
          <w:szCs w:val="22"/>
        </w:rPr>
        <w:t>XGBoost</w:t>
      </w:r>
      <w:proofErr w:type="spellEnd"/>
      <w:r w:rsidRPr="001D50D6">
        <w:rPr>
          <w:rFonts w:ascii="Times New Roman" w:hAnsi="Times New Roman" w:cs="Times New Roman"/>
          <w:sz w:val="22"/>
          <w:szCs w:val="22"/>
        </w:rPr>
        <w:t xml:space="preserve">, </w:t>
      </w:r>
      <w:proofErr w:type="spellStart"/>
      <w:r w:rsidRPr="001D50D6">
        <w:rPr>
          <w:rFonts w:ascii="Times New Roman" w:hAnsi="Times New Roman" w:cs="Times New Roman"/>
          <w:sz w:val="22"/>
          <w:szCs w:val="22"/>
        </w:rPr>
        <w:t>LightGBM</w:t>
      </w:r>
      <w:proofErr w:type="spellEnd"/>
      <w:r w:rsidRPr="001D50D6">
        <w:rPr>
          <w:rFonts w:ascii="Times New Roman" w:hAnsi="Times New Roman" w:cs="Times New Roman"/>
          <w:sz w:val="22"/>
          <w:szCs w:val="22"/>
        </w:rPr>
        <w:t>), linear/logistic regression, regularised linear models, support-vector machines, basic clustering (k-means, DBSCAN), and other classical methods available in the extension. Complex deep-learning architectures, specialised survival/time-to-event libraries, and advanced multivariate time-series frameworks outside extension support are out of scope or must be approximated with supported techniques.</w:t>
      </w:r>
    </w:p>
    <w:p w14:paraId="5653EABC"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Feature engineering performed predominantly with SQL (window functions, aggregations, joins, CTEs) and any extension-provided preprocessors; results materialised into versioned feature tables inside PostgreSQL.</w:t>
      </w:r>
    </w:p>
    <w:p w14:paraId="6C61055C"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lastRenderedPageBreak/>
        <w:t>Standardised problem-framing and success-metric definition captured in PostgreSQL metadata tables. Training executed via SQL calls that reference feature tables and produce model artefacts stored inside the database.</w:t>
      </w:r>
    </w:p>
    <w:p w14:paraId="61179D2C"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Model validation limited to techniques expressible in SQL or extension functions (hold-out sets, basic cross-validation patterns, temporal splits via date filters). Performance metrics (accuracy, F1, RMSE, R², etc.) calculated and stored in PostgreSQL tables.</w:t>
      </w:r>
    </w:p>
    <w:p w14:paraId="61F57979"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Every trained model accompanied by a model-card style record stored as structured data in PostgreSQL (training data summary, hyperparameters, performance metrics, intended use, known limitations, version, training timestamp).</w:t>
      </w:r>
    </w:p>
    <w:p w14:paraId="214204A7"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Explainability restricted to outputs natively available from the extension (feature importance, basic contribution scores) or simple SQL-derived approximations; rich external explainability libraries are not used.</w:t>
      </w:r>
    </w:p>
    <w:p w14:paraId="7CB95182"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Controlled deployment via extension functions that activate a model version for prediction. All predictions written back into PostgreSQL result tables together with model version identifier, key input feature references or values, confidence/probability scores, and available explanation fields.</w:t>
      </w:r>
    </w:p>
    <w:p w14:paraId="6C78D612"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Continuous monitoring implemented entirely with SQL: statistical tests or threshold comparisons for data drift, prediction distribution shifts, and basic performance degradation, with results logged to monitoring tables and alerts generated via database jobs or views.</w:t>
      </w:r>
    </w:p>
    <w:p w14:paraId="72B95577"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Retraining triggered by scheduled SQL jobs or simple threshold-based conditions stored in the database; retraining executes the same SQL-based training functions under change-control metadata.</w:t>
      </w:r>
    </w:p>
    <w:p w14:paraId="4B10A9D8" w14:textId="77777777" w:rsidR="001D50D6" w:rsidRPr="001D50D6" w:rsidRDefault="001D50D6" w:rsidP="001D50D6">
      <w:pPr>
        <w:numPr>
          <w:ilvl w:val="0"/>
          <w:numId w:val="9"/>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Human review and override of high-impact predictions captured in PostgreSQL tables, with feedback available for subsequent training cycles via SQL.</w:t>
      </w:r>
    </w:p>
    <w:p w14:paraId="5950A7CC" w14:textId="77777777" w:rsidR="001D50D6" w:rsidRPr="001D50D6" w:rsidRDefault="001D50D6" w:rsidP="001D50D6">
      <w:pPr>
        <w:spacing w:line="360" w:lineRule="auto"/>
        <w:jc w:val="both"/>
        <w:rPr>
          <w:rFonts w:ascii="Times New Roman" w:hAnsi="Times New Roman" w:cs="Times New Roman"/>
          <w:b/>
          <w:bCs/>
          <w:sz w:val="22"/>
          <w:szCs w:val="22"/>
        </w:rPr>
      </w:pPr>
      <w:r w:rsidRPr="001D50D6">
        <w:rPr>
          <w:rFonts w:ascii="Times New Roman" w:hAnsi="Times New Roman" w:cs="Times New Roman"/>
          <w:b/>
          <w:bCs/>
          <w:sz w:val="22"/>
          <w:szCs w:val="22"/>
        </w:rPr>
        <w:t>7.3 Decision-Support Environments (Power BI consumption of PostgreSQL artefacts only)</w:t>
      </w:r>
    </w:p>
    <w:p w14:paraId="06421F45" w14:textId="77777777" w:rsidR="001D50D6" w:rsidRPr="001D50D6" w:rsidRDefault="001D50D6" w:rsidP="001D50D6">
      <w:pPr>
        <w:numPr>
          <w:ilvl w:val="0"/>
          <w:numId w:val="10"/>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Role-specific Power BI interfaces (executive, reliability engineering, production/quality, supply-chain planning, customer support) that connect exclusively to PostgreSQL tables, views, and materialised views containing curated data, features, predictions, explanations, and monitoring results.</w:t>
      </w:r>
    </w:p>
    <w:p w14:paraId="31B64B98" w14:textId="77777777" w:rsidR="001D50D6" w:rsidRPr="001D50D6" w:rsidRDefault="001D50D6" w:rsidP="001D50D6">
      <w:pPr>
        <w:numPr>
          <w:ilvl w:val="0"/>
          <w:numId w:val="10"/>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Clear visual separation of historical facts, current state, and in-database-generated predictive outputs.</w:t>
      </w:r>
    </w:p>
    <w:p w14:paraId="397EE288" w14:textId="77777777" w:rsidR="001D50D6" w:rsidRPr="001D50D6" w:rsidRDefault="001D50D6" w:rsidP="001D50D6">
      <w:pPr>
        <w:numPr>
          <w:ilvl w:val="0"/>
          <w:numId w:val="10"/>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lastRenderedPageBreak/>
        <w:t>Drill-down from aggregate indicators to individual aircraft, component, work-order, or supplier level using relationships defined on PostgreSQL keys.</w:t>
      </w:r>
    </w:p>
    <w:p w14:paraId="53C54CDA" w14:textId="77777777" w:rsidR="001D50D6" w:rsidRPr="001D50D6" w:rsidRDefault="001D50D6" w:rsidP="001D50D6">
      <w:pPr>
        <w:numPr>
          <w:ilvl w:val="0"/>
          <w:numId w:val="10"/>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Configurable alerting based on thresholds or prediction scores, sourced from PostgreSQL monitoring and prediction tables.</w:t>
      </w:r>
    </w:p>
    <w:p w14:paraId="5322320B" w14:textId="77777777" w:rsidR="001D50D6" w:rsidRPr="001D50D6" w:rsidRDefault="001D50D6" w:rsidP="001D50D6">
      <w:pPr>
        <w:numPr>
          <w:ilvl w:val="0"/>
          <w:numId w:val="10"/>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Interactive exploration and scheduled report distribution constrained to the governed PostgreSQL semantic layer exposed to Power BI.</w:t>
      </w:r>
    </w:p>
    <w:p w14:paraId="61E6AA95" w14:textId="77777777" w:rsidR="001D50D6" w:rsidRPr="001D50D6" w:rsidRDefault="001D50D6" w:rsidP="001D50D6">
      <w:pPr>
        <w:numPr>
          <w:ilvl w:val="0"/>
          <w:numId w:val="10"/>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Mobile-optimised views for selected roles, still reading solely from PostgreSQL.</w:t>
      </w:r>
    </w:p>
    <w:p w14:paraId="692B071E" w14:textId="77777777" w:rsidR="001D50D6" w:rsidRPr="001D50D6" w:rsidRDefault="001D50D6" w:rsidP="001D50D6">
      <w:pPr>
        <w:numPr>
          <w:ilvl w:val="0"/>
          <w:numId w:val="10"/>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User feedback and decision-outcome capture written back (where appropriate) into PostgreSQL tables for closed-loop improvement.</w:t>
      </w:r>
    </w:p>
    <w:p w14:paraId="32BD06CE" w14:textId="77777777" w:rsidR="001D50D6" w:rsidRPr="001D50D6" w:rsidRDefault="001D50D6" w:rsidP="001D50D6">
      <w:pPr>
        <w:spacing w:line="360" w:lineRule="auto"/>
        <w:jc w:val="both"/>
        <w:rPr>
          <w:rFonts w:ascii="Times New Roman" w:hAnsi="Times New Roman" w:cs="Times New Roman"/>
          <w:b/>
          <w:bCs/>
          <w:sz w:val="22"/>
          <w:szCs w:val="22"/>
        </w:rPr>
      </w:pPr>
      <w:r w:rsidRPr="001D50D6">
        <w:rPr>
          <w:rFonts w:ascii="Times New Roman" w:hAnsi="Times New Roman" w:cs="Times New Roman"/>
          <w:b/>
          <w:bCs/>
          <w:sz w:val="22"/>
          <w:szCs w:val="22"/>
        </w:rPr>
        <w:t>7.4 Integration, Security, Compliance, and Governance (PostgreSQL-centric)</w:t>
      </w:r>
    </w:p>
    <w:p w14:paraId="18BADECF" w14:textId="77777777" w:rsidR="001D50D6" w:rsidRPr="001D50D6" w:rsidRDefault="001D50D6" w:rsidP="001D50D6">
      <w:pPr>
        <w:numPr>
          <w:ilvl w:val="0"/>
          <w:numId w:val="11"/>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Data ingestion from source systems into PostgreSQL via controlled, auditable processes that preserve operational system integrity; no ML processing occurs outside PostgreSQL.</w:t>
      </w:r>
    </w:p>
    <w:p w14:paraId="54027A19" w14:textId="77777777" w:rsidR="001D50D6" w:rsidRPr="001D50D6" w:rsidRDefault="001D50D6" w:rsidP="001D50D6">
      <w:pPr>
        <w:numPr>
          <w:ilvl w:val="0"/>
          <w:numId w:val="11"/>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Full alignment with aerospace cybersecurity, data-protection, export-control, and airworthiness record-keeping requirements using native PostgreSQL security features and extension controls.</w:t>
      </w:r>
    </w:p>
    <w:p w14:paraId="7E12F52F" w14:textId="77777777" w:rsidR="001D50D6" w:rsidRPr="001D50D6" w:rsidRDefault="001D50D6" w:rsidP="001D50D6">
      <w:pPr>
        <w:numPr>
          <w:ilvl w:val="0"/>
          <w:numId w:val="11"/>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Model-risk classification and approval workflow recorded in PostgreSQL metadata tables; higher-risk models subject to additional SQL-based validation checks before activation.</w:t>
      </w:r>
    </w:p>
    <w:p w14:paraId="3854FFB0" w14:textId="77777777" w:rsidR="001D50D6" w:rsidRPr="001D50D6" w:rsidRDefault="001D50D6" w:rsidP="001D50D6">
      <w:pPr>
        <w:numPr>
          <w:ilvl w:val="0"/>
          <w:numId w:val="11"/>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All documentation, model cards, lineage, and operational procedures maintained as structured data or version-controlled artefacts linked to the PostgreSQL environment.</w:t>
      </w:r>
    </w:p>
    <w:p w14:paraId="2FE1E745" w14:textId="77777777" w:rsidR="001D50D6" w:rsidRPr="001D50D6" w:rsidRDefault="001D50D6" w:rsidP="001D50D6">
      <w:pPr>
        <w:numPr>
          <w:ilvl w:val="0"/>
          <w:numId w:val="11"/>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Clear named ownership of data products, feature tables, models, and prediction result sets enforced through PostgreSQL roles and metadata.</w:t>
      </w:r>
    </w:p>
    <w:p w14:paraId="0871FDDD" w14:textId="21D35F26" w:rsidR="001D50D6" w:rsidRPr="001D50D6" w:rsidRDefault="001D50D6" w:rsidP="001D50D6">
      <w:pPr>
        <w:spacing w:line="360" w:lineRule="auto"/>
        <w:jc w:val="both"/>
        <w:rPr>
          <w:rFonts w:ascii="Times New Roman" w:hAnsi="Times New Roman" w:cs="Times New Roman"/>
          <w:b/>
          <w:bCs/>
          <w:sz w:val="22"/>
          <w:szCs w:val="22"/>
        </w:rPr>
      </w:pPr>
      <w:r w:rsidRPr="001D50D6">
        <w:rPr>
          <w:rFonts w:ascii="Times New Roman" w:hAnsi="Times New Roman" w:cs="Times New Roman"/>
          <w:b/>
          <w:bCs/>
          <w:sz w:val="22"/>
          <w:szCs w:val="22"/>
        </w:rPr>
        <w:t xml:space="preserve">7.5 Non-Functional Requirements </w:t>
      </w:r>
    </w:p>
    <w:p w14:paraId="1824B8D1" w14:textId="77777777" w:rsidR="001D50D6" w:rsidRPr="001D50D6" w:rsidRDefault="001D50D6" w:rsidP="001D50D6">
      <w:pPr>
        <w:numPr>
          <w:ilvl w:val="0"/>
          <w:numId w:val="12"/>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Interactive Power BI response times and batch scoring windows must meet agreed service levels when querying PostgreSQL tables under expected concurrent load.</w:t>
      </w:r>
    </w:p>
    <w:p w14:paraId="53D2DFE0" w14:textId="77777777" w:rsidR="001D50D6" w:rsidRPr="001D50D6" w:rsidRDefault="001D50D6" w:rsidP="001D50D6">
      <w:pPr>
        <w:numPr>
          <w:ilvl w:val="0"/>
          <w:numId w:val="12"/>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Architecture must accommodate multi-year growth in data volume and number of in-database models using PostgreSQL partitioning, indexing, and extension scalability features.</w:t>
      </w:r>
    </w:p>
    <w:p w14:paraId="5BE365D2" w14:textId="77777777" w:rsidR="001D50D6" w:rsidRPr="001D50D6" w:rsidRDefault="001D50D6" w:rsidP="001D50D6">
      <w:pPr>
        <w:numPr>
          <w:ilvl w:val="0"/>
          <w:numId w:val="12"/>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High availability for scoring and decision-support components provided by standard PostgreSQL high-availability configurations.</w:t>
      </w:r>
    </w:p>
    <w:p w14:paraId="3DC61423" w14:textId="77777777" w:rsidR="001D50D6" w:rsidRPr="001D50D6" w:rsidRDefault="001D50D6" w:rsidP="001D50D6">
      <w:pPr>
        <w:numPr>
          <w:ilvl w:val="0"/>
          <w:numId w:val="12"/>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Backup, recovery, and business-continuity procedures cover both operational data and in-database model artefacts.</w:t>
      </w:r>
    </w:p>
    <w:p w14:paraId="72FF5D4D" w14:textId="77777777" w:rsidR="001D50D6" w:rsidRPr="001D50D6" w:rsidRDefault="001D50D6" w:rsidP="001D50D6">
      <w:pPr>
        <w:numPr>
          <w:ilvl w:val="0"/>
          <w:numId w:val="12"/>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lastRenderedPageBreak/>
        <w:t>Design remains modular within PostgreSQL (separate schemas for raw, curated, features, models, predictions, monitoring) with comprehensive SQL-based operational runbooks.</w:t>
      </w:r>
    </w:p>
    <w:p w14:paraId="4F994BB7" w14:textId="51A1C546" w:rsidR="008B6A02" w:rsidRPr="001D50D6" w:rsidRDefault="001D50D6" w:rsidP="008B6A02">
      <w:pPr>
        <w:numPr>
          <w:ilvl w:val="0"/>
          <w:numId w:val="12"/>
        </w:numPr>
        <w:spacing w:line="360" w:lineRule="auto"/>
        <w:jc w:val="both"/>
        <w:rPr>
          <w:rFonts w:ascii="Times New Roman" w:hAnsi="Times New Roman" w:cs="Times New Roman"/>
          <w:sz w:val="22"/>
          <w:szCs w:val="22"/>
        </w:rPr>
      </w:pPr>
      <w:r w:rsidRPr="001D50D6">
        <w:rPr>
          <w:rFonts w:ascii="Times New Roman" w:hAnsi="Times New Roman" w:cs="Times New Roman"/>
          <w:sz w:val="22"/>
          <w:szCs w:val="22"/>
        </w:rPr>
        <w:t>Usability of Power BI interfaces validated with representative users; all underlying logic and data remain inside PostgreSQL.</w:t>
      </w:r>
    </w:p>
    <w:p w14:paraId="46FA7F7A"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36B58ECC">
          <v:rect id="_x0000_i1032" style="width:0;height:1.5pt" o:hralign="center" o:hrstd="t" o:hrnoshade="t" o:hr="t" fillcolor="black" stroked="f"/>
        </w:pict>
      </w:r>
    </w:p>
    <w:p w14:paraId="12F94204" w14:textId="77777777" w:rsidR="008B6A02" w:rsidRPr="008079D4" w:rsidRDefault="008B6A02" w:rsidP="008B6A02">
      <w:pPr>
        <w:spacing w:line="360" w:lineRule="auto"/>
        <w:jc w:val="both"/>
        <w:rPr>
          <w:rFonts w:ascii="Times New Roman" w:hAnsi="Times New Roman" w:cs="Times New Roman"/>
          <w:b/>
          <w:bCs/>
          <w:sz w:val="22"/>
          <w:szCs w:val="22"/>
        </w:rPr>
      </w:pPr>
      <w:r w:rsidRPr="008079D4">
        <w:rPr>
          <w:rFonts w:ascii="Times New Roman" w:hAnsi="Times New Roman" w:cs="Times New Roman"/>
          <w:b/>
          <w:bCs/>
          <w:sz w:val="22"/>
          <w:szCs w:val="22"/>
        </w:rPr>
        <w:t>8. Expected Deliverables and Explicit Acceptance Criteria</w:t>
      </w:r>
    </w:p>
    <w:p w14:paraId="7F664CFF"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Approved Strategic and Architectural Blueprint covering data, analytics, security, integration, operating model, and compliance views, formally accepted by the Steering Committee. </w:t>
      </w:r>
    </w:p>
    <w:p w14:paraId="12A4BFA9"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Production-grade analytical data environment with all priority subject areas populated, meeting pre-agreed data-quality thresholds and providing complete lineage coverage. </w:t>
      </w:r>
    </w:p>
    <w:p w14:paraId="555974F5"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Operational, fully monitored data pipelines for every priority source system, complete with runbooks and alerting. </w:t>
      </w:r>
    </w:p>
    <w:p w14:paraId="63E8CE8B"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Validated predictive models for the four initial use cases, each accompanied by a complete model card, independent validation evidence where required by risk classification, production scoring pipeline, and monitoring configuration. Acceptance requires simultaneous satisfaction of pre-defined statistical performance thresholds and measurable business-impact criteria on unseen production data. </w:t>
      </w:r>
    </w:p>
    <w:p w14:paraId="754887C7"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Production decision-support environments for all defined personas, secured according to the access matrix, equipped with alerting, and accompanied by user documentation; formal user-acceptance testing sign-off required from each persona group. </w:t>
      </w:r>
    </w:p>
    <w:p w14:paraId="7A8DE2F6"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Model-operations framework comprising a model registry, monitoring dashboards, drift-response procedures, and controlled retraining protocols. </w:t>
      </w:r>
    </w:p>
    <w:p w14:paraId="3048F95E"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Complete governance and knowledge-transfer package including data dictionary, full lineage documentation, model documentation, operational runbooks, training materials, and recorded knowledge-transfer sessions. </w:t>
      </w:r>
    </w:p>
    <w:p w14:paraId="7A936AAE"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Benefits baseline report, pilot-value assessment, and updated benefits-realization plan with named owners. </w:t>
      </w:r>
    </w:p>
    <w:p w14:paraId="047085C2" w14:textId="77777777" w:rsidR="008B6A02" w:rsidRPr="008B6A02" w:rsidRDefault="008B6A02" w:rsidP="008B6A02">
      <w:pPr>
        <w:numPr>
          <w:ilvl w:val="0"/>
          <w:numId w:val="3"/>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Configuration-controlled repository containing all code, infrastructure-as-code definitions, documentation, decision records, and audit artifacts.</w:t>
      </w:r>
    </w:p>
    <w:p w14:paraId="6BC8105B" w14:textId="77777777"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Every deliverable carries written entry criteria, quality gates, required evidence, and named business and technical acceptors.</w:t>
      </w:r>
    </w:p>
    <w:p w14:paraId="75286BB1"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pict w14:anchorId="6E340997">
          <v:rect id="_x0000_i1033" style="width:0;height:1.5pt" o:hralign="center" o:hrstd="t" o:hrnoshade="t" o:hr="t" fillcolor="black" stroked="f"/>
        </w:pict>
      </w:r>
    </w:p>
    <w:p w14:paraId="0EED9624" w14:textId="77777777" w:rsidR="001D50D6" w:rsidRPr="001D50D6" w:rsidRDefault="008B6A02" w:rsidP="008B6A02">
      <w:pPr>
        <w:spacing w:line="360" w:lineRule="auto"/>
        <w:jc w:val="both"/>
        <w:rPr>
          <w:rFonts w:ascii="Times New Roman" w:hAnsi="Times New Roman" w:cs="Times New Roman"/>
          <w:b/>
          <w:bCs/>
          <w:sz w:val="22"/>
          <w:szCs w:val="22"/>
        </w:rPr>
      </w:pPr>
      <w:r w:rsidRPr="001D50D6">
        <w:rPr>
          <w:rFonts w:ascii="Times New Roman" w:hAnsi="Times New Roman" w:cs="Times New Roman"/>
          <w:b/>
          <w:bCs/>
          <w:sz w:val="22"/>
          <w:szCs w:val="22"/>
        </w:rPr>
        <w:t>9. Benefits-Realization Framework, Value Levers, and Financial Perspective</w:t>
      </w:r>
    </w:p>
    <w:p w14:paraId="2AB8503A" w14:textId="59E3B041"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A formal benefits-realization plan will assign executive ownership for each major value lever, establish quantitative baselines before any pilot deployment, define measurement frequency and methodology, and explicitly link realized value to stage-gate continuation decisions. The primary value levers are:</w:t>
      </w:r>
    </w:p>
    <w:p w14:paraId="7BEA7C56" w14:textId="77777777" w:rsidR="008B6A02" w:rsidRPr="008B6A02" w:rsidRDefault="008B6A02" w:rsidP="008B6A02">
      <w:pPr>
        <w:numPr>
          <w:ilvl w:val="0"/>
          <w:numId w:val="4"/>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Reduction in the frequency and duration of high-impact unplanned component removals and resulting Aircraft-on-Ground events, together with associated repair, logistics, and customer-compensation costs. </w:t>
      </w:r>
    </w:p>
    <w:p w14:paraId="6DB0E314" w14:textId="77777777" w:rsidR="008B6A02" w:rsidRPr="008B6A02" w:rsidRDefault="008B6A02" w:rsidP="008B6A02">
      <w:pPr>
        <w:numPr>
          <w:ilvl w:val="0"/>
          <w:numId w:val="4"/>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Simultaneous improvement in spare-parts service levels and reduction in aggregate inventory investment, expediting expense, and obsolescence. </w:t>
      </w:r>
    </w:p>
    <w:p w14:paraId="36046F93" w14:textId="77777777" w:rsidR="008B6A02" w:rsidRPr="008B6A02" w:rsidRDefault="008B6A02" w:rsidP="008B6A02">
      <w:pPr>
        <w:numPr>
          <w:ilvl w:val="0"/>
          <w:numId w:val="4"/>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Reduction in scrap, rework, repair, and concession costs through earlier detection of quality and yield risk. </w:t>
      </w:r>
    </w:p>
    <w:p w14:paraId="6339373D" w14:textId="77777777" w:rsidR="008B6A02" w:rsidRPr="008B6A02" w:rsidRDefault="008B6A02" w:rsidP="008B6A02">
      <w:pPr>
        <w:numPr>
          <w:ilvl w:val="0"/>
          <w:numId w:val="4"/>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Productivity gains arising from substantially reduced time spent by engineers, analysts, and planners on data acquisition and manual reconciliation. </w:t>
      </w:r>
    </w:p>
    <w:p w14:paraId="2508FB06" w14:textId="77777777" w:rsidR="008B6A02" w:rsidRPr="008B6A02" w:rsidRDefault="008B6A02" w:rsidP="008B6A02">
      <w:pPr>
        <w:numPr>
          <w:ilvl w:val="0"/>
          <w:numId w:val="4"/>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Secondary and longer-term benefits in customer satisfaction and retention, competitiveness of support-contract offerings, audit efficiency, and organizational decision speed.</w:t>
      </w:r>
    </w:p>
    <w:p w14:paraId="722238EB" w14:textId="06C5BB04"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Financial projections will be maintained on a deliberately conservative basis and will be updated at each stage gate with actual pilot measurements. Sensitivity analyses will examine the effects of slower adoption, lower-than-expected model lift, and adverse external market conditions. A clear distinction will be maintained between leading indicators (data quality, model performance, user adoption) and lagging financial and operational outcomes.</w:t>
      </w:r>
    </w:p>
    <w:p w14:paraId="1F430C0C" w14:textId="77777777" w:rsidR="008F48FC" w:rsidRPr="008F48FC" w:rsidRDefault="008B6A02" w:rsidP="008B6A02">
      <w:pPr>
        <w:spacing w:line="360" w:lineRule="auto"/>
        <w:jc w:val="both"/>
        <w:rPr>
          <w:rFonts w:ascii="Times New Roman" w:hAnsi="Times New Roman" w:cs="Times New Roman"/>
          <w:b/>
          <w:bCs/>
          <w:sz w:val="22"/>
          <w:szCs w:val="22"/>
        </w:rPr>
      </w:pPr>
      <w:r w:rsidRPr="008F48FC">
        <w:rPr>
          <w:rFonts w:ascii="Times New Roman" w:hAnsi="Times New Roman" w:cs="Times New Roman"/>
          <w:b/>
          <w:bCs/>
          <w:sz w:val="22"/>
          <w:szCs w:val="22"/>
        </w:rPr>
        <w:t>10. Multi-Phase Implementation Roadmap and Stage-Gate Discipline</w:t>
      </w:r>
    </w:p>
    <w:p w14:paraId="1957C98D" w14:textId="77777777" w:rsidR="008F48FC" w:rsidRPr="008F48FC" w:rsidRDefault="008B6A02" w:rsidP="008F48FC">
      <w:pPr>
        <w:spacing w:line="360" w:lineRule="auto"/>
        <w:rPr>
          <w:rFonts w:ascii="Times New Roman" w:hAnsi="Times New Roman" w:cs="Times New Roman"/>
          <w:b/>
          <w:bCs/>
          <w:sz w:val="22"/>
          <w:szCs w:val="22"/>
        </w:rPr>
      </w:pPr>
      <w:r w:rsidRPr="008F48FC">
        <w:rPr>
          <w:rFonts w:ascii="Times New Roman" w:hAnsi="Times New Roman" w:cs="Times New Roman"/>
          <w:b/>
          <w:bCs/>
          <w:sz w:val="22"/>
          <w:szCs w:val="22"/>
        </w:rPr>
        <w:t>Phase 0 – Mobilization and Detailed Design (target 3–4 months)</w:t>
      </w:r>
      <w:r w:rsidRPr="008F48FC">
        <w:rPr>
          <w:rFonts w:ascii="Times New Roman" w:hAnsi="Times New Roman" w:cs="Times New Roman"/>
          <w:b/>
          <w:bCs/>
          <w:sz w:val="22"/>
          <w:szCs w:val="22"/>
        </w:rPr>
        <w:br/>
      </w:r>
    </w:p>
    <w:p w14:paraId="391A90F4" w14:textId="77777777" w:rsidR="008F48FC"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Activities include detailed requirements elaboration with all stakeholder groups, comprehensive source-system data profiling and accessibility assessment, finalization of architecture and security design, assembly and onboarding of the core program team, lock-down of success metrics and benefits baselines, and completion of the initial detailed risk-mitigation plan. Exit criteria include Steering Committee approval of the detailed design package and confirmation of resource availability for Phase 1.</w:t>
      </w:r>
    </w:p>
    <w:p w14:paraId="32F43E20" w14:textId="77777777" w:rsidR="008F48FC" w:rsidRDefault="008F48FC" w:rsidP="008B6A02">
      <w:pPr>
        <w:spacing w:line="360" w:lineRule="auto"/>
        <w:jc w:val="both"/>
        <w:rPr>
          <w:rFonts w:ascii="Times New Roman" w:hAnsi="Times New Roman" w:cs="Times New Roman"/>
          <w:sz w:val="22"/>
          <w:szCs w:val="22"/>
        </w:rPr>
      </w:pPr>
    </w:p>
    <w:p w14:paraId="2334758E" w14:textId="77777777" w:rsidR="008F48FC" w:rsidRPr="008F48FC" w:rsidRDefault="008B6A02" w:rsidP="008F48FC">
      <w:pPr>
        <w:spacing w:line="360" w:lineRule="auto"/>
        <w:rPr>
          <w:rFonts w:ascii="Times New Roman" w:hAnsi="Times New Roman" w:cs="Times New Roman"/>
          <w:b/>
          <w:bCs/>
          <w:sz w:val="22"/>
          <w:szCs w:val="22"/>
        </w:rPr>
      </w:pPr>
      <w:r w:rsidRPr="008F48FC">
        <w:rPr>
          <w:rFonts w:ascii="Times New Roman" w:hAnsi="Times New Roman" w:cs="Times New Roman"/>
          <w:b/>
          <w:bCs/>
          <w:sz w:val="22"/>
          <w:szCs w:val="22"/>
        </w:rPr>
        <w:lastRenderedPageBreak/>
        <w:t>Phase 1 – Foundation and First Measured Value (target 7–9 months)</w:t>
      </w:r>
      <w:r w:rsidRPr="008F48FC">
        <w:rPr>
          <w:rFonts w:ascii="Times New Roman" w:hAnsi="Times New Roman" w:cs="Times New Roman"/>
          <w:b/>
          <w:bCs/>
          <w:sz w:val="22"/>
          <w:szCs w:val="22"/>
        </w:rPr>
        <w:br/>
      </w:r>
    </w:p>
    <w:p w14:paraId="2B262464" w14:textId="77777777" w:rsidR="008F48FC"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Build-out of the analytical data environment, implementation of core data pipelines and the data-quality framework, delivery of an initial decision-support shell, and execution of limited-scope pilots of at least two priority use cases with rigorous before-and-after measurement. Exit criteria include achievement of pre-agreed data-quality scores, successful pilot statistical and business-impact thresholds, and updated benefits and risk assessments.</w:t>
      </w:r>
    </w:p>
    <w:p w14:paraId="79FBF67D" w14:textId="77777777" w:rsidR="008F48FC" w:rsidRPr="008F48FC" w:rsidRDefault="008B6A02" w:rsidP="008F48FC">
      <w:pPr>
        <w:spacing w:line="360" w:lineRule="auto"/>
        <w:rPr>
          <w:rFonts w:ascii="Times New Roman" w:hAnsi="Times New Roman" w:cs="Times New Roman"/>
          <w:b/>
          <w:bCs/>
          <w:sz w:val="22"/>
          <w:szCs w:val="22"/>
        </w:rPr>
      </w:pPr>
      <w:r w:rsidRPr="008F48FC">
        <w:rPr>
          <w:rFonts w:ascii="Times New Roman" w:hAnsi="Times New Roman" w:cs="Times New Roman"/>
          <w:b/>
          <w:bCs/>
          <w:sz w:val="22"/>
          <w:szCs w:val="22"/>
        </w:rPr>
        <w:t>Phase 2 – Industrialization and Controlled Expansion (target 10–14 months)</w:t>
      </w:r>
      <w:r w:rsidRPr="008F48FC">
        <w:rPr>
          <w:rFonts w:ascii="Times New Roman" w:hAnsi="Times New Roman" w:cs="Times New Roman"/>
          <w:b/>
          <w:bCs/>
          <w:sz w:val="22"/>
          <w:szCs w:val="22"/>
        </w:rPr>
        <w:br/>
      </w:r>
    </w:p>
    <w:p w14:paraId="02779B6C" w14:textId="77777777" w:rsidR="008F48FC"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Full production deployment of the initial four use cases, expansion of decision environments to all target personas, embedding of insights into operational processes, continuous benefits tracking, and preparation of the next wave of use cases. Exit criteria include sustained model performance in production, demonstrated user adoption, measured realization of a material portion of projected benefits, and readiness for transition toward a product operating model.</w:t>
      </w:r>
    </w:p>
    <w:p w14:paraId="200E4A5B" w14:textId="77777777" w:rsidR="008F48FC" w:rsidRPr="008F48FC" w:rsidRDefault="008B6A02" w:rsidP="008F48FC">
      <w:pPr>
        <w:spacing w:line="360" w:lineRule="auto"/>
        <w:rPr>
          <w:rFonts w:ascii="Times New Roman" w:hAnsi="Times New Roman" w:cs="Times New Roman"/>
          <w:b/>
          <w:bCs/>
          <w:sz w:val="22"/>
          <w:szCs w:val="22"/>
        </w:rPr>
      </w:pPr>
      <w:r w:rsidRPr="008F48FC">
        <w:rPr>
          <w:rFonts w:ascii="Times New Roman" w:hAnsi="Times New Roman" w:cs="Times New Roman"/>
          <w:b/>
          <w:bCs/>
          <w:sz w:val="22"/>
          <w:szCs w:val="22"/>
        </w:rPr>
        <w:t>Phase 3 – Scale, Optimize, and Institutionalize (ongoing)</w:t>
      </w:r>
      <w:r w:rsidRPr="008F48FC">
        <w:rPr>
          <w:rFonts w:ascii="Times New Roman" w:hAnsi="Times New Roman" w:cs="Times New Roman"/>
          <w:b/>
          <w:bCs/>
          <w:sz w:val="22"/>
          <w:szCs w:val="22"/>
        </w:rPr>
        <w:br/>
      </w:r>
    </w:p>
    <w:p w14:paraId="7D71C2A8" w14:textId="77777777" w:rsidR="008F48FC"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Broadening of the use-case portfolio, increased automation of monitoring and retraining under strict governance, controlled expansion of self-service capabilities, and formal handover to sustained product ownership with multi-year </w:t>
      </w:r>
      <w:r w:rsidR="008F48FC" w:rsidRPr="008B6A02">
        <w:rPr>
          <w:rFonts w:ascii="Times New Roman" w:hAnsi="Times New Roman" w:cs="Times New Roman"/>
          <w:sz w:val="22"/>
          <w:szCs w:val="22"/>
        </w:rPr>
        <w:t xml:space="preserve">funding. </w:t>
      </w:r>
    </w:p>
    <w:p w14:paraId="25EE8E14" w14:textId="394093C5" w:rsidR="008B6A02" w:rsidRPr="008B6A02" w:rsidRDefault="008F48FC"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Progression</w:t>
      </w:r>
      <w:r w:rsidR="008B6A02" w:rsidRPr="008B6A02">
        <w:rPr>
          <w:rFonts w:ascii="Times New Roman" w:hAnsi="Times New Roman" w:cs="Times New Roman"/>
          <w:sz w:val="22"/>
          <w:szCs w:val="22"/>
        </w:rPr>
        <w:t xml:space="preserve"> between phases is strictly controlled by stage-gate reviews that examine technical health, measured value, residual risk, resource adequacy, and continued strategic alignment.</w:t>
      </w:r>
    </w:p>
    <w:p w14:paraId="4BCD4EBC"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6575AC83">
          <v:rect id="_x0000_i1034" style="width:0;height:1.5pt" o:hralign="center" o:hrstd="t" o:hrnoshade="t" o:hr="t" fillcolor="black" stroked="f"/>
        </w:pict>
      </w:r>
    </w:p>
    <w:p w14:paraId="597B6DFF" w14:textId="77777777" w:rsidR="008F48FC" w:rsidRPr="008F48FC" w:rsidRDefault="008B6A02" w:rsidP="008B6A02">
      <w:pPr>
        <w:spacing w:line="360" w:lineRule="auto"/>
        <w:jc w:val="both"/>
        <w:rPr>
          <w:rFonts w:ascii="Times New Roman" w:hAnsi="Times New Roman" w:cs="Times New Roman"/>
          <w:b/>
          <w:bCs/>
          <w:sz w:val="22"/>
          <w:szCs w:val="22"/>
        </w:rPr>
      </w:pPr>
      <w:r w:rsidRPr="008F48FC">
        <w:rPr>
          <w:rFonts w:ascii="Times New Roman" w:hAnsi="Times New Roman" w:cs="Times New Roman"/>
          <w:b/>
          <w:bCs/>
          <w:sz w:val="22"/>
          <w:szCs w:val="22"/>
        </w:rPr>
        <w:t>11. Expanded Risk Register – Summary of Major Categories</w:t>
      </w:r>
    </w:p>
    <w:p w14:paraId="1E52685A" w14:textId="10459BEC" w:rsidR="008B6A02" w:rsidRPr="008F48FC" w:rsidRDefault="008B6A02" w:rsidP="008B6A02">
      <w:pPr>
        <w:spacing w:line="360" w:lineRule="auto"/>
        <w:jc w:val="both"/>
        <w:rPr>
          <w:rFonts w:ascii="Times New Roman" w:hAnsi="Times New Roman" w:cs="Times New Roman"/>
          <w:b/>
          <w:bCs/>
          <w:sz w:val="22"/>
          <w:szCs w:val="22"/>
        </w:rPr>
      </w:pPr>
      <w:r w:rsidRPr="008F48FC">
        <w:rPr>
          <w:rFonts w:ascii="Times New Roman" w:hAnsi="Times New Roman" w:cs="Times New Roman"/>
          <w:b/>
          <w:bCs/>
          <w:sz w:val="22"/>
          <w:szCs w:val="22"/>
        </w:rPr>
        <w:t>Major risk categories and illustrative mitigation approaches include:</w:t>
      </w:r>
    </w:p>
    <w:p w14:paraId="5A7A074E" w14:textId="77777777" w:rsidR="008B6A02" w:rsidRPr="008B6A02" w:rsidRDefault="008B6A02" w:rsidP="008B6A02">
      <w:pPr>
        <w:numPr>
          <w:ilvl w:val="0"/>
          <w:numId w:val="5"/>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Data accessibility, quality, or historical-depth shortfalls → early comprehensive data profiling, executive escalation paths for source-system cooperation, and phased scope adjustment. </w:t>
      </w:r>
    </w:p>
    <w:p w14:paraId="16772789" w14:textId="77777777" w:rsidR="008B6A02" w:rsidRPr="008B6A02" w:rsidRDefault="008B6A02" w:rsidP="008B6A02">
      <w:pPr>
        <w:numPr>
          <w:ilvl w:val="0"/>
          <w:numId w:val="5"/>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Model performance that meets offline validation but degrades in production → rigorous temporal and group-aware validation, continuous drift monitoring, and human-in-the-loop overrides. </w:t>
      </w:r>
    </w:p>
    <w:p w14:paraId="74347155" w14:textId="77777777" w:rsidR="008B6A02" w:rsidRPr="008B6A02" w:rsidRDefault="008B6A02" w:rsidP="008B6A02">
      <w:pPr>
        <w:numPr>
          <w:ilvl w:val="0"/>
          <w:numId w:val="5"/>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Integration complexity or performance impact on operational source systems → non-invasive interface patterns, thorough non-functional testing, and staged roll-out. </w:t>
      </w:r>
    </w:p>
    <w:p w14:paraId="1AECBD6C" w14:textId="77777777" w:rsidR="008B6A02" w:rsidRPr="008B6A02" w:rsidRDefault="008B6A02" w:rsidP="008B6A02">
      <w:pPr>
        <w:numPr>
          <w:ilvl w:val="0"/>
          <w:numId w:val="5"/>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lastRenderedPageBreak/>
        <w:t xml:space="preserve">Insufficient user adoption or process embedding → intensive change-management program, visible executive sponsorship, and rapid incorporation of user feedback. </w:t>
      </w:r>
    </w:p>
    <w:p w14:paraId="072B8F4F" w14:textId="77777777" w:rsidR="008B6A02" w:rsidRPr="008B6A02" w:rsidRDefault="008B6A02" w:rsidP="008B6A02">
      <w:pPr>
        <w:numPr>
          <w:ilvl w:val="0"/>
          <w:numId w:val="5"/>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Resource contention with competing enterprise priorities → clear prioritization by the Steering Committee and protected core-team capacity. </w:t>
      </w:r>
    </w:p>
    <w:p w14:paraId="2D259095" w14:textId="77777777" w:rsidR="008B6A02" w:rsidRPr="008B6A02" w:rsidRDefault="008B6A02" w:rsidP="008B6A02">
      <w:pPr>
        <w:numPr>
          <w:ilvl w:val="0"/>
          <w:numId w:val="5"/>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Cybersecurity, export-control, or airworthiness-documentation gaps → early involvement of information-security and compliance functions and formal model-risk governance. </w:t>
      </w:r>
    </w:p>
    <w:p w14:paraId="15287787" w14:textId="77777777" w:rsidR="008B6A02" w:rsidRPr="008B6A02" w:rsidRDefault="008B6A02" w:rsidP="008B6A02">
      <w:pPr>
        <w:numPr>
          <w:ilvl w:val="0"/>
          <w:numId w:val="5"/>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Benefits realization below projections → conservative initial targets, frequent measurement, and scope or approach adjustment at stage gates.</w:t>
      </w:r>
    </w:p>
    <w:p w14:paraId="4C7E2FE3" w14:textId="77777777"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Each individual risk maintains an owner, inherent and residual ratings, specific mitigation actions, early-warning indicators, and predefined contingency options. The full living risk register is reviewed at every Steering Committee meeting.</w:t>
      </w:r>
    </w:p>
    <w:p w14:paraId="1FFFF9FF"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6E681207">
          <v:rect id="_x0000_i1035" style="width:0;height:1.5pt" o:hralign="center" o:hrstd="t" o:hrnoshade="t" o:hr="t" fillcolor="black" stroked="f"/>
        </w:pict>
      </w:r>
    </w:p>
    <w:p w14:paraId="46A11127" w14:textId="77777777" w:rsidR="008F48FC" w:rsidRPr="008F48FC" w:rsidRDefault="008B6A02" w:rsidP="008B6A02">
      <w:pPr>
        <w:spacing w:line="360" w:lineRule="auto"/>
        <w:jc w:val="both"/>
        <w:rPr>
          <w:rFonts w:ascii="Times New Roman" w:hAnsi="Times New Roman" w:cs="Times New Roman"/>
          <w:b/>
          <w:bCs/>
          <w:sz w:val="22"/>
          <w:szCs w:val="22"/>
        </w:rPr>
      </w:pPr>
      <w:r w:rsidRPr="008F48FC">
        <w:rPr>
          <w:rFonts w:ascii="Times New Roman" w:hAnsi="Times New Roman" w:cs="Times New Roman"/>
          <w:b/>
          <w:bCs/>
          <w:sz w:val="22"/>
          <w:szCs w:val="22"/>
        </w:rPr>
        <w:t>12. Governance, Organizational Structure, and Long-Term Operating Model</w:t>
      </w:r>
    </w:p>
    <w:p w14:paraId="325E16AD" w14:textId="77777777" w:rsidR="008F48FC"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An Executive Sponsor drawn from the Executive Leadership Team holds ultimate accountability for strategic alignment and value realization. A cross-functional Steering Committee, meeting at least monthly, provides direction, resolves escalations, and formally approves stage-gate transitions. A dedicated Program Director leads a core team organized into workstreams for data foundation, predictive </w:t>
      </w:r>
      <w:r w:rsidR="008F48FC" w:rsidRPr="008B6A02">
        <w:rPr>
          <w:rFonts w:ascii="Times New Roman" w:hAnsi="Times New Roman" w:cs="Times New Roman"/>
          <w:sz w:val="22"/>
          <w:szCs w:val="22"/>
        </w:rPr>
        <w:t>modelling</w:t>
      </w:r>
      <w:r w:rsidRPr="008B6A02">
        <w:rPr>
          <w:rFonts w:ascii="Times New Roman" w:hAnsi="Times New Roman" w:cs="Times New Roman"/>
          <w:sz w:val="22"/>
          <w:szCs w:val="22"/>
        </w:rPr>
        <w:t xml:space="preserve">, decision environments, change management and adoption, and benefits tracking. Named Business Process Owners in Operations, Engineering, Supply Chain, Quality, and Customer Support are accountable for embedding insights and delivering benefits inside their domains. A Model Risk and Data Governance Forum </w:t>
      </w:r>
      <w:r w:rsidR="008F48FC" w:rsidRPr="008B6A02">
        <w:rPr>
          <w:rFonts w:ascii="Times New Roman" w:hAnsi="Times New Roman" w:cs="Times New Roman"/>
          <w:sz w:val="22"/>
          <w:szCs w:val="22"/>
        </w:rPr>
        <w:t>oversee</w:t>
      </w:r>
      <w:r w:rsidRPr="008B6A02">
        <w:rPr>
          <w:rFonts w:ascii="Times New Roman" w:hAnsi="Times New Roman" w:cs="Times New Roman"/>
          <w:sz w:val="22"/>
          <w:szCs w:val="22"/>
        </w:rPr>
        <w:t xml:space="preserve"> analytical quality, validation standards, ethics, and regulatory compliance. Detailed RACI matrices are maintained for every major deliverable and decision class.</w:t>
      </w:r>
    </w:p>
    <w:p w14:paraId="3A268002" w14:textId="15C14418"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The explicit long-term intent is a managed transition from temporary program mode to a sustained product-oriented operating model with clear ownership, multi-year funding, and continuous improvement of the predictive platform.</w:t>
      </w:r>
    </w:p>
    <w:p w14:paraId="7209946E"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29887AB9">
          <v:rect id="_x0000_i1036" style="width:0;height:1.5pt" o:hralign="center" o:hrstd="t" o:hrnoshade="t" o:hr="t" fillcolor="black" stroked="f"/>
        </w:pict>
      </w:r>
    </w:p>
    <w:p w14:paraId="2199B555" w14:textId="77777777" w:rsidR="008F48FC" w:rsidRPr="008F48FC" w:rsidRDefault="008B6A02" w:rsidP="008B6A02">
      <w:pPr>
        <w:spacing w:line="360" w:lineRule="auto"/>
        <w:jc w:val="both"/>
        <w:rPr>
          <w:rFonts w:ascii="Times New Roman" w:hAnsi="Times New Roman" w:cs="Times New Roman"/>
          <w:b/>
          <w:bCs/>
          <w:sz w:val="22"/>
          <w:szCs w:val="22"/>
        </w:rPr>
      </w:pPr>
      <w:r w:rsidRPr="008F48FC">
        <w:rPr>
          <w:rFonts w:ascii="Times New Roman" w:hAnsi="Times New Roman" w:cs="Times New Roman"/>
          <w:b/>
          <w:bCs/>
          <w:sz w:val="22"/>
          <w:szCs w:val="22"/>
        </w:rPr>
        <w:t>13. Change-Management, Communication, and Adoption Strategy</w:t>
      </w:r>
    </w:p>
    <w:p w14:paraId="749039A4" w14:textId="5E98A909"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A structured change-management approach addressing awareness, desire, knowledge, ability, and reinforcement will be executed in parallel with technical delivery. Core activities include comprehensive stakeholder mapping and influence planning, a regular cadence of leadership communications, role-specific training and coaching programs, identification and active support of change champions inside each function, rapid-feedback mechanisms, and visible recognition of early </w:t>
      </w:r>
      <w:r w:rsidRPr="008B6A02">
        <w:rPr>
          <w:rFonts w:ascii="Times New Roman" w:hAnsi="Times New Roman" w:cs="Times New Roman"/>
          <w:sz w:val="22"/>
          <w:szCs w:val="22"/>
        </w:rPr>
        <w:lastRenderedPageBreak/>
        <w:t>successes. Adoption metrics (active users, alert-response rates, qualitative feedback, and process-embedding indicators) will be tracked with the same rigor as technical and financial metrics and will form part of every stage-gate review.</w:t>
      </w:r>
    </w:p>
    <w:p w14:paraId="5C00482E"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73D8DF80">
          <v:rect id="_x0000_i1037" style="width:0;height:1.5pt" o:hralign="center" o:hrstd="t" o:hrnoshade="t" o:hr="t" fillcolor="black" stroked="f"/>
        </w:pict>
      </w:r>
    </w:p>
    <w:p w14:paraId="24E2F838" w14:textId="77777777" w:rsidR="008F48FC" w:rsidRPr="008F48FC" w:rsidRDefault="008B6A02" w:rsidP="008B6A02">
      <w:pPr>
        <w:spacing w:line="360" w:lineRule="auto"/>
        <w:jc w:val="both"/>
        <w:rPr>
          <w:rFonts w:ascii="Times New Roman" w:hAnsi="Times New Roman" w:cs="Times New Roman"/>
          <w:b/>
          <w:bCs/>
          <w:sz w:val="22"/>
          <w:szCs w:val="22"/>
        </w:rPr>
      </w:pPr>
      <w:r w:rsidRPr="008F48FC">
        <w:rPr>
          <w:rFonts w:ascii="Times New Roman" w:hAnsi="Times New Roman" w:cs="Times New Roman"/>
          <w:b/>
          <w:bCs/>
          <w:sz w:val="22"/>
          <w:szCs w:val="22"/>
        </w:rPr>
        <w:t>14. Success-Measurement System and Review Cadence</w:t>
      </w:r>
    </w:p>
    <w:p w14:paraId="11DDF371" w14:textId="20CE4969"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A balanced scorecard will continuously monitor four perspectives:</w:t>
      </w:r>
    </w:p>
    <w:p w14:paraId="0AD0EAA7" w14:textId="77777777" w:rsidR="008B6A02" w:rsidRPr="008B6A02" w:rsidRDefault="008B6A02" w:rsidP="008B6A02">
      <w:pPr>
        <w:numPr>
          <w:ilvl w:val="0"/>
          <w:numId w:val="6"/>
        </w:numPr>
        <w:spacing w:line="360" w:lineRule="auto"/>
        <w:jc w:val="both"/>
        <w:rPr>
          <w:rFonts w:ascii="Times New Roman" w:hAnsi="Times New Roman" w:cs="Times New Roman"/>
          <w:sz w:val="22"/>
          <w:szCs w:val="22"/>
        </w:rPr>
      </w:pPr>
      <w:r w:rsidRPr="008F48FC">
        <w:rPr>
          <w:rFonts w:ascii="Times New Roman" w:hAnsi="Times New Roman" w:cs="Times New Roman"/>
          <w:b/>
          <w:bCs/>
          <w:sz w:val="22"/>
          <w:szCs w:val="22"/>
        </w:rPr>
        <w:t>Technical health:</w:t>
      </w:r>
      <w:r w:rsidRPr="008B6A02">
        <w:rPr>
          <w:rFonts w:ascii="Times New Roman" w:hAnsi="Times New Roman" w:cs="Times New Roman"/>
          <w:sz w:val="22"/>
          <w:szCs w:val="22"/>
        </w:rPr>
        <w:t xml:space="preserve"> data-quality scores, pipeline reliability, model statistical performance, calibration, and stability. </w:t>
      </w:r>
    </w:p>
    <w:p w14:paraId="0BC6CFC7" w14:textId="53829BA8" w:rsidR="008B6A02" w:rsidRPr="008B6A02" w:rsidRDefault="008B6A02" w:rsidP="008B6A02">
      <w:pPr>
        <w:numPr>
          <w:ilvl w:val="0"/>
          <w:numId w:val="6"/>
        </w:numPr>
        <w:spacing w:line="360" w:lineRule="auto"/>
        <w:jc w:val="both"/>
        <w:rPr>
          <w:rFonts w:ascii="Times New Roman" w:hAnsi="Times New Roman" w:cs="Times New Roman"/>
          <w:sz w:val="22"/>
          <w:szCs w:val="22"/>
        </w:rPr>
      </w:pPr>
      <w:r w:rsidRPr="008F48FC">
        <w:rPr>
          <w:rFonts w:ascii="Times New Roman" w:hAnsi="Times New Roman" w:cs="Times New Roman"/>
          <w:b/>
          <w:bCs/>
          <w:sz w:val="22"/>
          <w:szCs w:val="22"/>
        </w:rPr>
        <w:t xml:space="preserve">Adoption and </w:t>
      </w:r>
      <w:r w:rsidR="00746219" w:rsidRPr="008F48FC">
        <w:rPr>
          <w:rFonts w:ascii="Times New Roman" w:hAnsi="Times New Roman" w:cs="Times New Roman"/>
          <w:b/>
          <w:bCs/>
          <w:sz w:val="22"/>
          <w:szCs w:val="22"/>
        </w:rPr>
        <w:t>embedding</w:t>
      </w:r>
      <w:r w:rsidRPr="008B6A02">
        <w:rPr>
          <w:rFonts w:ascii="Times New Roman" w:hAnsi="Times New Roman" w:cs="Times New Roman"/>
          <w:sz w:val="22"/>
          <w:szCs w:val="22"/>
        </w:rPr>
        <w:t xml:space="preserve"> active-user counts, feature usage, alert-response timeliness, and qualitative user feedback. </w:t>
      </w:r>
    </w:p>
    <w:p w14:paraId="651DC73A" w14:textId="77777777" w:rsidR="008B6A02" w:rsidRPr="008B6A02" w:rsidRDefault="008B6A02" w:rsidP="008B6A02">
      <w:pPr>
        <w:numPr>
          <w:ilvl w:val="0"/>
          <w:numId w:val="6"/>
        </w:numPr>
        <w:spacing w:line="360" w:lineRule="auto"/>
        <w:jc w:val="both"/>
        <w:rPr>
          <w:rFonts w:ascii="Times New Roman" w:hAnsi="Times New Roman" w:cs="Times New Roman"/>
          <w:sz w:val="22"/>
          <w:szCs w:val="22"/>
        </w:rPr>
      </w:pPr>
      <w:r w:rsidRPr="008F48FC">
        <w:rPr>
          <w:rFonts w:ascii="Times New Roman" w:hAnsi="Times New Roman" w:cs="Times New Roman"/>
          <w:b/>
          <w:bCs/>
          <w:sz w:val="22"/>
          <w:szCs w:val="22"/>
        </w:rPr>
        <w:t>Business outcomes</w:t>
      </w:r>
      <w:r w:rsidRPr="008B6A02">
        <w:rPr>
          <w:rFonts w:ascii="Times New Roman" w:hAnsi="Times New Roman" w:cs="Times New Roman"/>
          <w:sz w:val="22"/>
          <w:szCs w:val="22"/>
        </w:rPr>
        <w:t xml:space="preserve">: aircraft availability and AOG metrics, inventory turns and service levels, quality-cost indicators, and analytical-productivity measures, all tracked against pre-initiative baselines. </w:t>
      </w:r>
    </w:p>
    <w:p w14:paraId="4270F647" w14:textId="77777777" w:rsidR="008B6A02" w:rsidRPr="008B6A02" w:rsidRDefault="008B6A02" w:rsidP="008B6A02">
      <w:pPr>
        <w:numPr>
          <w:ilvl w:val="0"/>
          <w:numId w:val="6"/>
        </w:numPr>
        <w:spacing w:line="360" w:lineRule="auto"/>
        <w:jc w:val="both"/>
        <w:rPr>
          <w:rFonts w:ascii="Times New Roman" w:hAnsi="Times New Roman" w:cs="Times New Roman"/>
          <w:sz w:val="22"/>
          <w:szCs w:val="22"/>
        </w:rPr>
      </w:pPr>
      <w:r w:rsidRPr="008F48FC">
        <w:rPr>
          <w:rFonts w:ascii="Times New Roman" w:hAnsi="Times New Roman" w:cs="Times New Roman"/>
          <w:b/>
          <w:bCs/>
          <w:sz w:val="22"/>
          <w:szCs w:val="22"/>
        </w:rPr>
        <w:t>Program delivery</w:t>
      </w:r>
      <w:r w:rsidRPr="008B6A02">
        <w:rPr>
          <w:rFonts w:ascii="Times New Roman" w:hAnsi="Times New Roman" w:cs="Times New Roman"/>
          <w:sz w:val="22"/>
          <w:szCs w:val="22"/>
        </w:rPr>
        <w:t>: milestone adherence, budget variance, and residual risk posture.</w:t>
      </w:r>
    </w:p>
    <w:p w14:paraId="02A4E574" w14:textId="77777777"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Program leadership reviews the scorecard monthly; the Steering Committee reviews it quarterly. Formal post-implementation reviews occur at the conclusion of Phases 1 and 2 and feed directly into the subsequent phase authorization decision.</w:t>
      </w:r>
    </w:p>
    <w:p w14:paraId="0B033696" w14:textId="77777777" w:rsidR="008B6A02" w:rsidRPr="008B6A02" w:rsidRDefault="005F507A" w:rsidP="008B6A02">
      <w:pPr>
        <w:spacing w:line="360" w:lineRule="auto"/>
        <w:jc w:val="both"/>
        <w:rPr>
          <w:rFonts w:ascii="Times New Roman" w:hAnsi="Times New Roman" w:cs="Times New Roman"/>
          <w:sz w:val="22"/>
          <w:szCs w:val="22"/>
        </w:rPr>
      </w:pPr>
      <w:r>
        <w:rPr>
          <w:rFonts w:ascii="Times New Roman" w:hAnsi="Times New Roman" w:cs="Times New Roman"/>
          <w:sz w:val="22"/>
          <w:szCs w:val="22"/>
        </w:rPr>
        <w:pict w14:anchorId="62031899">
          <v:rect id="_x0000_i1038" style="width:0;height:1.5pt" o:hralign="center" o:hrstd="t" o:hrnoshade="t" o:hr="t" fillcolor="black" stroked="f"/>
        </w:pict>
      </w:r>
    </w:p>
    <w:p w14:paraId="2574DB78" w14:textId="77777777" w:rsidR="008F48FC" w:rsidRPr="008F48FC" w:rsidRDefault="008B6A02" w:rsidP="008B6A02">
      <w:pPr>
        <w:spacing w:line="360" w:lineRule="auto"/>
        <w:jc w:val="both"/>
        <w:rPr>
          <w:rFonts w:ascii="Times New Roman" w:hAnsi="Times New Roman" w:cs="Times New Roman"/>
          <w:b/>
          <w:bCs/>
          <w:sz w:val="22"/>
          <w:szCs w:val="22"/>
        </w:rPr>
      </w:pPr>
      <w:r w:rsidRPr="008F48FC">
        <w:rPr>
          <w:rFonts w:ascii="Times New Roman" w:hAnsi="Times New Roman" w:cs="Times New Roman"/>
          <w:b/>
          <w:bCs/>
          <w:sz w:val="22"/>
          <w:szCs w:val="22"/>
        </w:rPr>
        <w:t>15. Conclusion and Formal Recommendation to the Board and Executive Leadership Team</w:t>
      </w:r>
    </w:p>
    <w:p w14:paraId="17925F39" w14:textId="77777777" w:rsidR="008F48FC"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The Intelligent Predictive Operations Initiative constitutes a strategically necessary and economically attractive investment for Helios Aircraft Corporation. Continuation of predominantly reactive maintenance practices, fragmented analytics, and experience-based decision-making exposes the company to rising competitive pressure, avoidable operational cost, customer friction, and slower adaptation to market and technological change. By systematically constructing a governed predictive capability on a foundation of high-integrity data and role-specific decision support, Helios can achieve measurable improvements in availability, cost efficiency, and decision speed while simultaneously creating a durable platform for future advantage in condition-based maintenance, performance-based support offerings, and advanced operational analytics.</w:t>
      </w:r>
    </w:p>
    <w:p w14:paraId="0B3D2331" w14:textId="77777777" w:rsidR="008F48FC" w:rsidRDefault="008F48FC" w:rsidP="008B6A02">
      <w:pPr>
        <w:spacing w:line="360" w:lineRule="auto"/>
        <w:jc w:val="both"/>
        <w:rPr>
          <w:rFonts w:ascii="Times New Roman" w:hAnsi="Times New Roman" w:cs="Times New Roman"/>
          <w:sz w:val="22"/>
          <w:szCs w:val="22"/>
        </w:rPr>
      </w:pPr>
    </w:p>
    <w:p w14:paraId="7CDEDAB6" w14:textId="77777777" w:rsidR="008F48FC" w:rsidRDefault="008F48FC" w:rsidP="008B6A02">
      <w:pPr>
        <w:spacing w:line="360" w:lineRule="auto"/>
        <w:jc w:val="both"/>
        <w:rPr>
          <w:rFonts w:ascii="Times New Roman" w:hAnsi="Times New Roman" w:cs="Times New Roman"/>
          <w:sz w:val="22"/>
          <w:szCs w:val="22"/>
        </w:rPr>
      </w:pPr>
    </w:p>
    <w:p w14:paraId="2CF53D7F" w14:textId="77777777" w:rsidR="008F48FC" w:rsidRDefault="008F48FC" w:rsidP="008B6A02">
      <w:pPr>
        <w:spacing w:line="360" w:lineRule="auto"/>
        <w:jc w:val="both"/>
        <w:rPr>
          <w:rFonts w:ascii="Times New Roman" w:hAnsi="Times New Roman" w:cs="Times New Roman"/>
          <w:sz w:val="22"/>
          <w:szCs w:val="22"/>
        </w:rPr>
      </w:pPr>
    </w:p>
    <w:p w14:paraId="1551C8C0" w14:textId="0C798523"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lastRenderedPageBreak/>
        <w:t>It is therefore recommended that the Board of Directors and the Executive Leadership Team:</w:t>
      </w:r>
    </w:p>
    <w:p w14:paraId="7D8F3751" w14:textId="77777777" w:rsidR="008B6A02" w:rsidRPr="008B6A02" w:rsidRDefault="008B6A02" w:rsidP="008B6A02">
      <w:pPr>
        <w:numPr>
          <w:ilvl w:val="0"/>
          <w:numId w:val="7"/>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Approve the Intelligent Predictive Operations Initiative as an enterprise strategic program. </w:t>
      </w:r>
    </w:p>
    <w:p w14:paraId="7A4A1D9D" w14:textId="77777777" w:rsidR="008B6A02" w:rsidRPr="008B6A02" w:rsidRDefault="008B6A02" w:rsidP="008B6A02">
      <w:pPr>
        <w:numPr>
          <w:ilvl w:val="0"/>
          <w:numId w:val="7"/>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Authorize immediate commencement of Phase 0, including the associated funding envelope and resource commitments. </w:t>
      </w:r>
    </w:p>
    <w:p w14:paraId="085F09F2" w14:textId="77777777" w:rsidR="008B6A02" w:rsidRPr="008B6A02" w:rsidRDefault="008B6A02" w:rsidP="008B6A02">
      <w:pPr>
        <w:numPr>
          <w:ilvl w:val="0"/>
          <w:numId w:val="7"/>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 xml:space="preserve">Appoint the Executive Sponsor and direct the formation of the Steering Committee within two weeks of approval. </w:t>
      </w:r>
    </w:p>
    <w:p w14:paraId="410D50C5" w14:textId="77777777" w:rsidR="008B6A02" w:rsidRPr="008B6A02" w:rsidRDefault="008B6A02" w:rsidP="008B6A02">
      <w:pPr>
        <w:numPr>
          <w:ilvl w:val="0"/>
          <w:numId w:val="7"/>
        </w:num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Require that every subsequent phase be authorized only after formal stage-gate review of technical progress, measured value, updated risk assessment, and re-validated benefits projections.</w:t>
      </w:r>
    </w:p>
    <w:p w14:paraId="36E076D3" w14:textId="77777777" w:rsidR="008B6A02" w:rsidRPr="008B6A02" w:rsidRDefault="008B6A02" w:rsidP="008B6A02">
      <w:pPr>
        <w:spacing w:line="360" w:lineRule="auto"/>
        <w:jc w:val="both"/>
        <w:rPr>
          <w:rFonts w:ascii="Times New Roman" w:hAnsi="Times New Roman" w:cs="Times New Roman"/>
          <w:sz w:val="22"/>
          <w:szCs w:val="22"/>
        </w:rPr>
      </w:pPr>
      <w:r w:rsidRPr="008B6A02">
        <w:rPr>
          <w:rFonts w:ascii="Times New Roman" w:hAnsi="Times New Roman" w:cs="Times New Roman"/>
          <w:sz w:val="22"/>
          <w:szCs w:val="22"/>
        </w:rPr>
        <w:t>Upon approval, the Digital Transformation Office will issue a detailed Phase 0 mobilization plan to the newly formed Steering Committee within four weeks and will commence execution without delay.</w:t>
      </w:r>
    </w:p>
    <w:p w14:paraId="221E98FA" w14:textId="77777777" w:rsidR="0011423B" w:rsidRPr="008B6A02" w:rsidRDefault="0011423B" w:rsidP="008B6A02">
      <w:pPr>
        <w:spacing w:line="360" w:lineRule="auto"/>
        <w:jc w:val="both"/>
        <w:rPr>
          <w:rFonts w:ascii="Times New Roman" w:hAnsi="Times New Roman" w:cs="Times New Roman"/>
          <w:sz w:val="22"/>
          <w:szCs w:val="22"/>
        </w:rPr>
      </w:pPr>
    </w:p>
    <w:sectPr w:rsidR="0011423B" w:rsidRPr="008B6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FFD"/>
    <w:multiLevelType w:val="multilevel"/>
    <w:tmpl w:val="E18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DC07B8"/>
    <w:multiLevelType w:val="multilevel"/>
    <w:tmpl w:val="BA9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FD48AB"/>
    <w:multiLevelType w:val="multilevel"/>
    <w:tmpl w:val="FF3C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776CC"/>
    <w:multiLevelType w:val="multilevel"/>
    <w:tmpl w:val="946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633B65"/>
    <w:multiLevelType w:val="multilevel"/>
    <w:tmpl w:val="8DD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8C5F4E"/>
    <w:multiLevelType w:val="multilevel"/>
    <w:tmpl w:val="D64C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8148C4"/>
    <w:multiLevelType w:val="multilevel"/>
    <w:tmpl w:val="988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E2782A"/>
    <w:multiLevelType w:val="multilevel"/>
    <w:tmpl w:val="55A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0A5C7F"/>
    <w:multiLevelType w:val="multilevel"/>
    <w:tmpl w:val="9B54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F12A36"/>
    <w:multiLevelType w:val="multilevel"/>
    <w:tmpl w:val="2AF4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E103EC"/>
    <w:multiLevelType w:val="multilevel"/>
    <w:tmpl w:val="51E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8B1242"/>
    <w:multiLevelType w:val="multilevel"/>
    <w:tmpl w:val="3F0A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999129">
    <w:abstractNumId w:val="1"/>
  </w:num>
  <w:num w:numId="2" w16cid:durableId="52048070">
    <w:abstractNumId w:val="7"/>
  </w:num>
  <w:num w:numId="3" w16cid:durableId="1649434389">
    <w:abstractNumId w:val="8"/>
  </w:num>
  <w:num w:numId="4" w16cid:durableId="300814250">
    <w:abstractNumId w:val="11"/>
  </w:num>
  <w:num w:numId="5" w16cid:durableId="1473014438">
    <w:abstractNumId w:val="4"/>
  </w:num>
  <w:num w:numId="6" w16cid:durableId="2041279623">
    <w:abstractNumId w:val="3"/>
  </w:num>
  <w:num w:numId="7" w16cid:durableId="1567498455">
    <w:abstractNumId w:val="2"/>
  </w:num>
  <w:num w:numId="8" w16cid:durableId="1056779082">
    <w:abstractNumId w:val="10"/>
  </w:num>
  <w:num w:numId="9" w16cid:durableId="1895004423">
    <w:abstractNumId w:val="9"/>
  </w:num>
  <w:num w:numId="10" w16cid:durableId="820848089">
    <w:abstractNumId w:val="6"/>
  </w:num>
  <w:num w:numId="11" w16cid:durableId="4207498">
    <w:abstractNumId w:val="5"/>
  </w:num>
  <w:num w:numId="12" w16cid:durableId="662464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9F1"/>
    <w:rsid w:val="0011423B"/>
    <w:rsid w:val="001D50D6"/>
    <w:rsid w:val="00313E4B"/>
    <w:rsid w:val="004544A9"/>
    <w:rsid w:val="006769F1"/>
    <w:rsid w:val="00746219"/>
    <w:rsid w:val="008079D4"/>
    <w:rsid w:val="0084538B"/>
    <w:rsid w:val="008622F3"/>
    <w:rsid w:val="008B6A02"/>
    <w:rsid w:val="008F48FC"/>
    <w:rsid w:val="009F5885"/>
    <w:rsid w:val="00AC7588"/>
    <w:rsid w:val="00DF4B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838B0"/>
  <w15:chartTrackingRefBased/>
  <w15:docId w15:val="{CC5C31DE-9BA6-4F58-95AA-997F2442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9F1"/>
    <w:rPr>
      <w:rFonts w:eastAsiaTheme="majorEastAsia" w:cstheme="majorBidi"/>
      <w:color w:val="272727" w:themeColor="text1" w:themeTint="D8"/>
    </w:rPr>
  </w:style>
  <w:style w:type="paragraph" w:styleId="Title">
    <w:name w:val="Title"/>
    <w:basedOn w:val="Normal"/>
    <w:next w:val="Normal"/>
    <w:link w:val="TitleChar"/>
    <w:uiPriority w:val="10"/>
    <w:qFormat/>
    <w:rsid w:val="00676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9F1"/>
    <w:pPr>
      <w:spacing w:before="160"/>
      <w:jc w:val="center"/>
    </w:pPr>
    <w:rPr>
      <w:i/>
      <w:iCs/>
      <w:color w:val="404040" w:themeColor="text1" w:themeTint="BF"/>
    </w:rPr>
  </w:style>
  <w:style w:type="character" w:customStyle="1" w:styleId="QuoteChar">
    <w:name w:val="Quote Char"/>
    <w:basedOn w:val="DefaultParagraphFont"/>
    <w:link w:val="Quote"/>
    <w:uiPriority w:val="29"/>
    <w:rsid w:val="006769F1"/>
    <w:rPr>
      <w:i/>
      <w:iCs/>
      <w:color w:val="404040" w:themeColor="text1" w:themeTint="BF"/>
    </w:rPr>
  </w:style>
  <w:style w:type="paragraph" w:styleId="ListParagraph">
    <w:name w:val="List Paragraph"/>
    <w:basedOn w:val="Normal"/>
    <w:uiPriority w:val="34"/>
    <w:qFormat/>
    <w:rsid w:val="006769F1"/>
    <w:pPr>
      <w:ind w:left="720"/>
      <w:contextualSpacing/>
    </w:pPr>
  </w:style>
  <w:style w:type="character" w:styleId="IntenseEmphasis">
    <w:name w:val="Intense Emphasis"/>
    <w:basedOn w:val="DefaultParagraphFont"/>
    <w:uiPriority w:val="21"/>
    <w:qFormat/>
    <w:rsid w:val="006769F1"/>
    <w:rPr>
      <w:i/>
      <w:iCs/>
      <w:color w:val="0F4761" w:themeColor="accent1" w:themeShade="BF"/>
    </w:rPr>
  </w:style>
  <w:style w:type="paragraph" w:styleId="IntenseQuote">
    <w:name w:val="Intense Quote"/>
    <w:basedOn w:val="Normal"/>
    <w:next w:val="Normal"/>
    <w:link w:val="IntenseQuoteChar"/>
    <w:uiPriority w:val="30"/>
    <w:qFormat/>
    <w:rsid w:val="00676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9F1"/>
    <w:rPr>
      <w:i/>
      <w:iCs/>
      <w:color w:val="0F4761" w:themeColor="accent1" w:themeShade="BF"/>
    </w:rPr>
  </w:style>
  <w:style w:type="character" w:styleId="IntenseReference">
    <w:name w:val="Intense Reference"/>
    <w:basedOn w:val="DefaultParagraphFont"/>
    <w:uiPriority w:val="32"/>
    <w:qFormat/>
    <w:rsid w:val="006769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17</Pages>
  <Words>6060</Words>
  <Characters>34546</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chinedu Echem</dc:creator>
  <cp:keywords/>
  <dc:description/>
  <cp:lastModifiedBy>Anthony chinedu Echem</cp:lastModifiedBy>
  <cp:revision>9</cp:revision>
  <dcterms:created xsi:type="dcterms:W3CDTF">2026-09-01T20:36:00Z</dcterms:created>
  <dcterms:modified xsi:type="dcterms:W3CDTF">2026-09-03T00:28:00Z</dcterms:modified>
</cp:coreProperties>
</file>