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41C0" w14:textId="65C0A361" w:rsidR="00255E89" w:rsidRPr="00255E89" w:rsidRDefault="00255E89" w:rsidP="00255E89">
      <w:pPr>
        <w:spacing w:line="360" w:lineRule="auto"/>
        <w:jc w:val="center"/>
        <w:rPr>
          <w:rFonts w:ascii="Times New Roman" w:hAnsi="Times New Roman" w:cs="Times New Roman"/>
          <w:b/>
          <w:bCs/>
        </w:rPr>
      </w:pPr>
      <w:r w:rsidRPr="00255E89">
        <w:rPr>
          <w:rFonts w:ascii="Times New Roman" w:hAnsi="Times New Roman" w:cs="Times New Roman"/>
          <w:b/>
          <w:bCs/>
        </w:rPr>
        <w:t>Intelligent Predictive Operations Initiative</w:t>
      </w:r>
      <w:r w:rsidRPr="00255E89">
        <w:rPr>
          <w:rFonts w:ascii="Times New Roman" w:hAnsi="Times New Roman" w:cs="Times New Roman"/>
          <w:b/>
          <w:bCs/>
        </w:rPr>
        <w:br/>
        <w:t xml:space="preserve">NEXORA LOGISTICS CORPORATION </w:t>
      </w:r>
      <w:r w:rsidRPr="00255E89">
        <w:rPr>
          <w:rFonts w:ascii="Times New Roman" w:hAnsi="Times New Roman" w:cs="Times New Roman"/>
          <w:b/>
          <w:bCs/>
        </w:rPr>
        <w:br/>
        <w:t>Prepared by: Digital Transformation Office in close collaboration with Network Operations, Fleet &amp; Asset Management, Warehouse &amp; Fulfilment, Transportation Planning, Inventory &amp; Demand Planning, Carrier Management, Customer Experience, Finance, Reliability Engineering, and Information Security</w:t>
      </w:r>
      <w:r w:rsidRPr="00255E89">
        <w:rPr>
          <w:rFonts w:ascii="Times New Roman" w:hAnsi="Times New Roman" w:cs="Times New Roman"/>
          <w:b/>
          <w:bCs/>
        </w:rPr>
        <w:br/>
      </w:r>
    </w:p>
    <w:p w14:paraId="146C1B53"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2E10023D">
          <v:rect id="_x0000_i1025" style="width:0;height:1.5pt" o:hralign="center" o:hrstd="t" o:hrnoshade="t" o:hr="t" fillcolor="black" stroked="f"/>
        </w:pict>
      </w:r>
    </w:p>
    <w:p w14:paraId="661FE0AC" w14:textId="77777777" w:rsidR="00255E89" w:rsidRPr="00255E89" w:rsidRDefault="00255E89" w:rsidP="00255E89">
      <w:pPr>
        <w:spacing w:line="360" w:lineRule="auto"/>
        <w:jc w:val="both"/>
        <w:rPr>
          <w:rFonts w:ascii="Times New Roman" w:hAnsi="Times New Roman" w:cs="Times New Roman"/>
          <w:b/>
          <w:bCs/>
        </w:rPr>
      </w:pPr>
      <w:r w:rsidRPr="00255E89">
        <w:rPr>
          <w:rFonts w:ascii="Times New Roman" w:hAnsi="Times New Roman" w:cs="Times New Roman"/>
          <w:b/>
          <w:bCs/>
        </w:rPr>
        <w:t>1. Document Purpose, Scope of Decision, and Authorization Request</w:t>
      </w:r>
    </w:p>
    <w:p w14:paraId="7A9051DC" w14:textId="77777777" w:rsid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This business case constitutes the complete, standalone justification for the launch and multi-year execution of the Intelligent Predictive Operations Initiative at Nexora Logistics Corporation. It is written to support a formal decision by the Board of Directors and the Executive Leadership Team. The document examines the strategic and competitive context in depth, provides a rigorously quantified analysis of current-state operational and financial pain points across fleet, inventory, network, quality, and decision processes, articulates a clear solution vision grounded in design principles appropriate to a high-volume, time-critical logistics enterprise, defines priority use cases with detailed mechanisms of value creation, specifies functional and non-functional requirements at a level sufficient to guide architecture and delivery while enforcing a pure in-database machine-learning constraint within PostgreSQL, lists concrete deliverables with explicit acceptance criteria, presents a benefits-realization framework and conservative financial perspective, details a multi-phase roadmap with stage-gate discipline, contains an expanded risk register with mitigation and contingency approaches, describes the required governance and organizational model, outlines a comprehensive change-management and adoption strategy, and defines the success-measurement system that will govern continuation decisions.</w:t>
      </w:r>
    </w:p>
    <w:p w14:paraId="016F2C6F" w14:textId="77777777" w:rsidR="00255E89" w:rsidRDefault="00255E89" w:rsidP="00255E89">
      <w:pPr>
        <w:spacing w:line="360" w:lineRule="auto"/>
        <w:jc w:val="both"/>
        <w:rPr>
          <w:rFonts w:ascii="Times New Roman" w:hAnsi="Times New Roman" w:cs="Times New Roman"/>
        </w:rPr>
      </w:pPr>
    </w:p>
    <w:p w14:paraId="56931E84" w14:textId="77777777" w:rsidR="00255E89" w:rsidRDefault="00255E89" w:rsidP="00255E89">
      <w:pPr>
        <w:spacing w:line="360" w:lineRule="auto"/>
        <w:jc w:val="both"/>
        <w:rPr>
          <w:rFonts w:ascii="Times New Roman" w:hAnsi="Times New Roman" w:cs="Times New Roman"/>
        </w:rPr>
      </w:pPr>
    </w:p>
    <w:p w14:paraId="48F15D28" w14:textId="77777777" w:rsidR="00255E89" w:rsidRDefault="00255E89" w:rsidP="00255E89">
      <w:pPr>
        <w:spacing w:line="360" w:lineRule="auto"/>
        <w:jc w:val="both"/>
        <w:rPr>
          <w:rFonts w:ascii="Times New Roman" w:hAnsi="Times New Roman" w:cs="Times New Roman"/>
        </w:rPr>
      </w:pPr>
    </w:p>
    <w:p w14:paraId="18D2384E" w14:textId="77777777" w:rsidR="00255E89" w:rsidRDefault="00255E89" w:rsidP="00255E89">
      <w:pPr>
        <w:spacing w:line="360" w:lineRule="auto"/>
        <w:jc w:val="both"/>
        <w:rPr>
          <w:rFonts w:ascii="Times New Roman" w:hAnsi="Times New Roman" w:cs="Times New Roman"/>
        </w:rPr>
      </w:pPr>
    </w:p>
    <w:p w14:paraId="1260F7F3" w14:textId="6E8FAC4F"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The specific decision requested is:</w:t>
      </w:r>
    </w:p>
    <w:p w14:paraId="2D14F2FB" w14:textId="77777777" w:rsidR="00255E89" w:rsidRPr="00255E89" w:rsidRDefault="00255E89" w:rsidP="00255E89">
      <w:pPr>
        <w:numPr>
          <w:ilvl w:val="0"/>
          <w:numId w:val="1"/>
        </w:numPr>
        <w:spacing w:line="360" w:lineRule="auto"/>
        <w:jc w:val="both"/>
        <w:rPr>
          <w:rFonts w:ascii="Times New Roman" w:hAnsi="Times New Roman" w:cs="Times New Roman"/>
        </w:rPr>
      </w:pPr>
      <w:r w:rsidRPr="00255E89">
        <w:rPr>
          <w:rFonts w:ascii="Times New Roman" w:hAnsi="Times New Roman" w:cs="Times New Roman"/>
        </w:rPr>
        <w:lastRenderedPageBreak/>
        <w:t xml:space="preserve">Formal approval of the Intelligent Predictive Operations Initiative as a strategic enterprise program. </w:t>
      </w:r>
    </w:p>
    <w:p w14:paraId="17BA4886" w14:textId="77777777" w:rsidR="00255E89" w:rsidRPr="00255E89" w:rsidRDefault="00255E89" w:rsidP="00255E89">
      <w:pPr>
        <w:numPr>
          <w:ilvl w:val="0"/>
          <w:numId w:val="1"/>
        </w:numPr>
        <w:spacing w:line="360" w:lineRule="auto"/>
        <w:jc w:val="both"/>
        <w:rPr>
          <w:rFonts w:ascii="Times New Roman" w:hAnsi="Times New Roman" w:cs="Times New Roman"/>
        </w:rPr>
      </w:pPr>
      <w:r w:rsidRPr="00255E89">
        <w:rPr>
          <w:rFonts w:ascii="Times New Roman" w:hAnsi="Times New Roman" w:cs="Times New Roman"/>
        </w:rPr>
        <w:t xml:space="preserve">Authorization to commence Phase 0 (Mobilization and Detailed Design), including the associated initial funding envelope, allocation or recruitment of core program resources, appointment of the Executive Sponsor, and immediate formation of the cross-functional Steering Committee. </w:t>
      </w:r>
    </w:p>
    <w:p w14:paraId="607CFF24" w14:textId="77777777" w:rsidR="00255E89" w:rsidRPr="00255E89" w:rsidRDefault="00255E89" w:rsidP="00255E89">
      <w:pPr>
        <w:numPr>
          <w:ilvl w:val="0"/>
          <w:numId w:val="1"/>
        </w:numPr>
        <w:spacing w:line="360" w:lineRule="auto"/>
        <w:jc w:val="both"/>
        <w:rPr>
          <w:rFonts w:ascii="Times New Roman" w:hAnsi="Times New Roman" w:cs="Times New Roman"/>
        </w:rPr>
      </w:pPr>
      <w:r w:rsidRPr="00255E89">
        <w:rPr>
          <w:rFonts w:ascii="Times New Roman" w:hAnsi="Times New Roman" w:cs="Times New Roman"/>
        </w:rPr>
        <w:t>Commitment that subsequent phase funding will be released only upon successful completion of defined stage-gate criteria, including demonstrated technical progress, measured pilot value, updated risk assessment, and re-validated benefits projections.</w:t>
      </w:r>
    </w:p>
    <w:p w14:paraId="72155E69"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3732BA8C">
          <v:rect id="_x0000_i1026" style="width:0;height:1.5pt" o:hralign="center" o:hrstd="t" o:hrnoshade="t" o:hr="t" fillcolor="black" stroked="f"/>
        </w:pict>
      </w:r>
    </w:p>
    <w:p w14:paraId="30102A32" w14:textId="77777777" w:rsidR="00255E89" w:rsidRPr="00AD4D22" w:rsidRDefault="00255E89" w:rsidP="00255E89">
      <w:pPr>
        <w:spacing w:line="360" w:lineRule="auto"/>
        <w:jc w:val="both"/>
        <w:rPr>
          <w:rFonts w:ascii="Times New Roman" w:hAnsi="Times New Roman" w:cs="Times New Roman"/>
          <w:b/>
          <w:bCs/>
        </w:rPr>
      </w:pPr>
      <w:r w:rsidRPr="00AD4D22">
        <w:rPr>
          <w:rFonts w:ascii="Times New Roman" w:hAnsi="Times New Roman" w:cs="Times New Roman"/>
          <w:b/>
          <w:bCs/>
        </w:rPr>
        <w:t>2. Executive Summary</w:t>
      </w:r>
    </w:p>
    <w:p w14:paraId="470114DF" w14:textId="77777777" w:rsidR="00AD4D22"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Nexora Logistics Corporation is a major integrated logistics and supply-chain services provider operating extensive </w:t>
      </w:r>
      <w:r w:rsidR="00AD4D22" w:rsidRPr="00255E89">
        <w:rPr>
          <w:rFonts w:ascii="Times New Roman" w:hAnsi="Times New Roman" w:cs="Times New Roman"/>
        </w:rPr>
        <w:t>fulfilment</w:t>
      </w:r>
      <w:r w:rsidRPr="00255E89">
        <w:rPr>
          <w:rFonts w:ascii="Times New Roman" w:hAnsi="Times New Roman" w:cs="Times New Roman"/>
        </w:rPr>
        <w:t xml:space="preserve"> networks, line-haul transportation, sortation hubs, last-mile delivery resources, and value-added warehousing services across multiple geographic regions. The company serves e-commerce, retail, industrial, healthcare, and cross-border customers and manages high volumes of shipments daily under intense pressure for speed, reliability, and cost </w:t>
      </w:r>
      <w:r w:rsidR="00AD4D22" w:rsidRPr="00255E89">
        <w:rPr>
          <w:rFonts w:ascii="Times New Roman" w:hAnsi="Times New Roman" w:cs="Times New Roman"/>
        </w:rPr>
        <w:t>efficiency. The</w:t>
      </w:r>
      <w:r w:rsidRPr="00255E89">
        <w:rPr>
          <w:rFonts w:ascii="Times New Roman" w:hAnsi="Times New Roman" w:cs="Times New Roman"/>
        </w:rPr>
        <w:t xml:space="preserve"> operating environment has become significantly more demanding. Explosive growth in e-commerce, relentless customer expectations for predictable delivery windows, rising fuel, </w:t>
      </w:r>
      <w:r w:rsidR="00AD4D22" w:rsidRPr="00255E89">
        <w:rPr>
          <w:rFonts w:ascii="Times New Roman" w:hAnsi="Times New Roman" w:cs="Times New Roman"/>
        </w:rPr>
        <w:t>labour</w:t>
      </w:r>
      <w:r w:rsidRPr="00255E89">
        <w:rPr>
          <w:rFonts w:ascii="Times New Roman" w:hAnsi="Times New Roman" w:cs="Times New Roman"/>
        </w:rPr>
        <w:t xml:space="preserve">, and real-estate costs, urban congestion, carrier capacity volatility, and intensifying competition from global platforms require a fundamental upgrade in how Nexora senses, predicts, and acts on operational </w:t>
      </w:r>
      <w:r w:rsidR="00AD4D22" w:rsidRPr="00255E89">
        <w:rPr>
          <w:rFonts w:ascii="Times New Roman" w:hAnsi="Times New Roman" w:cs="Times New Roman"/>
        </w:rPr>
        <w:t>data. Unplanned</w:t>
      </w:r>
      <w:r w:rsidRPr="00255E89">
        <w:rPr>
          <w:rFonts w:ascii="Times New Roman" w:hAnsi="Times New Roman" w:cs="Times New Roman"/>
        </w:rPr>
        <w:t xml:space="preserve"> vehicle, trailer, and material-handling equipment failures continue to generate schedule disruption and elevated recovery costs. Demand and inventory forecast inaccuracy simultaneously produces excess stock in some nodes and shortages or capacity constraints in others. Delivery-time variability and route inefficiencies erode on-time performance and inflate cost-to-serve. Package damage and quality issues are frequently detected only at the customer interface. Carrier and network partner performance is monitored largely retrospectively. Across the enterprise, decision-makers experience persistent latency and friction in obtaining trusted, forward-looking insight; specialist planners and analysts devote disproportionate effort to data acquisition and reconciliation rather than to diagnosis and </w:t>
      </w:r>
      <w:r w:rsidR="00AD4D22" w:rsidRPr="00255E89">
        <w:rPr>
          <w:rFonts w:ascii="Times New Roman" w:hAnsi="Times New Roman" w:cs="Times New Roman"/>
        </w:rPr>
        <w:t>action. The</w:t>
      </w:r>
      <w:r w:rsidRPr="00255E89">
        <w:rPr>
          <w:rFonts w:ascii="Times New Roman" w:hAnsi="Times New Roman" w:cs="Times New Roman"/>
        </w:rPr>
        <w:t xml:space="preserve"> Intelligent Predictive Operations Initiative is proposed as the structured response to these interconnected challenges. The program will create a single, high-integrity, governed analytical data foundation entirely within </w:t>
      </w:r>
      <w:r w:rsidRPr="00255E89">
        <w:rPr>
          <w:rFonts w:ascii="Times New Roman" w:hAnsi="Times New Roman" w:cs="Times New Roman"/>
        </w:rPr>
        <w:lastRenderedPageBreak/>
        <w:t xml:space="preserve">PostgreSQL that consolidates curated operational, fleet, inventory, shipment, quality, and carrier data. Upon that foundation it will develop, validate, deploy, and continuously monitor predictive models exclusively inside PostgreSQL using supported machine-learning extensions. The resulting insights will be delivered through role-specific Power BI decision-support environments that present predictions together with context, confidence measures, available explanations, and recommended actions, while preserving unambiguous human accountability for every operational </w:t>
      </w:r>
      <w:r w:rsidR="00AD4D22" w:rsidRPr="00255E89">
        <w:rPr>
          <w:rFonts w:ascii="Times New Roman" w:hAnsi="Times New Roman" w:cs="Times New Roman"/>
        </w:rPr>
        <w:t xml:space="preserve">decision. </w:t>
      </w:r>
    </w:p>
    <w:p w14:paraId="4F3E158D" w14:textId="77777777" w:rsidR="00AD4D22" w:rsidRDefault="00AD4D22" w:rsidP="00255E89">
      <w:pPr>
        <w:spacing w:line="360" w:lineRule="auto"/>
        <w:jc w:val="both"/>
        <w:rPr>
          <w:rFonts w:ascii="Times New Roman" w:hAnsi="Times New Roman" w:cs="Times New Roman"/>
        </w:rPr>
      </w:pPr>
      <w:r w:rsidRPr="00255E89">
        <w:rPr>
          <w:rFonts w:ascii="Times New Roman" w:hAnsi="Times New Roman" w:cs="Times New Roman"/>
        </w:rPr>
        <w:t>The</w:t>
      </w:r>
      <w:r w:rsidR="00255E89" w:rsidRPr="00255E89">
        <w:rPr>
          <w:rFonts w:ascii="Times New Roman" w:hAnsi="Times New Roman" w:cs="Times New Roman"/>
        </w:rPr>
        <w:t xml:space="preserve"> initiative is deliberately conceived as a platform rather than a collection of isolated point solutions. Early use cases are chosen both for their direct economic return and for their ability to generate reusable data products, versioned feature tables, model-lifecycle patterns, and decision interfaces that will accelerate every subsequent use case. Conservative projections indicate material improvements in asset availability, inventory productivity, on-time delivery performance, damage reduction, and analytical efficiency within a 24-to-36-month horizon, accompanied by strengthened competitive positioning in customer contracts and network resilience. Equally important, the program will institutionalize a durable organizational capability in governed, data-driven prediction that compounds over time.</w:t>
      </w:r>
    </w:p>
    <w:p w14:paraId="38D3D4EF" w14:textId="12EC8076"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This business case examines every material dimension of the opportunity, the solution, the requirements (explicitly constrained to pure in-database machine learning), the value, the risk, and the execution approach in substantially greater depth, thereby enabling a fully informed authorization decision.</w:t>
      </w:r>
    </w:p>
    <w:p w14:paraId="319CB928"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302B6547">
          <v:rect id="_x0000_i1027" style="width:0;height:1.5pt" o:hralign="center" o:hrstd="t" o:hrnoshade="t" o:hr="t" fillcolor="black" stroked="f"/>
        </w:pict>
      </w:r>
    </w:p>
    <w:p w14:paraId="6FD6B805"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3. Organizational, Market, and Strategic Context</w:t>
      </w:r>
    </w:p>
    <w:p w14:paraId="1787A327"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3.1 Company Profile, Operating Footprint, and Economic Characteristics</w:t>
      </w:r>
    </w:p>
    <w:p w14:paraId="757CCB90"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Nexora Logistics Corporation is a mid-to-large-tier integrated logistics provider specializing in high-volume </w:t>
      </w:r>
      <w:r w:rsidR="00DB25FD" w:rsidRPr="00255E89">
        <w:rPr>
          <w:rFonts w:ascii="Times New Roman" w:hAnsi="Times New Roman" w:cs="Times New Roman"/>
        </w:rPr>
        <w:t>fulfilment</w:t>
      </w:r>
      <w:r w:rsidRPr="00255E89">
        <w:rPr>
          <w:rFonts w:ascii="Times New Roman" w:hAnsi="Times New Roman" w:cs="Times New Roman"/>
        </w:rPr>
        <w:t xml:space="preserve">, line-haul and regional transportation, sortation, last-mile delivery, returns processing, and value-added services such as kitting, </w:t>
      </w:r>
      <w:r w:rsidR="00DB25FD" w:rsidRPr="00255E89">
        <w:rPr>
          <w:rFonts w:ascii="Times New Roman" w:hAnsi="Times New Roman" w:cs="Times New Roman"/>
        </w:rPr>
        <w:t>labelling</w:t>
      </w:r>
      <w:r w:rsidRPr="00255E89">
        <w:rPr>
          <w:rFonts w:ascii="Times New Roman" w:hAnsi="Times New Roman" w:cs="Times New Roman"/>
        </w:rPr>
        <w:t xml:space="preserve">, and inventory management. The company operates a network of </w:t>
      </w:r>
      <w:r w:rsidR="00DB25FD" w:rsidRPr="00255E89">
        <w:rPr>
          <w:rFonts w:ascii="Times New Roman" w:hAnsi="Times New Roman" w:cs="Times New Roman"/>
        </w:rPr>
        <w:t>fulfilment</w:t>
      </w:r>
      <w:r w:rsidRPr="00255E89">
        <w:rPr>
          <w:rFonts w:ascii="Times New Roman" w:hAnsi="Times New Roman" w:cs="Times New Roman"/>
        </w:rPr>
        <w:t xml:space="preserve"> </w:t>
      </w:r>
      <w:r w:rsidR="00DB25FD" w:rsidRPr="00255E89">
        <w:rPr>
          <w:rFonts w:ascii="Times New Roman" w:hAnsi="Times New Roman" w:cs="Times New Roman"/>
        </w:rPr>
        <w:t>centres</w:t>
      </w:r>
      <w:r w:rsidRPr="00255E89">
        <w:rPr>
          <w:rFonts w:ascii="Times New Roman" w:hAnsi="Times New Roman" w:cs="Times New Roman"/>
        </w:rPr>
        <w:t xml:space="preserve">, cross-dock and sortation hubs, and last-mile stations across multiple countries. It manages millions of shipments annually, maintains a substantial owned and contracted fleet of tractors, trailers, vans, and material-handling equipment, and employs a large workforce across warehouse, driving, planning, and corporate </w:t>
      </w:r>
      <w:r w:rsidR="00DB25FD" w:rsidRPr="00255E89">
        <w:rPr>
          <w:rFonts w:ascii="Times New Roman" w:hAnsi="Times New Roman" w:cs="Times New Roman"/>
        </w:rPr>
        <w:t>functions. Annual</w:t>
      </w:r>
      <w:r w:rsidRPr="00255E89">
        <w:rPr>
          <w:rFonts w:ascii="Times New Roman" w:hAnsi="Times New Roman" w:cs="Times New Roman"/>
        </w:rPr>
        <w:t xml:space="preserve"> shipment volumes and network throughput place </w:t>
      </w:r>
      <w:r w:rsidRPr="00255E89">
        <w:rPr>
          <w:rFonts w:ascii="Times New Roman" w:hAnsi="Times New Roman" w:cs="Times New Roman"/>
        </w:rPr>
        <w:lastRenderedPageBreak/>
        <w:t>Nexora among the significant regional-to-global players competing for e-commerce, retail, and industrial contracts. Aftermarket and contract logistics services constitute a growing and strategically important share of revenue and recurring cash flow. The company maintains relationships with hundreds of contracted carriers and service partners and operates in a multi-echelon inventory environment spanning thousands of SKUs and stocking locations.</w:t>
      </w:r>
    </w:p>
    <w:p w14:paraId="6E54C2C4"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3.2 Published Strategic Priorities and Existing Transformation Portfolio</w:t>
      </w:r>
    </w:p>
    <w:p w14:paraId="3EBA635B"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Nexora’s formal strategic agenda emphasizes five interlocking themes: </w:t>
      </w:r>
    </w:p>
    <w:p w14:paraId="2DBBDC65" w14:textId="77777777" w:rsidR="00DB25FD" w:rsidRDefault="00DB25FD" w:rsidP="00255E89">
      <w:pPr>
        <w:spacing w:line="360" w:lineRule="auto"/>
        <w:jc w:val="both"/>
        <w:rPr>
          <w:rFonts w:ascii="Times New Roman" w:hAnsi="Times New Roman" w:cs="Times New Roman"/>
        </w:rPr>
      </w:pPr>
      <w:r>
        <w:rPr>
          <w:rFonts w:ascii="Times New Roman" w:hAnsi="Times New Roman" w:cs="Times New Roman"/>
        </w:rPr>
        <w:t>1. S</w:t>
      </w:r>
      <w:r w:rsidR="00255E89" w:rsidRPr="00255E89">
        <w:rPr>
          <w:rFonts w:ascii="Times New Roman" w:hAnsi="Times New Roman" w:cs="Times New Roman"/>
        </w:rPr>
        <w:t>uperior network reliability and delivery-speed performance</w:t>
      </w:r>
      <w:r>
        <w:rPr>
          <w:rFonts w:ascii="Times New Roman" w:hAnsi="Times New Roman" w:cs="Times New Roman"/>
        </w:rPr>
        <w:t>.</w:t>
      </w:r>
    </w:p>
    <w:p w14:paraId="567BE7E8" w14:textId="77777777" w:rsidR="00DB25FD" w:rsidRDefault="00DB25FD" w:rsidP="00255E89">
      <w:pPr>
        <w:spacing w:line="360" w:lineRule="auto"/>
        <w:jc w:val="both"/>
        <w:rPr>
          <w:rFonts w:ascii="Times New Roman" w:hAnsi="Times New Roman" w:cs="Times New Roman"/>
        </w:rPr>
      </w:pPr>
      <w:r>
        <w:rPr>
          <w:rFonts w:ascii="Times New Roman" w:hAnsi="Times New Roman" w:cs="Times New Roman"/>
        </w:rPr>
        <w:t>2.S</w:t>
      </w:r>
      <w:r w:rsidR="00255E89" w:rsidRPr="00255E89">
        <w:rPr>
          <w:rFonts w:ascii="Times New Roman" w:hAnsi="Times New Roman" w:cs="Times New Roman"/>
        </w:rPr>
        <w:t>tructural reduction in cost-to-serve</w:t>
      </w:r>
      <w:r>
        <w:rPr>
          <w:rFonts w:ascii="Times New Roman" w:hAnsi="Times New Roman" w:cs="Times New Roman"/>
        </w:rPr>
        <w:t>.</w:t>
      </w:r>
    </w:p>
    <w:p w14:paraId="51C97ADA" w14:textId="77777777" w:rsidR="00DB25FD" w:rsidRDefault="00DB25FD" w:rsidP="00255E89">
      <w:pPr>
        <w:spacing w:line="360" w:lineRule="auto"/>
        <w:jc w:val="both"/>
        <w:rPr>
          <w:rFonts w:ascii="Times New Roman" w:hAnsi="Times New Roman" w:cs="Times New Roman"/>
        </w:rPr>
      </w:pPr>
      <w:r>
        <w:rPr>
          <w:rFonts w:ascii="Times New Roman" w:hAnsi="Times New Roman" w:cs="Times New Roman"/>
        </w:rPr>
        <w:t>3. I</w:t>
      </w:r>
      <w:r w:rsidR="00255E89" w:rsidRPr="00255E89">
        <w:rPr>
          <w:rFonts w:ascii="Times New Roman" w:hAnsi="Times New Roman" w:cs="Times New Roman"/>
        </w:rPr>
        <w:t>nventory and capacity productivity across the network</w:t>
      </w:r>
      <w:r>
        <w:rPr>
          <w:rFonts w:ascii="Times New Roman" w:hAnsi="Times New Roman" w:cs="Times New Roman"/>
        </w:rPr>
        <w:t>.</w:t>
      </w:r>
    </w:p>
    <w:p w14:paraId="78BF88AA" w14:textId="77777777" w:rsidR="00DB25FD" w:rsidRDefault="00DB25FD" w:rsidP="00255E89">
      <w:pPr>
        <w:spacing w:line="360" w:lineRule="auto"/>
        <w:jc w:val="both"/>
        <w:rPr>
          <w:rFonts w:ascii="Times New Roman" w:hAnsi="Times New Roman" w:cs="Times New Roman"/>
        </w:rPr>
      </w:pPr>
      <w:r>
        <w:rPr>
          <w:rFonts w:ascii="Times New Roman" w:hAnsi="Times New Roman" w:cs="Times New Roman"/>
        </w:rPr>
        <w:t>4. E</w:t>
      </w:r>
      <w:r w:rsidR="00255E89" w:rsidRPr="00255E89">
        <w:rPr>
          <w:rFonts w:ascii="Times New Roman" w:hAnsi="Times New Roman" w:cs="Times New Roman"/>
        </w:rPr>
        <w:t>xceptional customer experience and promise accuracy</w:t>
      </w:r>
      <w:r>
        <w:rPr>
          <w:rFonts w:ascii="Times New Roman" w:hAnsi="Times New Roman" w:cs="Times New Roman"/>
        </w:rPr>
        <w:t>.</w:t>
      </w:r>
    </w:p>
    <w:p w14:paraId="519F9DF8" w14:textId="77777777" w:rsidR="00DB25FD" w:rsidRDefault="00DB25FD" w:rsidP="00255E89">
      <w:pPr>
        <w:spacing w:line="360" w:lineRule="auto"/>
        <w:jc w:val="both"/>
        <w:rPr>
          <w:rFonts w:ascii="Times New Roman" w:hAnsi="Times New Roman" w:cs="Times New Roman"/>
        </w:rPr>
      </w:pPr>
      <w:r>
        <w:rPr>
          <w:rFonts w:ascii="Times New Roman" w:hAnsi="Times New Roman" w:cs="Times New Roman"/>
        </w:rPr>
        <w:t>5. D</w:t>
      </w:r>
      <w:r w:rsidR="00255E89" w:rsidRPr="00255E89">
        <w:rPr>
          <w:rFonts w:ascii="Times New Roman" w:hAnsi="Times New Roman" w:cs="Times New Roman"/>
        </w:rPr>
        <w:t xml:space="preserve">isciplined preparation for autonomous, electric, and sustainable logistics technologies. </w:t>
      </w:r>
    </w:p>
    <w:p w14:paraId="79A71761"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Parallel transformation programs already address warehouse automation, transportation-management system modernization, </w:t>
      </w:r>
      <w:r w:rsidR="00DB25FD" w:rsidRPr="00255E89">
        <w:rPr>
          <w:rFonts w:ascii="Times New Roman" w:hAnsi="Times New Roman" w:cs="Times New Roman"/>
        </w:rPr>
        <w:t>labour</w:t>
      </w:r>
      <w:r w:rsidRPr="00255E89">
        <w:rPr>
          <w:rFonts w:ascii="Times New Roman" w:hAnsi="Times New Roman" w:cs="Times New Roman"/>
        </w:rPr>
        <w:t xml:space="preserve"> productivity initiatives, and process standardization. The Intelligent Predictive Operations Initiative is designed to complement and amplify these efforts by inserting a predictive intelligence layer that converts the data already generated by operations into timely, actionable foresight.</w:t>
      </w:r>
    </w:p>
    <w:p w14:paraId="14194F5E"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3.3 Industry Structure, Competitive Dynamics, and Customer Expectations</w:t>
      </w:r>
    </w:p>
    <w:p w14:paraId="1B30A6EC"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The logistics and parcel industry </w:t>
      </w:r>
      <w:proofErr w:type="gramStart"/>
      <w:r w:rsidRPr="00255E89">
        <w:rPr>
          <w:rFonts w:ascii="Times New Roman" w:hAnsi="Times New Roman" w:cs="Times New Roman"/>
        </w:rPr>
        <w:t>is</w:t>
      </w:r>
      <w:proofErr w:type="gramEnd"/>
      <w:r w:rsidRPr="00255E89">
        <w:rPr>
          <w:rFonts w:ascii="Times New Roman" w:hAnsi="Times New Roman" w:cs="Times New Roman"/>
        </w:rPr>
        <w:t xml:space="preserve"> characterized by extreme volume intensity, thin margins, high fixed-cost networks, acute sensitivity to on-time performance, and continuous pressure from customer expectations for shorter and more predictable delivery windows. E-commerce growth has permanently elevated volume volatility and peak-season stress. Fuel price volatility, driver and warehouse </w:t>
      </w:r>
      <w:r w:rsidR="00DB25FD" w:rsidRPr="00255E89">
        <w:rPr>
          <w:rFonts w:ascii="Times New Roman" w:hAnsi="Times New Roman" w:cs="Times New Roman"/>
        </w:rPr>
        <w:t>labour</w:t>
      </w:r>
      <w:r w:rsidRPr="00255E89">
        <w:rPr>
          <w:rFonts w:ascii="Times New Roman" w:hAnsi="Times New Roman" w:cs="Times New Roman"/>
        </w:rPr>
        <w:t xml:space="preserve"> shortages, urban access restrictions, and sustainability mandates further compress operating latitude. Larger global platforms have invested heavily in demand sensing, dynamic routing, predictive maintenance, and real-time network optimization. Organizations that continue to rely primarily on historical averages, interval-based maintenance, and retrospective carrier scorecards progressively lose ground on both cost and </w:t>
      </w:r>
      <w:r w:rsidR="00DB25FD" w:rsidRPr="00255E89">
        <w:rPr>
          <w:rFonts w:ascii="Times New Roman" w:hAnsi="Times New Roman" w:cs="Times New Roman"/>
        </w:rPr>
        <w:t>service. In</w:t>
      </w:r>
      <w:r w:rsidRPr="00255E89">
        <w:rPr>
          <w:rFonts w:ascii="Times New Roman" w:hAnsi="Times New Roman" w:cs="Times New Roman"/>
        </w:rPr>
        <w:t xml:space="preserve"> this environment, a credible, auditable, and continuously improving predictive capability can become a tangible differentiator in customer contract negotiations (through </w:t>
      </w:r>
      <w:r w:rsidRPr="00255E89">
        <w:rPr>
          <w:rFonts w:ascii="Times New Roman" w:hAnsi="Times New Roman" w:cs="Times New Roman"/>
        </w:rPr>
        <w:lastRenderedPageBreak/>
        <w:t>higher reliability guarantees and more accurate promises) and in internal network economics (through higher asset utilization and lower exception costs).</w:t>
      </w:r>
    </w:p>
    <w:p w14:paraId="3B307388"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3.4 Current-State Information, Analytics, and Decision Landscape</w:t>
      </w:r>
    </w:p>
    <w:p w14:paraId="6477EF52" w14:textId="34805B04"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Nexora operates mature warehouse-management, transportation-management, order-management, fleet-management, and yard systems. A relational database environment already underpins selected operational reporting and logistics workloads. Nevertheless, critical data assets remain fragmented across systems and organizational boundaries. Master-data inconsistencies, incomplete historical depth in analytically usable form, and heavy dependence on manual extraction, desktop reconciliation, and spreadsheet-based analysis are commonplace. Predictive or advanced statistical techniques are applied only in isolated specialist pockets; they lack standardization, independent validation, version control, performance monitoring, and closed-loop integration into planning or execution workflows. The cumulative result is decision latency, variable insight quality, duplicated analytical effort, and systematic under-utilization of the predictive signal already latent in operational data.</w:t>
      </w:r>
    </w:p>
    <w:p w14:paraId="68251B0B"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0BD91529">
          <v:rect id="_x0000_i1028" style="width:0;height:1.5pt" o:hralign="center" o:hrstd="t" o:hrnoshade="t" o:hr="t" fillcolor="black" stroked="f"/>
        </w:pict>
      </w:r>
    </w:p>
    <w:p w14:paraId="6FE1BC4C"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4. Comprehensive Current-State Problem Analysis and Quantified Pain Points</w:t>
      </w:r>
    </w:p>
    <w:p w14:paraId="54751F4F"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4.1 Fleet, Trailer, and Material-Handling Equipment Downtime</w:t>
      </w:r>
    </w:p>
    <w:p w14:paraId="16E5648D"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Detailed examination of multi-year maintenance, utilization, and breakdown data demonstrates that a material fraction of high-impact vehicle, trailer, and equipment failures were preceded by detectable precursor patterns in cumulative usage, prior maintenance actions, fault codes, or available condition summaries. Prevailing maintenance philosophy remains largely interval-driven or reactive. Direct consequences include the cost of unscheduled repairs, expedited parts and </w:t>
      </w:r>
      <w:r w:rsidR="00DB25FD" w:rsidRPr="00255E89">
        <w:rPr>
          <w:rFonts w:ascii="Times New Roman" w:hAnsi="Times New Roman" w:cs="Times New Roman"/>
        </w:rPr>
        <w:t>labour</w:t>
      </w:r>
      <w:r w:rsidRPr="00255E89">
        <w:rPr>
          <w:rFonts w:ascii="Times New Roman" w:hAnsi="Times New Roman" w:cs="Times New Roman"/>
        </w:rPr>
        <w:t>, schedule disruption, cascading delays across the network, customer service failures, and longer-term effects on fleet utilization and capital productivity. Reliability and fleet teams expend substantial effort on retrospective investigations that, in many cases, could have been partially anticipated by systematic, model-supported precursor detection.</w:t>
      </w:r>
    </w:p>
    <w:p w14:paraId="6DB9629C"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4.2 Inventory Productivity, Service Levels, and Working-Capital Drag</w:t>
      </w:r>
    </w:p>
    <w:p w14:paraId="1678028F"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Multi-echelon inventory positions across </w:t>
      </w:r>
      <w:r w:rsidR="00DB25FD" w:rsidRPr="00255E89">
        <w:rPr>
          <w:rFonts w:ascii="Times New Roman" w:hAnsi="Times New Roman" w:cs="Times New Roman"/>
        </w:rPr>
        <w:t>fulfilment</w:t>
      </w:r>
      <w:r w:rsidRPr="00255E89">
        <w:rPr>
          <w:rFonts w:ascii="Times New Roman" w:hAnsi="Times New Roman" w:cs="Times New Roman"/>
        </w:rPr>
        <w:t xml:space="preserve"> </w:t>
      </w:r>
      <w:r w:rsidR="00DB25FD" w:rsidRPr="00255E89">
        <w:rPr>
          <w:rFonts w:ascii="Times New Roman" w:hAnsi="Times New Roman" w:cs="Times New Roman"/>
        </w:rPr>
        <w:t>centres</w:t>
      </w:r>
      <w:r w:rsidRPr="00255E89">
        <w:rPr>
          <w:rFonts w:ascii="Times New Roman" w:hAnsi="Times New Roman" w:cs="Times New Roman"/>
        </w:rPr>
        <w:t xml:space="preserve">, hubs, and forward stations represent a major balance-sheet commitment and a recurring source of both cost and risk. Persistent structural patterns include accumulation of slow-moving or obsolete stock in some </w:t>
      </w:r>
      <w:r w:rsidRPr="00255E89">
        <w:rPr>
          <w:rFonts w:ascii="Times New Roman" w:hAnsi="Times New Roman" w:cs="Times New Roman"/>
        </w:rPr>
        <w:lastRenderedPageBreak/>
        <w:t>nodes alongside recurring shortages of high-velocity or promotional items in others. Forecast accuracy at the granular SKU-location and node level remains insufficient to underwrite optimized inventory and capacity policies. Excess inventory generates holding costs, insurance, cycle-counting effort, and obsolescence; shortages trigger premium expediting, lost sales or service failures, and customer dissatisfaction. The net effect is suboptimal working-capital efficiency that constrains financial capacity for network investment and technology upgrades.</w:t>
      </w:r>
    </w:p>
    <w:p w14:paraId="41F4A397"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4.3 Delivery-Time Variability, Route Inefficiency, and On-Time Performance</w:t>
      </w:r>
    </w:p>
    <w:p w14:paraId="0DCA398E"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Transit-time variability arising from congestion, weather, carrier performance, dock delays, and last-mile conditions </w:t>
      </w:r>
      <w:r w:rsidR="00DB25FD" w:rsidRPr="00255E89">
        <w:rPr>
          <w:rFonts w:ascii="Times New Roman" w:hAnsi="Times New Roman" w:cs="Times New Roman"/>
        </w:rPr>
        <w:t>produce</w:t>
      </w:r>
      <w:r w:rsidRPr="00255E89">
        <w:rPr>
          <w:rFonts w:ascii="Times New Roman" w:hAnsi="Times New Roman" w:cs="Times New Roman"/>
        </w:rPr>
        <w:t xml:space="preserve"> missed delivery windows, higher exception-handling costs, and eroded customer trust. Current planning relies heavily on static or simple historical averages with limited forward-looking risk adjustment. The resulting cost-to-serve inflation and service-level leakage are material at network scale.</w:t>
      </w:r>
    </w:p>
    <w:p w14:paraId="29683D45"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4.4 Package Quality, Damage, and Late Detection</w:t>
      </w:r>
    </w:p>
    <w:p w14:paraId="5BBFEBEE"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Although service standards are generally met, internal quality metrics reveal meaningful volumes of damage, shortage, or condition issues that are frequently detected only at delivery or through customer claims. Upstream handling paths, sortation conditions, packaging characteristics, and node-level factors contain predictive information that is presently exploited only through traditional sampling and experience-based judgment. Earlier systematic detection of elevated damage risk would enable targeted handling instructions, containment, or process adjustment, thereby reducing claims cost and customer friction.</w:t>
      </w:r>
    </w:p>
    <w:p w14:paraId="40AF596D"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4.5 Carrier, Partner, and Network Risk Visibility</w:t>
      </w:r>
    </w:p>
    <w:p w14:paraId="5EC4E01F"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The extensive use of contracted carriers and service partners creates both capacity flexibility and performance variability. Delivery reliability, damage rates, and capacity adherence vary across partners and over time. External shocks—capacity shortages, </w:t>
      </w:r>
      <w:r w:rsidR="00DB25FD" w:rsidRPr="00255E89">
        <w:rPr>
          <w:rFonts w:ascii="Times New Roman" w:hAnsi="Times New Roman" w:cs="Times New Roman"/>
        </w:rPr>
        <w:t>labour</w:t>
      </w:r>
      <w:r w:rsidRPr="00255E89">
        <w:rPr>
          <w:rFonts w:ascii="Times New Roman" w:hAnsi="Times New Roman" w:cs="Times New Roman"/>
        </w:rPr>
        <w:t xml:space="preserve"> actions, fuel spikes, weather events, or geopolitical disruptions—can propagate rapidly. Existing partner-management processes rely predominantly on lagging scorecards. The absence of a dynamic, multi-factor risk view limits the organization’s ability to trigger timely dual-sourcing, volume shifts, buffering, or collaborative intervention before disruptions fully materialize.</w:t>
      </w:r>
    </w:p>
    <w:p w14:paraId="4F349165" w14:textId="77777777" w:rsidR="00DB25FD" w:rsidRDefault="00DB25FD" w:rsidP="00255E89">
      <w:pPr>
        <w:spacing w:line="360" w:lineRule="auto"/>
        <w:jc w:val="both"/>
        <w:rPr>
          <w:rFonts w:ascii="Times New Roman" w:hAnsi="Times New Roman" w:cs="Times New Roman"/>
        </w:rPr>
      </w:pPr>
    </w:p>
    <w:p w14:paraId="6F55CAC8" w14:textId="49514E45"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lastRenderedPageBreak/>
        <w:t>4.6 Decision Latency, Analytical Friction, and Hidden Organizational Cost</w:t>
      </w:r>
    </w:p>
    <w:p w14:paraId="4B45A9B9"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Leadership network reviews, daily operations huddles, inventory planning cycles, and carrier performance meetings frequently operate on data that is already hours or days old and that has been manually assembled and reconciled from multiple sources. Specialist analysts, planners, and reliability engineers devote a large fraction of their time to data acquisition, cleansing, and formatting rather than to insight generation, prioritization, and action. The cumulative organizational cost appears both as delayed response to emerging risks and as higher indirect expense of decision-making itself.</w:t>
      </w:r>
    </w:p>
    <w:p w14:paraId="1D7391C4"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4.7 Regulatory, Audit, Customer-Assurance, and Contractual Considerations</w:t>
      </w:r>
    </w:p>
    <w:p w14:paraId="5B71CA86"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Logistics operations supporting regulated industries (healthcare, high-value goods, cross-border) and major customer contracts require complete, traceable records of handling, custody, and performance. Any predictive model that influences maintenance prioritization, inventory positioning, routing decisions, or customer promises must itself be transparent, version-controlled, performance-monitored, and capable of supporting audit or customer scrutiny. Current fragmented and largely undocumented analytical practices increase the effort required to demonstrate continuous improvement and contractual compliance.</w:t>
      </w:r>
    </w:p>
    <w:p w14:paraId="728B514E" w14:textId="75ABD0AF"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These seven problem clusters are tightly interconnected. Improvements in any one domain reinforce progress in the others; conversely, continued inaction allows the problems to compound.</w:t>
      </w:r>
    </w:p>
    <w:p w14:paraId="65BB1525"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220D7A7F">
          <v:rect id="_x0000_i1029" style="width:0;height:1.5pt" o:hralign="center" o:hrstd="t" o:hrnoshade="t" o:hr="t" fillcolor="black" stroked="f"/>
        </w:pict>
      </w:r>
    </w:p>
    <w:p w14:paraId="615FE7E5" w14:textId="77777777" w:rsidR="00DB25FD" w:rsidRPr="00DB25FD" w:rsidRDefault="00255E89" w:rsidP="00255E89">
      <w:pPr>
        <w:spacing w:line="360" w:lineRule="auto"/>
        <w:jc w:val="both"/>
        <w:rPr>
          <w:rFonts w:ascii="Times New Roman" w:hAnsi="Times New Roman" w:cs="Times New Roman"/>
          <w:b/>
          <w:bCs/>
        </w:rPr>
      </w:pPr>
      <w:r w:rsidRPr="00DB25FD">
        <w:rPr>
          <w:rFonts w:ascii="Times New Roman" w:hAnsi="Times New Roman" w:cs="Times New Roman"/>
          <w:b/>
          <w:bCs/>
        </w:rPr>
        <w:t>5. Solution Vision, Design Principles, and Architectural Intent</w:t>
      </w:r>
    </w:p>
    <w:p w14:paraId="70BA397A" w14:textId="77777777" w:rsidR="00DB25FD"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The Intelligent Predictive Operations Initiative will establish a unified, governed analytical environment entirely within PostgreSQL that consolidates curated, high-quality data from operational, fleet, inventory, shipment, quality, and carrier sources. On this foundation the program will develop, validate, deploy, and continuously monitor predictive models exclusively inside PostgreSQL using supported machine-learning extensions. Insights will be delivered through role-specific Power BI decision-support environments that present predictions together with supporting context, statistical confidence measures, available human-interpretable explanations, and suggested next actions, while preserving clear human accountability for every decision that affects service, safety, or contractual </w:t>
      </w:r>
      <w:r w:rsidR="00DB25FD" w:rsidRPr="00255E89">
        <w:rPr>
          <w:rFonts w:ascii="Times New Roman" w:hAnsi="Times New Roman" w:cs="Times New Roman"/>
        </w:rPr>
        <w:t xml:space="preserve">commitments. </w:t>
      </w:r>
    </w:p>
    <w:p w14:paraId="5527175D" w14:textId="23BBA51E" w:rsidR="00255E89" w:rsidRPr="00255E89" w:rsidRDefault="00DB25FD" w:rsidP="00255E89">
      <w:pPr>
        <w:spacing w:line="360" w:lineRule="auto"/>
        <w:jc w:val="both"/>
        <w:rPr>
          <w:rFonts w:ascii="Times New Roman" w:hAnsi="Times New Roman" w:cs="Times New Roman"/>
        </w:rPr>
      </w:pPr>
      <w:r w:rsidRPr="00255E89">
        <w:rPr>
          <w:rFonts w:ascii="Times New Roman" w:hAnsi="Times New Roman" w:cs="Times New Roman"/>
        </w:rPr>
        <w:lastRenderedPageBreak/>
        <w:t>Guiding</w:t>
      </w:r>
      <w:r w:rsidR="00255E89" w:rsidRPr="00255E89">
        <w:rPr>
          <w:rFonts w:ascii="Times New Roman" w:hAnsi="Times New Roman" w:cs="Times New Roman"/>
        </w:rPr>
        <w:t xml:space="preserve"> design principles</w:t>
      </w:r>
    </w:p>
    <w:p w14:paraId="57B82C57" w14:textId="77777777" w:rsidR="00255E89" w:rsidRPr="00255E89" w:rsidRDefault="00255E89" w:rsidP="00255E89">
      <w:pPr>
        <w:numPr>
          <w:ilvl w:val="0"/>
          <w:numId w:val="2"/>
        </w:numPr>
        <w:spacing w:line="360" w:lineRule="auto"/>
        <w:jc w:val="both"/>
        <w:rPr>
          <w:rFonts w:ascii="Times New Roman" w:hAnsi="Times New Roman" w:cs="Times New Roman"/>
        </w:rPr>
      </w:pPr>
      <w:r w:rsidRPr="00DB25FD">
        <w:rPr>
          <w:rFonts w:ascii="Times New Roman" w:hAnsi="Times New Roman" w:cs="Times New Roman"/>
          <w:b/>
          <w:bCs/>
        </w:rPr>
        <w:t>Platform orientation</w:t>
      </w:r>
      <w:r w:rsidRPr="00255E89">
        <w:rPr>
          <w:rFonts w:ascii="Times New Roman" w:hAnsi="Times New Roman" w:cs="Times New Roman"/>
        </w:rPr>
        <w:t xml:space="preserve">: every early use case must leave behind reusable data products, versioned feature tables, and model patterns inside PostgreSQL. </w:t>
      </w:r>
    </w:p>
    <w:p w14:paraId="4F89F27A" w14:textId="77777777" w:rsidR="00255E89" w:rsidRPr="00255E89" w:rsidRDefault="00255E89" w:rsidP="00255E89">
      <w:pPr>
        <w:numPr>
          <w:ilvl w:val="0"/>
          <w:numId w:val="2"/>
        </w:numPr>
        <w:spacing w:line="360" w:lineRule="auto"/>
        <w:jc w:val="both"/>
        <w:rPr>
          <w:rFonts w:ascii="Times New Roman" w:hAnsi="Times New Roman" w:cs="Times New Roman"/>
        </w:rPr>
      </w:pPr>
      <w:r w:rsidRPr="00DB25FD">
        <w:rPr>
          <w:rFonts w:ascii="Times New Roman" w:hAnsi="Times New Roman" w:cs="Times New Roman"/>
          <w:b/>
          <w:bCs/>
        </w:rPr>
        <w:t>Service reliability and operational safety primacy</w:t>
      </w:r>
      <w:r w:rsidRPr="00255E89">
        <w:rPr>
          <w:rFonts w:ascii="Times New Roman" w:hAnsi="Times New Roman" w:cs="Times New Roman"/>
        </w:rPr>
        <w:t xml:space="preserve">: models that can influence maintenance, routing, or inventory decisions will be subjected to elevated standards of validation, documentation, and change control. </w:t>
      </w:r>
    </w:p>
    <w:p w14:paraId="7A28093C" w14:textId="77777777" w:rsidR="00255E89" w:rsidRPr="00255E89" w:rsidRDefault="00255E89" w:rsidP="00255E89">
      <w:pPr>
        <w:numPr>
          <w:ilvl w:val="0"/>
          <w:numId w:val="2"/>
        </w:numPr>
        <w:spacing w:line="360" w:lineRule="auto"/>
        <w:jc w:val="both"/>
        <w:rPr>
          <w:rFonts w:ascii="Times New Roman" w:hAnsi="Times New Roman" w:cs="Times New Roman"/>
        </w:rPr>
      </w:pPr>
      <w:r w:rsidRPr="00DB25FD">
        <w:rPr>
          <w:rFonts w:ascii="Times New Roman" w:hAnsi="Times New Roman" w:cs="Times New Roman"/>
          <w:b/>
          <w:bCs/>
        </w:rPr>
        <w:t>Human-in-the-loop by deliberate design</w:t>
      </w:r>
      <w:r w:rsidRPr="00255E89">
        <w:rPr>
          <w:rFonts w:ascii="Times New Roman" w:hAnsi="Times New Roman" w:cs="Times New Roman"/>
        </w:rPr>
        <w:t xml:space="preserve">: algorithms inform and prioritize; authorized personnel retain decision authority. </w:t>
      </w:r>
    </w:p>
    <w:p w14:paraId="6CF7379C" w14:textId="77777777" w:rsidR="00255E89" w:rsidRPr="00255E89" w:rsidRDefault="00255E89" w:rsidP="00255E89">
      <w:pPr>
        <w:numPr>
          <w:ilvl w:val="0"/>
          <w:numId w:val="2"/>
        </w:numPr>
        <w:spacing w:line="360" w:lineRule="auto"/>
        <w:jc w:val="both"/>
        <w:rPr>
          <w:rFonts w:ascii="Times New Roman" w:hAnsi="Times New Roman" w:cs="Times New Roman"/>
        </w:rPr>
      </w:pPr>
      <w:r w:rsidRPr="00DB25FD">
        <w:rPr>
          <w:rFonts w:ascii="Times New Roman" w:hAnsi="Times New Roman" w:cs="Times New Roman"/>
          <w:b/>
          <w:bCs/>
        </w:rPr>
        <w:t>Closed-loop intent</w:t>
      </w:r>
      <w:r w:rsidRPr="00255E89">
        <w:rPr>
          <w:rFonts w:ascii="Times New Roman" w:hAnsi="Times New Roman" w:cs="Times New Roman"/>
        </w:rPr>
        <w:t xml:space="preserve">: insights must be actionable inside existing planning, scheduling, and execution processes. </w:t>
      </w:r>
    </w:p>
    <w:p w14:paraId="631D3C67" w14:textId="77777777" w:rsidR="00255E89" w:rsidRPr="00255E89" w:rsidRDefault="00255E89" w:rsidP="00255E89">
      <w:pPr>
        <w:numPr>
          <w:ilvl w:val="0"/>
          <w:numId w:val="2"/>
        </w:numPr>
        <w:spacing w:line="360" w:lineRule="auto"/>
        <w:jc w:val="both"/>
        <w:rPr>
          <w:rFonts w:ascii="Times New Roman" w:hAnsi="Times New Roman" w:cs="Times New Roman"/>
        </w:rPr>
      </w:pPr>
      <w:r w:rsidRPr="00B2154C">
        <w:rPr>
          <w:rFonts w:ascii="Times New Roman" w:hAnsi="Times New Roman" w:cs="Times New Roman"/>
          <w:b/>
          <w:bCs/>
        </w:rPr>
        <w:t>Incremental, value-driven delivery</w:t>
      </w:r>
      <w:r w:rsidRPr="00255E89">
        <w:rPr>
          <w:rFonts w:ascii="Times New Roman" w:hAnsi="Times New Roman" w:cs="Times New Roman"/>
        </w:rPr>
        <w:t xml:space="preserve">: each phase must release tangible business benefit while advancing the underlying platform. </w:t>
      </w:r>
    </w:p>
    <w:p w14:paraId="73A32870" w14:textId="77777777" w:rsidR="00255E89" w:rsidRPr="00255E89" w:rsidRDefault="00255E89" w:rsidP="00255E89">
      <w:pPr>
        <w:numPr>
          <w:ilvl w:val="0"/>
          <w:numId w:val="2"/>
        </w:numPr>
        <w:spacing w:line="360" w:lineRule="auto"/>
        <w:jc w:val="both"/>
        <w:rPr>
          <w:rFonts w:ascii="Times New Roman" w:hAnsi="Times New Roman" w:cs="Times New Roman"/>
        </w:rPr>
      </w:pPr>
      <w:r w:rsidRPr="00B2154C">
        <w:rPr>
          <w:rFonts w:ascii="Times New Roman" w:hAnsi="Times New Roman" w:cs="Times New Roman"/>
          <w:b/>
          <w:bCs/>
        </w:rPr>
        <w:t>Governance embedded from day one:</w:t>
      </w:r>
      <w:r w:rsidRPr="00255E89">
        <w:rPr>
          <w:rFonts w:ascii="Times New Roman" w:hAnsi="Times New Roman" w:cs="Times New Roman"/>
        </w:rPr>
        <w:t xml:space="preserve"> data quality, model risk, security, lineage, and auditability are integral. </w:t>
      </w:r>
    </w:p>
    <w:p w14:paraId="5553358A" w14:textId="77777777" w:rsidR="00255E89" w:rsidRPr="00255E89" w:rsidRDefault="00255E89" w:rsidP="00255E89">
      <w:pPr>
        <w:numPr>
          <w:ilvl w:val="0"/>
          <w:numId w:val="2"/>
        </w:numPr>
        <w:spacing w:line="360" w:lineRule="auto"/>
        <w:jc w:val="both"/>
        <w:rPr>
          <w:rFonts w:ascii="Times New Roman" w:hAnsi="Times New Roman" w:cs="Times New Roman"/>
        </w:rPr>
      </w:pPr>
      <w:r w:rsidRPr="00B2154C">
        <w:rPr>
          <w:rFonts w:ascii="Times New Roman" w:hAnsi="Times New Roman" w:cs="Times New Roman"/>
          <w:b/>
          <w:bCs/>
        </w:rPr>
        <w:t>Pure in-database machine-learning constraint</w:t>
      </w:r>
      <w:r w:rsidRPr="00255E89">
        <w:rPr>
          <w:rFonts w:ascii="Times New Roman" w:hAnsi="Times New Roman" w:cs="Times New Roman"/>
        </w:rPr>
        <w:t>: all training, inference, monitoring, and model storage remain inside PostgreSQL; Power BI serves solely as the consumption layer.</w:t>
      </w:r>
    </w:p>
    <w:p w14:paraId="7439DBDA" w14:textId="77777777"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The architectural intent is a layered structure comprising a curated analytical data foundation in PostgreSQL, a feature and model layer with full lifecycle control via database extensions, a prediction and monitoring layer whose results are persisted in PostgreSQL tables, and a consumption layer of role-tailored Power BI environments, all operating under unified security, lineage, and monitoring.</w:t>
      </w:r>
    </w:p>
    <w:p w14:paraId="6AB42989"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7A21213E">
          <v:rect id="_x0000_i1030" style="width:0;height:1.5pt" o:hralign="center" o:hrstd="t" o:hrnoshade="t" o:hr="t" fillcolor="black" stroked="f"/>
        </w:pict>
      </w:r>
    </w:p>
    <w:p w14:paraId="27956009" w14:textId="77777777" w:rsidR="00B2154C"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6. Priority Use Cases</w:t>
      </w:r>
      <w:r w:rsidR="00B2154C" w:rsidRPr="00B2154C">
        <w:rPr>
          <w:rFonts w:ascii="Times New Roman" w:hAnsi="Times New Roman" w:cs="Times New Roman"/>
          <w:b/>
          <w:bCs/>
        </w:rPr>
        <w:t xml:space="preserve">: </w:t>
      </w:r>
      <w:r w:rsidRPr="00B2154C">
        <w:rPr>
          <w:rFonts w:ascii="Times New Roman" w:hAnsi="Times New Roman" w:cs="Times New Roman"/>
          <w:b/>
          <w:bCs/>
        </w:rPr>
        <w:t>Description and Value Mechanisms</w:t>
      </w:r>
    </w:p>
    <w:p w14:paraId="0558DD57" w14:textId="77777777" w:rsidR="00B2154C" w:rsidRDefault="00255E89" w:rsidP="00255E89">
      <w:pPr>
        <w:spacing w:line="360" w:lineRule="auto"/>
        <w:jc w:val="both"/>
        <w:rPr>
          <w:rFonts w:ascii="Times New Roman" w:hAnsi="Times New Roman" w:cs="Times New Roman"/>
        </w:rPr>
      </w:pPr>
      <w:r w:rsidRPr="00B2154C">
        <w:rPr>
          <w:rFonts w:ascii="Times New Roman" w:hAnsi="Times New Roman" w:cs="Times New Roman"/>
          <w:b/>
          <w:bCs/>
        </w:rPr>
        <w:t>Use Case A –</w:t>
      </w:r>
      <w:r w:rsidRPr="00255E89">
        <w:rPr>
          <w:rFonts w:ascii="Times New Roman" w:hAnsi="Times New Roman" w:cs="Times New Roman"/>
        </w:rPr>
        <w:t xml:space="preserve"> Fleet, Trailer, and Material-Handling Equipment Health Prediction</w:t>
      </w:r>
      <w:r w:rsidRPr="00255E89">
        <w:rPr>
          <w:rFonts w:ascii="Times New Roman" w:hAnsi="Times New Roman" w:cs="Times New Roman"/>
        </w:rPr>
        <w:br/>
        <w:t xml:space="preserve">Deliver statistically robust, continuously updated estimates of near-term failure probability and remaining-useful-life indicators for an initial set of high-value vehicles, trailers, and critical material-handling assets. Inputs include cumulative utilization (miles, hours, cycles), detailed maintenance and fault-code history, and available condition or sensor summaries. Outputs </w:t>
      </w:r>
      <w:r w:rsidRPr="00255E89">
        <w:rPr>
          <w:rFonts w:ascii="Times New Roman" w:hAnsi="Times New Roman" w:cs="Times New Roman"/>
        </w:rPr>
        <w:lastRenderedPageBreak/>
        <w:t>comprise asset-level and population-level risk scores, ranked intervention lists, confidence measures, and key contributing factors derived from supported in-database techniques. Value is realized through earlier detection of emerging issues, optimized maintenance scheduling, reduction in the frequency and duration of high-impact downtime events, improved fleet utilization, and lower emergency repair and recovery costs.</w:t>
      </w:r>
    </w:p>
    <w:p w14:paraId="7868AE26" w14:textId="77777777" w:rsidR="00B2154C" w:rsidRDefault="00255E89" w:rsidP="00255E89">
      <w:pPr>
        <w:spacing w:line="360" w:lineRule="auto"/>
        <w:jc w:val="both"/>
        <w:rPr>
          <w:rFonts w:ascii="Times New Roman" w:hAnsi="Times New Roman" w:cs="Times New Roman"/>
        </w:rPr>
      </w:pPr>
      <w:r w:rsidRPr="00B2154C">
        <w:rPr>
          <w:rFonts w:ascii="Times New Roman" w:hAnsi="Times New Roman" w:cs="Times New Roman"/>
          <w:b/>
          <w:bCs/>
        </w:rPr>
        <w:t>Use Case B –</w:t>
      </w:r>
      <w:r w:rsidRPr="00255E89">
        <w:rPr>
          <w:rFonts w:ascii="Times New Roman" w:hAnsi="Times New Roman" w:cs="Times New Roman"/>
        </w:rPr>
        <w:t xml:space="preserve"> Multi-Horizon Demand and Inventory Forecasting</w:t>
      </w:r>
      <w:r w:rsidRPr="00255E89">
        <w:rPr>
          <w:rFonts w:ascii="Times New Roman" w:hAnsi="Times New Roman" w:cs="Times New Roman"/>
        </w:rPr>
        <w:br/>
        <w:t>Generate probabilistic demand forecasts at SKU-location and network-node granularity across multiple planning horizons. Inputs incorporate historical consumption, order patterns, promotional calendars, seasonality, projected volume signals, and known network events. Outputs include forecast distributions, recommended safety-stock and reorder parameters, and exception lists for planner review. Value is captured through simultaneous improvement in service levels and reduction in aggregate inventory investment, lower expediting expense, reduced obsolescence, and more efficient working-capital deployment across the multi-echelon network.</w:t>
      </w:r>
    </w:p>
    <w:p w14:paraId="5A88D64E" w14:textId="77777777" w:rsidR="00B2154C" w:rsidRDefault="00255E89" w:rsidP="00255E89">
      <w:pPr>
        <w:spacing w:line="360" w:lineRule="auto"/>
        <w:jc w:val="both"/>
        <w:rPr>
          <w:rFonts w:ascii="Times New Roman" w:hAnsi="Times New Roman" w:cs="Times New Roman"/>
        </w:rPr>
      </w:pPr>
      <w:r w:rsidRPr="00B2154C">
        <w:rPr>
          <w:rFonts w:ascii="Times New Roman" w:hAnsi="Times New Roman" w:cs="Times New Roman"/>
          <w:b/>
          <w:bCs/>
        </w:rPr>
        <w:t>Use Case C –</w:t>
      </w:r>
      <w:r w:rsidRPr="00255E89">
        <w:rPr>
          <w:rFonts w:ascii="Times New Roman" w:hAnsi="Times New Roman" w:cs="Times New Roman"/>
        </w:rPr>
        <w:t xml:space="preserve"> Delivery-Time Distribution and Route-Risk Prediction</w:t>
      </w:r>
      <w:r w:rsidRPr="00255E89">
        <w:rPr>
          <w:rFonts w:ascii="Times New Roman" w:hAnsi="Times New Roman" w:cs="Times New Roman"/>
        </w:rPr>
        <w:br/>
        <w:t>Predict transit-time distributions and elevated risk of delay for shipments, lanes, and routes. Inputs include historical transit performance, congestion and weather indicators (where available in structured form), carrier assignment, dock and yard conditions, and shipment characteristics. Outputs provide predicted time windows, risk flags, and prioritized exception lists. Value accrues through more accurate customer promises, proactive exception management, reduced failed-delivery costs, and improved overall on-time performance.</w:t>
      </w:r>
    </w:p>
    <w:p w14:paraId="5E0FCAB3" w14:textId="77777777" w:rsidR="00B2154C" w:rsidRDefault="00255E89" w:rsidP="00255E89">
      <w:pPr>
        <w:spacing w:line="360" w:lineRule="auto"/>
        <w:jc w:val="both"/>
        <w:rPr>
          <w:rFonts w:ascii="Times New Roman" w:hAnsi="Times New Roman" w:cs="Times New Roman"/>
        </w:rPr>
      </w:pPr>
      <w:r w:rsidRPr="00B2154C">
        <w:rPr>
          <w:rFonts w:ascii="Times New Roman" w:hAnsi="Times New Roman" w:cs="Times New Roman"/>
          <w:b/>
          <w:bCs/>
        </w:rPr>
        <w:t>Use Case D –</w:t>
      </w:r>
      <w:r w:rsidRPr="00255E89">
        <w:rPr>
          <w:rFonts w:ascii="Times New Roman" w:hAnsi="Times New Roman" w:cs="Times New Roman"/>
        </w:rPr>
        <w:t xml:space="preserve"> Package Quality and Damage Risk Scoring</w:t>
      </w:r>
      <w:r w:rsidRPr="00255E89">
        <w:rPr>
          <w:rFonts w:ascii="Times New Roman" w:hAnsi="Times New Roman" w:cs="Times New Roman"/>
        </w:rPr>
        <w:br/>
        <w:t>Identify elevated probability of damage, shortage, or condition issues before final delivery. Inputs encompass handling path, sortation node conditions, packaging attributes, shipment characteristics, and historical quality outcomes. Outputs include risk scores at shipment or batch level, contribution factors, and recommended handling or inspection actions. Value is realized through reduced claims, lower customer friction, targeted process interventions, and measurable improvement in quality metrics.</w:t>
      </w:r>
    </w:p>
    <w:p w14:paraId="1437115E" w14:textId="77777777" w:rsidR="00B2154C" w:rsidRDefault="00255E89" w:rsidP="00255E89">
      <w:pPr>
        <w:spacing w:line="360" w:lineRule="auto"/>
        <w:jc w:val="both"/>
        <w:rPr>
          <w:rFonts w:ascii="Times New Roman" w:hAnsi="Times New Roman" w:cs="Times New Roman"/>
        </w:rPr>
      </w:pPr>
      <w:r w:rsidRPr="00B2154C">
        <w:rPr>
          <w:rFonts w:ascii="Times New Roman" w:hAnsi="Times New Roman" w:cs="Times New Roman"/>
          <w:b/>
          <w:bCs/>
        </w:rPr>
        <w:t>Use Case E –</w:t>
      </w:r>
      <w:r w:rsidRPr="00255E89">
        <w:rPr>
          <w:rFonts w:ascii="Times New Roman" w:hAnsi="Times New Roman" w:cs="Times New Roman"/>
        </w:rPr>
        <w:t xml:space="preserve"> Dynamic Carrier, Partner, and Network Risk Scoring</w:t>
      </w:r>
      <w:r w:rsidRPr="00255E89">
        <w:rPr>
          <w:rFonts w:ascii="Times New Roman" w:hAnsi="Times New Roman" w:cs="Times New Roman"/>
        </w:rPr>
        <w:br/>
        <w:t xml:space="preserve">Maintain continuously refreshed multi-factor risk scores for critical carriers, service partners, and network nodes. Inputs fuse historical delivery and quality performance with capacity signals, volume adherence, and structured external risk indicators. Outputs consist of risk tiers, </w:t>
      </w:r>
      <w:r w:rsidRPr="00255E89">
        <w:rPr>
          <w:rFonts w:ascii="Times New Roman" w:hAnsi="Times New Roman" w:cs="Times New Roman"/>
        </w:rPr>
        <w:lastRenderedPageBreak/>
        <w:t>trend alerts, and prioritized mitigation recommendations. Value is realized through earlier volume shifts, dual-sourcing decisions, collaborative improvement actions, and reduced frequency and severity of network disruptions.</w:t>
      </w:r>
    </w:p>
    <w:p w14:paraId="1CAA69FA" w14:textId="1EE00BF2"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Each use case will begin with a deliberately constrained scope (selected asset classes, SKU cohorts, lanes, or carrier segments) and will expand only after statistical performance, operational stability, and measured business value have been demonstrated inside the PostgreSQL environment.</w:t>
      </w:r>
    </w:p>
    <w:p w14:paraId="50B0634D"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64052FD2">
          <v:rect id="_x0000_i1031" style="width:0;height:1.5pt" o:hralign="center" o:hrstd="t" o:hrnoshade="t" o:hr="t" fillcolor="black" stroked="f"/>
        </w:pict>
      </w:r>
    </w:p>
    <w:p w14:paraId="14848FC5" w14:textId="77777777" w:rsidR="00B2154C" w:rsidRDefault="00255E89" w:rsidP="00255E89">
      <w:pPr>
        <w:spacing w:line="360" w:lineRule="auto"/>
        <w:jc w:val="both"/>
        <w:rPr>
          <w:rFonts w:ascii="Times New Roman" w:hAnsi="Times New Roman" w:cs="Times New Roman"/>
        </w:rPr>
      </w:pPr>
      <w:r w:rsidRPr="00B2154C">
        <w:rPr>
          <w:rFonts w:ascii="Times New Roman" w:hAnsi="Times New Roman" w:cs="Times New Roman"/>
          <w:b/>
          <w:bCs/>
        </w:rPr>
        <w:t xml:space="preserve">7. Detailed Functional and Non-Functional </w:t>
      </w:r>
      <w:r w:rsidR="00B2154C" w:rsidRPr="00B2154C">
        <w:rPr>
          <w:rFonts w:ascii="Times New Roman" w:hAnsi="Times New Roman" w:cs="Times New Roman"/>
          <w:b/>
          <w:bCs/>
        </w:rPr>
        <w:t>Requirements</w:t>
      </w:r>
      <w:r w:rsidR="00B2154C" w:rsidRPr="00255E89">
        <w:rPr>
          <w:rFonts w:ascii="Times New Roman" w:hAnsi="Times New Roman" w:cs="Times New Roman"/>
        </w:rPr>
        <w:t xml:space="preserve"> </w:t>
      </w:r>
    </w:p>
    <w:p w14:paraId="19DE65C1" w14:textId="6A533D43" w:rsidR="00255E89"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 xml:space="preserve">7.1 Analytical Data Foundation </w:t>
      </w:r>
    </w:p>
    <w:p w14:paraId="03F25C5B" w14:textId="77777777" w:rsidR="00255E89" w:rsidRPr="00255E89" w:rsidRDefault="00255E89" w:rsidP="00255E89">
      <w:pPr>
        <w:numPr>
          <w:ilvl w:val="0"/>
          <w:numId w:val="3"/>
        </w:numPr>
        <w:spacing w:line="360" w:lineRule="auto"/>
        <w:jc w:val="both"/>
        <w:rPr>
          <w:rFonts w:ascii="Times New Roman" w:hAnsi="Times New Roman" w:cs="Times New Roman"/>
        </w:rPr>
      </w:pPr>
      <w:r w:rsidRPr="00255E89">
        <w:rPr>
          <w:rFonts w:ascii="Times New Roman" w:hAnsi="Times New Roman" w:cs="Times New Roman"/>
        </w:rPr>
        <w:t xml:space="preserve">All source data, curated analytical tables, feature tables, model metadata, prediction results, and monitoring statistics must reside exclusively in PostgreSQL. </w:t>
      </w:r>
    </w:p>
    <w:p w14:paraId="03CDCE3A" w14:textId="77777777" w:rsidR="00255E89" w:rsidRPr="00255E89" w:rsidRDefault="00255E89" w:rsidP="00255E89">
      <w:pPr>
        <w:numPr>
          <w:ilvl w:val="0"/>
          <w:numId w:val="3"/>
        </w:numPr>
        <w:spacing w:line="360" w:lineRule="auto"/>
        <w:jc w:val="both"/>
        <w:rPr>
          <w:rFonts w:ascii="Times New Roman" w:hAnsi="Times New Roman" w:cs="Times New Roman"/>
        </w:rPr>
      </w:pPr>
      <w:r w:rsidRPr="00255E89">
        <w:rPr>
          <w:rFonts w:ascii="Times New Roman" w:hAnsi="Times New Roman" w:cs="Times New Roman"/>
        </w:rPr>
        <w:t xml:space="preserve">Robust master-data management for core logistics entities (shipment, vehicle/asset, SKU, location/node, carrier, work </w:t>
      </w:r>
      <w:proofErr w:type="spellStart"/>
      <w:r w:rsidRPr="00255E89">
        <w:rPr>
          <w:rFonts w:ascii="Times New Roman" w:hAnsi="Times New Roman" w:cs="Times New Roman"/>
        </w:rPr>
        <w:t>center</w:t>
      </w:r>
      <w:proofErr w:type="spellEnd"/>
      <w:r w:rsidRPr="00255E89">
        <w:rPr>
          <w:rFonts w:ascii="Times New Roman" w:hAnsi="Times New Roman" w:cs="Times New Roman"/>
        </w:rPr>
        <w:t xml:space="preserve">, route/lane) implemented with standard PostgreSQL constraints, triggers, and reference tables. </w:t>
      </w:r>
    </w:p>
    <w:p w14:paraId="096D3F45" w14:textId="77777777" w:rsidR="00255E89" w:rsidRPr="00255E89" w:rsidRDefault="00255E89" w:rsidP="00255E89">
      <w:pPr>
        <w:numPr>
          <w:ilvl w:val="0"/>
          <w:numId w:val="3"/>
        </w:numPr>
        <w:spacing w:line="360" w:lineRule="auto"/>
        <w:jc w:val="both"/>
        <w:rPr>
          <w:rFonts w:ascii="Times New Roman" w:hAnsi="Times New Roman" w:cs="Times New Roman"/>
        </w:rPr>
      </w:pPr>
      <w:r w:rsidRPr="00255E89">
        <w:rPr>
          <w:rFonts w:ascii="Times New Roman" w:hAnsi="Times New Roman" w:cs="Times New Roman"/>
        </w:rPr>
        <w:t xml:space="preserve">Comprehensive, automated data-quality framework executed entirely via SQL functions, constraints, and scheduled jobs (completeness, validity, consistency, uniqueness, referential integrity), with quarantine tables and notification mechanisms. </w:t>
      </w:r>
    </w:p>
    <w:p w14:paraId="3F20F662" w14:textId="77777777" w:rsidR="00255E89" w:rsidRPr="00255E89" w:rsidRDefault="00255E89" w:rsidP="00255E89">
      <w:pPr>
        <w:numPr>
          <w:ilvl w:val="0"/>
          <w:numId w:val="3"/>
        </w:numPr>
        <w:spacing w:line="360" w:lineRule="auto"/>
        <w:jc w:val="both"/>
        <w:rPr>
          <w:rFonts w:ascii="Times New Roman" w:hAnsi="Times New Roman" w:cs="Times New Roman"/>
        </w:rPr>
      </w:pPr>
      <w:r w:rsidRPr="00255E89">
        <w:rPr>
          <w:rFonts w:ascii="Times New Roman" w:hAnsi="Times New Roman" w:cs="Times New Roman"/>
        </w:rPr>
        <w:t xml:space="preserve">Complete, queryable data lineage captured and stored inside PostgreSQL (source-to-feature-to-prediction) using metadata tables and views. </w:t>
      </w:r>
    </w:p>
    <w:p w14:paraId="6E98EFE8" w14:textId="77777777" w:rsidR="00255E89" w:rsidRPr="00255E89" w:rsidRDefault="00255E89" w:rsidP="00255E89">
      <w:pPr>
        <w:numPr>
          <w:ilvl w:val="0"/>
          <w:numId w:val="3"/>
        </w:numPr>
        <w:spacing w:line="360" w:lineRule="auto"/>
        <w:jc w:val="both"/>
        <w:rPr>
          <w:rFonts w:ascii="Times New Roman" w:hAnsi="Times New Roman" w:cs="Times New Roman"/>
        </w:rPr>
      </w:pPr>
      <w:r w:rsidRPr="00255E89">
        <w:rPr>
          <w:rFonts w:ascii="Times New Roman" w:hAnsi="Times New Roman" w:cs="Times New Roman"/>
        </w:rPr>
        <w:t xml:space="preserve">Multi-year historical depth retained in partitioned PostgreSQL tables optimized for both analytical queries and in-database model training. </w:t>
      </w:r>
    </w:p>
    <w:p w14:paraId="7C387D1B" w14:textId="77777777" w:rsidR="00255E89" w:rsidRPr="00255E89" w:rsidRDefault="00255E89" w:rsidP="00255E89">
      <w:pPr>
        <w:numPr>
          <w:ilvl w:val="0"/>
          <w:numId w:val="3"/>
        </w:numPr>
        <w:spacing w:line="360" w:lineRule="auto"/>
        <w:jc w:val="both"/>
        <w:rPr>
          <w:rFonts w:ascii="Times New Roman" w:hAnsi="Times New Roman" w:cs="Times New Roman"/>
        </w:rPr>
      </w:pPr>
      <w:r w:rsidRPr="00255E89">
        <w:rPr>
          <w:rFonts w:ascii="Times New Roman" w:hAnsi="Times New Roman" w:cs="Times New Roman"/>
        </w:rPr>
        <w:t xml:space="preserve">Performance design supporting concurrent SQL-based feature generation, model training, and batch/near-real-time scoring workloads. </w:t>
      </w:r>
    </w:p>
    <w:p w14:paraId="1E246F52" w14:textId="77777777" w:rsidR="00255E89" w:rsidRPr="00255E89" w:rsidRDefault="00255E89" w:rsidP="00255E89">
      <w:pPr>
        <w:numPr>
          <w:ilvl w:val="0"/>
          <w:numId w:val="3"/>
        </w:numPr>
        <w:spacing w:line="360" w:lineRule="auto"/>
        <w:jc w:val="both"/>
        <w:rPr>
          <w:rFonts w:ascii="Times New Roman" w:hAnsi="Times New Roman" w:cs="Times New Roman"/>
        </w:rPr>
      </w:pPr>
      <w:r w:rsidRPr="00255E89">
        <w:rPr>
          <w:rFonts w:ascii="Times New Roman" w:hAnsi="Times New Roman" w:cs="Times New Roman"/>
        </w:rPr>
        <w:t xml:space="preserve">Fine-grained role-based access control, encryption, and immutable audit logging of all data access and changes using native PostgreSQL capabilities. </w:t>
      </w:r>
    </w:p>
    <w:p w14:paraId="76CF4FAA" w14:textId="77777777" w:rsidR="00255E89" w:rsidRPr="00255E89" w:rsidRDefault="00255E89" w:rsidP="00255E89">
      <w:pPr>
        <w:numPr>
          <w:ilvl w:val="0"/>
          <w:numId w:val="3"/>
        </w:numPr>
        <w:spacing w:line="360" w:lineRule="auto"/>
        <w:jc w:val="both"/>
        <w:rPr>
          <w:rFonts w:ascii="Times New Roman" w:hAnsi="Times New Roman" w:cs="Times New Roman"/>
        </w:rPr>
      </w:pPr>
      <w:r w:rsidRPr="00255E89">
        <w:rPr>
          <w:rFonts w:ascii="Times New Roman" w:hAnsi="Times New Roman" w:cs="Times New Roman"/>
        </w:rPr>
        <w:t>Retention, archival, and legal-hold policies implemented with PostgreSQL partitioning, tablespaces, and scheduled maintenance procedures.</w:t>
      </w:r>
    </w:p>
    <w:p w14:paraId="4C3B7CE4" w14:textId="77777777" w:rsidR="00B2154C" w:rsidRDefault="00B2154C" w:rsidP="00255E89">
      <w:pPr>
        <w:spacing w:line="360" w:lineRule="auto"/>
        <w:jc w:val="both"/>
        <w:rPr>
          <w:rFonts w:ascii="Times New Roman" w:hAnsi="Times New Roman" w:cs="Times New Roman"/>
        </w:rPr>
      </w:pPr>
    </w:p>
    <w:p w14:paraId="0A30136A" w14:textId="00859F3D" w:rsidR="00255E89"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lastRenderedPageBreak/>
        <w:t xml:space="preserve">7.2 In-Database Predictive Model Lifecycle </w:t>
      </w:r>
    </w:p>
    <w:p w14:paraId="71657749"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All model training, validation, deployment, and inference must be performed exclusively inside PostgreSQL using supported extension functions (e.g., </w:t>
      </w:r>
      <w:proofErr w:type="spellStart"/>
      <w:r w:rsidRPr="00255E89">
        <w:rPr>
          <w:rFonts w:ascii="Times New Roman" w:hAnsi="Times New Roman" w:cs="Times New Roman"/>
        </w:rPr>
        <w:t>PostgresML</w:t>
      </w:r>
      <w:proofErr w:type="spellEnd"/>
      <w:r w:rsidRPr="00255E89">
        <w:rPr>
          <w:rFonts w:ascii="Times New Roman" w:hAnsi="Times New Roman" w:cs="Times New Roman"/>
        </w:rPr>
        <w:t xml:space="preserve"> </w:t>
      </w:r>
      <w:proofErr w:type="spellStart"/>
      <w:proofErr w:type="gramStart"/>
      <w:r w:rsidRPr="00255E89">
        <w:rPr>
          <w:rFonts w:ascii="Times New Roman" w:hAnsi="Times New Roman" w:cs="Times New Roman"/>
        </w:rPr>
        <w:t>pgml.train</w:t>
      </w:r>
      <w:proofErr w:type="spellEnd"/>
      <w:proofErr w:type="gramEnd"/>
      <w:r w:rsidRPr="00255E89">
        <w:rPr>
          <w:rFonts w:ascii="Times New Roman" w:hAnsi="Times New Roman" w:cs="Times New Roman"/>
        </w:rPr>
        <w:t xml:space="preserve"> / </w:t>
      </w:r>
      <w:proofErr w:type="spellStart"/>
      <w:proofErr w:type="gramStart"/>
      <w:r w:rsidRPr="00255E89">
        <w:rPr>
          <w:rFonts w:ascii="Times New Roman" w:hAnsi="Times New Roman" w:cs="Times New Roman"/>
        </w:rPr>
        <w:t>pgml.predict</w:t>
      </w:r>
      <w:proofErr w:type="spellEnd"/>
      <w:proofErr w:type="gramEnd"/>
      <w:r w:rsidRPr="00255E89">
        <w:rPr>
          <w:rFonts w:ascii="Times New Roman" w:hAnsi="Times New Roman" w:cs="Times New Roman"/>
        </w:rPr>
        <w:t xml:space="preserve"> family or equivalent </w:t>
      </w:r>
      <w:proofErr w:type="spellStart"/>
      <w:r w:rsidRPr="00255E89">
        <w:rPr>
          <w:rFonts w:ascii="Times New Roman" w:hAnsi="Times New Roman" w:cs="Times New Roman"/>
        </w:rPr>
        <w:t>MADlib</w:t>
      </w:r>
      <w:proofErr w:type="spellEnd"/>
      <w:r w:rsidRPr="00255E89">
        <w:rPr>
          <w:rFonts w:ascii="Times New Roman" w:hAnsi="Times New Roman" w:cs="Times New Roman"/>
        </w:rPr>
        <w:t xml:space="preserve"> functions). No external Python, R, or other ML runtimes are permitted for core model development or scoring. </w:t>
      </w:r>
    </w:p>
    <w:p w14:paraId="5C9E2B0C"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Algorithm selection restricted to those natively supported by the chosen PostgreSQL ML extension(s): primarily gradient-boosted trees (</w:t>
      </w:r>
      <w:proofErr w:type="spellStart"/>
      <w:r w:rsidRPr="00255E89">
        <w:rPr>
          <w:rFonts w:ascii="Times New Roman" w:hAnsi="Times New Roman" w:cs="Times New Roman"/>
        </w:rPr>
        <w:t>XGBoost</w:t>
      </w:r>
      <w:proofErr w:type="spellEnd"/>
      <w:r w:rsidRPr="00255E89">
        <w:rPr>
          <w:rFonts w:ascii="Times New Roman" w:hAnsi="Times New Roman" w:cs="Times New Roman"/>
        </w:rPr>
        <w:t xml:space="preserve">, </w:t>
      </w:r>
      <w:proofErr w:type="spellStart"/>
      <w:r w:rsidRPr="00255E89">
        <w:rPr>
          <w:rFonts w:ascii="Times New Roman" w:hAnsi="Times New Roman" w:cs="Times New Roman"/>
        </w:rPr>
        <w:t>LightGBM</w:t>
      </w:r>
      <w:proofErr w:type="spellEnd"/>
      <w:r w:rsidRPr="00255E89">
        <w:rPr>
          <w:rFonts w:ascii="Times New Roman" w:hAnsi="Times New Roman" w:cs="Times New Roman"/>
        </w:rPr>
        <w:t xml:space="preserve">), linear/logistic regression, regularized linear models, support-vector machines, basic clustering (k-means, DBSCAN), and other classical methods available in the extension. Complex deep-learning architectures, specialized survival/time-to-event libraries, and advanced multivariate time-series frameworks outside extension support are out of scope or must be approximated with supported techniques. </w:t>
      </w:r>
    </w:p>
    <w:p w14:paraId="3AE64B31"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Feature engineering performed predominantly with SQL (window functions, aggregations, joins, CTEs) and any extension-provided preprocessors; results materialized into versioned feature tables inside PostgreSQL. </w:t>
      </w:r>
    </w:p>
    <w:p w14:paraId="2FDF7CDB"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Standardized problem-framing and success-metric definition captured in PostgreSQL metadata tables. Training executed via SQL calls that reference feature tables and produce model artefacts stored inside the database. </w:t>
      </w:r>
    </w:p>
    <w:p w14:paraId="2BC5A02C"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Model validation limited to techniques expressible in SQL or extension functions (hold-out sets, basic cross-validation patterns, temporal splits via date filters). Performance metrics (accuracy, F1, RMSE, R², etc.) calculated and stored in PostgreSQL tables. </w:t>
      </w:r>
    </w:p>
    <w:p w14:paraId="579E7DD1"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Every trained model accompanied by a model-card style record stored as structured data in PostgreSQL (training data summary, hyperparameters, performance metrics, intended use, known limitations, version, training timestamp). </w:t>
      </w:r>
    </w:p>
    <w:p w14:paraId="764D9FDA"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Explainability restricted to outputs natively available from the extension (feature importance, basic contribution scores) or simple SQL-derived approximations; rich external explainability libraries are not used. </w:t>
      </w:r>
    </w:p>
    <w:p w14:paraId="1AFA61BD"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Controlled deployment via extension functions that activate a model version for prediction. All predictions written back into PostgreSQL result tables together with </w:t>
      </w:r>
      <w:r w:rsidRPr="00255E89">
        <w:rPr>
          <w:rFonts w:ascii="Times New Roman" w:hAnsi="Times New Roman" w:cs="Times New Roman"/>
        </w:rPr>
        <w:lastRenderedPageBreak/>
        <w:t xml:space="preserve">model version identifier, key input feature references or values, confidence/probability scores, and available explanation fields. </w:t>
      </w:r>
    </w:p>
    <w:p w14:paraId="128446BC"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Continuous monitoring implemented entirely with SQL: statistical tests or threshold comparisons for data drift, prediction distribution shifts, and basic performance degradation, with results logged to monitoring tables and alerts generated via database jobs or views. </w:t>
      </w:r>
    </w:p>
    <w:p w14:paraId="779A612D"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 xml:space="preserve">Retraining triggered by scheduled SQL jobs or simple threshold-based conditions stored in the database; retraining executes the same SQL-based training functions under change-control metadata. </w:t>
      </w:r>
    </w:p>
    <w:p w14:paraId="788EF51A" w14:textId="77777777" w:rsidR="00255E89" w:rsidRPr="00255E89" w:rsidRDefault="00255E89" w:rsidP="00255E89">
      <w:pPr>
        <w:numPr>
          <w:ilvl w:val="0"/>
          <w:numId w:val="4"/>
        </w:numPr>
        <w:spacing w:line="360" w:lineRule="auto"/>
        <w:jc w:val="both"/>
        <w:rPr>
          <w:rFonts w:ascii="Times New Roman" w:hAnsi="Times New Roman" w:cs="Times New Roman"/>
        </w:rPr>
      </w:pPr>
      <w:r w:rsidRPr="00255E89">
        <w:rPr>
          <w:rFonts w:ascii="Times New Roman" w:hAnsi="Times New Roman" w:cs="Times New Roman"/>
        </w:rPr>
        <w:t>Human review and override of high-impact predictions captured in PostgreSQL tables, with feedback available for subsequent training cycles via SQL.</w:t>
      </w:r>
    </w:p>
    <w:p w14:paraId="1F5DED18" w14:textId="77777777" w:rsidR="00255E89"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 xml:space="preserve">7.3 Decision-Support Environments (Power BI consumption of PostgreSQL artefacts only) </w:t>
      </w:r>
    </w:p>
    <w:p w14:paraId="715D74ED" w14:textId="77777777" w:rsidR="00255E89" w:rsidRPr="00255E89" w:rsidRDefault="00255E89" w:rsidP="00255E89">
      <w:pPr>
        <w:numPr>
          <w:ilvl w:val="0"/>
          <w:numId w:val="5"/>
        </w:numPr>
        <w:spacing w:line="360" w:lineRule="auto"/>
        <w:jc w:val="both"/>
        <w:rPr>
          <w:rFonts w:ascii="Times New Roman" w:hAnsi="Times New Roman" w:cs="Times New Roman"/>
        </w:rPr>
      </w:pPr>
      <w:r w:rsidRPr="00255E89">
        <w:rPr>
          <w:rFonts w:ascii="Times New Roman" w:hAnsi="Times New Roman" w:cs="Times New Roman"/>
        </w:rPr>
        <w:t xml:space="preserve">Role-specific Power BI interfaces (executive leadership, fleet &amp; reliability, warehouse &amp; inventory planning, network &amp; transportation planning, carrier management, customer experience) that connect exclusively to PostgreSQL tables, views, and materialized views containing curated data, features, predictions, explanations, and monitoring results. </w:t>
      </w:r>
    </w:p>
    <w:p w14:paraId="295BA5AE" w14:textId="77777777" w:rsidR="00255E89" w:rsidRPr="00255E89" w:rsidRDefault="00255E89" w:rsidP="00255E89">
      <w:pPr>
        <w:numPr>
          <w:ilvl w:val="0"/>
          <w:numId w:val="5"/>
        </w:numPr>
        <w:spacing w:line="360" w:lineRule="auto"/>
        <w:jc w:val="both"/>
        <w:rPr>
          <w:rFonts w:ascii="Times New Roman" w:hAnsi="Times New Roman" w:cs="Times New Roman"/>
        </w:rPr>
      </w:pPr>
      <w:r w:rsidRPr="00255E89">
        <w:rPr>
          <w:rFonts w:ascii="Times New Roman" w:hAnsi="Times New Roman" w:cs="Times New Roman"/>
        </w:rPr>
        <w:t xml:space="preserve">Clear visual separation of historical facts, current state, and in-database-generated predictive outputs. </w:t>
      </w:r>
    </w:p>
    <w:p w14:paraId="3BEFC82C" w14:textId="77777777" w:rsidR="00255E89" w:rsidRPr="00255E89" w:rsidRDefault="00255E89" w:rsidP="00255E89">
      <w:pPr>
        <w:numPr>
          <w:ilvl w:val="0"/>
          <w:numId w:val="5"/>
        </w:numPr>
        <w:spacing w:line="360" w:lineRule="auto"/>
        <w:jc w:val="both"/>
        <w:rPr>
          <w:rFonts w:ascii="Times New Roman" w:hAnsi="Times New Roman" w:cs="Times New Roman"/>
        </w:rPr>
      </w:pPr>
      <w:r w:rsidRPr="00255E89">
        <w:rPr>
          <w:rFonts w:ascii="Times New Roman" w:hAnsi="Times New Roman" w:cs="Times New Roman"/>
        </w:rPr>
        <w:t xml:space="preserve">Drill-down from aggregate indicators to individual shipment, vehicle/asset, SKU-location, route, or carrier level using relationships defined on PostgreSQL keys. </w:t>
      </w:r>
    </w:p>
    <w:p w14:paraId="78DF1028" w14:textId="77777777" w:rsidR="00255E89" w:rsidRPr="00255E89" w:rsidRDefault="00255E89" w:rsidP="00255E89">
      <w:pPr>
        <w:numPr>
          <w:ilvl w:val="0"/>
          <w:numId w:val="5"/>
        </w:numPr>
        <w:spacing w:line="360" w:lineRule="auto"/>
        <w:jc w:val="both"/>
        <w:rPr>
          <w:rFonts w:ascii="Times New Roman" w:hAnsi="Times New Roman" w:cs="Times New Roman"/>
        </w:rPr>
      </w:pPr>
      <w:r w:rsidRPr="00255E89">
        <w:rPr>
          <w:rFonts w:ascii="Times New Roman" w:hAnsi="Times New Roman" w:cs="Times New Roman"/>
        </w:rPr>
        <w:t xml:space="preserve">Configurable alerting based on thresholds or prediction scores, sourced from PostgreSQL monitoring and prediction tables. </w:t>
      </w:r>
    </w:p>
    <w:p w14:paraId="207BB602" w14:textId="77777777" w:rsidR="00255E89" w:rsidRPr="00255E89" w:rsidRDefault="00255E89" w:rsidP="00255E89">
      <w:pPr>
        <w:numPr>
          <w:ilvl w:val="0"/>
          <w:numId w:val="5"/>
        </w:numPr>
        <w:spacing w:line="360" w:lineRule="auto"/>
        <w:jc w:val="both"/>
        <w:rPr>
          <w:rFonts w:ascii="Times New Roman" w:hAnsi="Times New Roman" w:cs="Times New Roman"/>
        </w:rPr>
      </w:pPr>
      <w:r w:rsidRPr="00255E89">
        <w:rPr>
          <w:rFonts w:ascii="Times New Roman" w:hAnsi="Times New Roman" w:cs="Times New Roman"/>
        </w:rPr>
        <w:t xml:space="preserve">Interactive exploration and scheduled report distribution constrained to the governed PostgreSQL semantic layer exposed to Power BI. </w:t>
      </w:r>
    </w:p>
    <w:p w14:paraId="45023EB9" w14:textId="77777777" w:rsidR="00255E89" w:rsidRPr="00255E89" w:rsidRDefault="00255E89" w:rsidP="00255E89">
      <w:pPr>
        <w:numPr>
          <w:ilvl w:val="0"/>
          <w:numId w:val="5"/>
        </w:numPr>
        <w:spacing w:line="360" w:lineRule="auto"/>
        <w:jc w:val="both"/>
        <w:rPr>
          <w:rFonts w:ascii="Times New Roman" w:hAnsi="Times New Roman" w:cs="Times New Roman"/>
        </w:rPr>
      </w:pPr>
      <w:r w:rsidRPr="00255E89">
        <w:rPr>
          <w:rFonts w:ascii="Times New Roman" w:hAnsi="Times New Roman" w:cs="Times New Roman"/>
        </w:rPr>
        <w:t xml:space="preserve">Mobile-optimized views for selected operational roles, still reading solely from PostgreSQL. </w:t>
      </w:r>
    </w:p>
    <w:p w14:paraId="022D0A70" w14:textId="77777777" w:rsidR="00255E89" w:rsidRPr="00255E89" w:rsidRDefault="00255E89" w:rsidP="00255E89">
      <w:pPr>
        <w:numPr>
          <w:ilvl w:val="0"/>
          <w:numId w:val="5"/>
        </w:numPr>
        <w:spacing w:line="360" w:lineRule="auto"/>
        <w:jc w:val="both"/>
        <w:rPr>
          <w:rFonts w:ascii="Times New Roman" w:hAnsi="Times New Roman" w:cs="Times New Roman"/>
        </w:rPr>
      </w:pPr>
      <w:r w:rsidRPr="00255E89">
        <w:rPr>
          <w:rFonts w:ascii="Times New Roman" w:hAnsi="Times New Roman" w:cs="Times New Roman"/>
        </w:rPr>
        <w:lastRenderedPageBreak/>
        <w:t>User feedback and decision-outcome capture written back (where appropriate) into PostgreSQL tables for closed-loop improvement.</w:t>
      </w:r>
    </w:p>
    <w:p w14:paraId="14F62C41" w14:textId="77777777" w:rsidR="00255E89"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 xml:space="preserve">7.4 Integration, Security, Compliance, and Governance (PostgreSQL-centric) </w:t>
      </w:r>
    </w:p>
    <w:p w14:paraId="430C6A9E" w14:textId="77777777" w:rsidR="00255E89" w:rsidRPr="00255E89" w:rsidRDefault="00255E89" w:rsidP="00255E89">
      <w:pPr>
        <w:numPr>
          <w:ilvl w:val="0"/>
          <w:numId w:val="6"/>
        </w:numPr>
        <w:spacing w:line="360" w:lineRule="auto"/>
        <w:jc w:val="both"/>
        <w:rPr>
          <w:rFonts w:ascii="Times New Roman" w:hAnsi="Times New Roman" w:cs="Times New Roman"/>
        </w:rPr>
      </w:pPr>
      <w:r w:rsidRPr="00255E89">
        <w:rPr>
          <w:rFonts w:ascii="Times New Roman" w:hAnsi="Times New Roman" w:cs="Times New Roman"/>
        </w:rPr>
        <w:t xml:space="preserve">Data ingestion from source systems into PostgreSQL via controlled, auditable processes that preserve operational system integrity; no ML processing occurs outside PostgreSQL. </w:t>
      </w:r>
    </w:p>
    <w:p w14:paraId="4E63184C" w14:textId="77777777" w:rsidR="00255E89" w:rsidRPr="00255E89" w:rsidRDefault="00255E89" w:rsidP="00255E89">
      <w:pPr>
        <w:numPr>
          <w:ilvl w:val="0"/>
          <w:numId w:val="6"/>
        </w:numPr>
        <w:spacing w:line="360" w:lineRule="auto"/>
        <w:jc w:val="both"/>
        <w:rPr>
          <w:rFonts w:ascii="Times New Roman" w:hAnsi="Times New Roman" w:cs="Times New Roman"/>
        </w:rPr>
      </w:pPr>
      <w:r w:rsidRPr="00255E89">
        <w:rPr>
          <w:rFonts w:ascii="Times New Roman" w:hAnsi="Times New Roman" w:cs="Times New Roman"/>
        </w:rPr>
        <w:t xml:space="preserve">Full alignment with applicable logistics, data-protection, cybersecurity, and contractual record-keeping requirements using native PostgreSQL security features and extension controls. </w:t>
      </w:r>
    </w:p>
    <w:p w14:paraId="4AA800D6" w14:textId="77777777" w:rsidR="00255E89" w:rsidRPr="00255E89" w:rsidRDefault="00255E89" w:rsidP="00255E89">
      <w:pPr>
        <w:numPr>
          <w:ilvl w:val="0"/>
          <w:numId w:val="6"/>
        </w:numPr>
        <w:spacing w:line="360" w:lineRule="auto"/>
        <w:jc w:val="both"/>
        <w:rPr>
          <w:rFonts w:ascii="Times New Roman" w:hAnsi="Times New Roman" w:cs="Times New Roman"/>
        </w:rPr>
      </w:pPr>
      <w:r w:rsidRPr="00255E89">
        <w:rPr>
          <w:rFonts w:ascii="Times New Roman" w:hAnsi="Times New Roman" w:cs="Times New Roman"/>
        </w:rPr>
        <w:t xml:space="preserve">Model-risk classification and approval workflow recorded in PostgreSQL metadata tables; higher-risk models subject to additional SQL-based validation checks before activation. </w:t>
      </w:r>
    </w:p>
    <w:p w14:paraId="2A34FACB" w14:textId="77777777" w:rsidR="00255E89" w:rsidRPr="00255E89" w:rsidRDefault="00255E89" w:rsidP="00255E89">
      <w:pPr>
        <w:numPr>
          <w:ilvl w:val="0"/>
          <w:numId w:val="6"/>
        </w:numPr>
        <w:spacing w:line="360" w:lineRule="auto"/>
        <w:jc w:val="both"/>
        <w:rPr>
          <w:rFonts w:ascii="Times New Roman" w:hAnsi="Times New Roman" w:cs="Times New Roman"/>
        </w:rPr>
      </w:pPr>
      <w:r w:rsidRPr="00255E89">
        <w:rPr>
          <w:rFonts w:ascii="Times New Roman" w:hAnsi="Times New Roman" w:cs="Times New Roman"/>
        </w:rPr>
        <w:t xml:space="preserve">All documentation, model cards, lineage, and operational procedures maintained as structured data or version-controlled artefacts linked to the PostgreSQL environment. </w:t>
      </w:r>
    </w:p>
    <w:p w14:paraId="4D860A8C" w14:textId="77777777" w:rsidR="00255E89" w:rsidRPr="00255E89" w:rsidRDefault="00255E89" w:rsidP="00255E89">
      <w:pPr>
        <w:numPr>
          <w:ilvl w:val="0"/>
          <w:numId w:val="6"/>
        </w:numPr>
        <w:spacing w:line="360" w:lineRule="auto"/>
        <w:jc w:val="both"/>
        <w:rPr>
          <w:rFonts w:ascii="Times New Roman" w:hAnsi="Times New Roman" w:cs="Times New Roman"/>
        </w:rPr>
      </w:pPr>
      <w:r w:rsidRPr="00255E89">
        <w:rPr>
          <w:rFonts w:ascii="Times New Roman" w:hAnsi="Times New Roman" w:cs="Times New Roman"/>
        </w:rPr>
        <w:t>Clear named ownership of data products, feature tables, models, and prediction result sets enforced through PostgreSQL roles and metadata.</w:t>
      </w:r>
    </w:p>
    <w:p w14:paraId="2A4F7DAB" w14:textId="77877C43" w:rsidR="00255E89"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7.5 Non-Functional Requirements</w:t>
      </w:r>
    </w:p>
    <w:p w14:paraId="4694D6AC" w14:textId="77777777" w:rsidR="00255E89" w:rsidRPr="00255E89" w:rsidRDefault="00255E89" w:rsidP="00255E89">
      <w:pPr>
        <w:numPr>
          <w:ilvl w:val="0"/>
          <w:numId w:val="7"/>
        </w:numPr>
        <w:spacing w:line="360" w:lineRule="auto"/>
        <w:jc w:val="both"/>
        <w:rPr>
          <w:rFonts w:ascii="Times New Roman" w:hAnsi="Times New Roman" w:cs="Times New Roman"/>
        </w:rPr>
      </w:pPr>
      <w:r w:rsidRPr="00255E89">
        <w:rPr>
          <w:rFonts w:ascii="Times New Roman" w:hAnsi="Times New Roman" w:cs="Times New Roman"/>
        </w:rPr>
        <w:t xml:space="preserve">Interactive Power BI response times and batch scoring windows must meet agreed service levels when querying PostgreSQL tables under expected concurrent load. </w:t>
      </w:r>
    </w:p>
    <w:p w14:paraId="56FC5E3F" w14:textId="77777777" w:rsidR="00255E89" w:rsidRPr="00255E89" w:rsidRDefault="00255E89" w:rsidP="00255E89">
      <w:pPr>
        <w:numPr>
          <w:ilvl w:val="0"/>
          <w:numId w:val="7"/>
        </w:numPr>
        <w:spacing w:line="360" w:lineRule="auto"/>
        <w:jc w:val="both"/>
        <w:rPr>
          <w:rFonts w:ascii="Times New Roman" w:hAnsi="Times New Roman" w:cs="Times New Roman"/>
        </w:rPr>
      </w:pPr>
      <w:r w:rsidRPr="00255E89">
        <w:rPr>
          <w:rFonts w:ascii="Times New Roman" w:hAnsi="Times New Roman" w:cs="Times New Roman"/>
        </w:rPr>
        <w:t xml:space="preserve">Architecture must accommodate multi-year growth in data volume and number of in-database models using PostgreSQL partitioning, indexing, and extension scalability features. </w:t>
      </w:r>
    </w:p>
    <w:p w14:paraId="2AB887F5" w14:textId="77777777" w:rsidR="00255E89" w:rsidRPr="00255E89" w:rsidRDefault="00255E89" w:rsidP="00255E89">
      <w:pPr>
        <w:numPr>
          <w:ilvl w:val="0"/>
          <w:numId w:val="7"/>
        </w:numPr>
        <w:spacing w:line="360" w:lineRule="auto"/>
        <w:jc w:val="both"/>
        <w:rPr>
          <w:rFonts w:ascii="Times New Roman" w:hAnsi="Times New Roman" w:cs="Times New Roman"/>
        </w:rPr>
      </w:pPr>
      <w:r w:rsidRPr="00255E89">
        <w:rPr>
          <w:rFonts w:ascii="Times New Roman" w:hAnsi="Times New Roman" w:cs="Times New Roman"/>
        </w:rPr>
        <w:t xml:space="preserve">High availability for scoring and decision-support components provided by standard PostgreSQL high-availability configurations. </w:t>
      </w:r>
    </w:p>
    <w:p w14:paraId="04447928" w14:textId="77777777" w:rsidR="00255E89" w:rsidRPr="00255E89" w:rsidRDefault="00255E89" w:rsidP="00255E89">
      <w:pPr>
        <w:numPr>
          <w:ilvl w:val="0"/>
          <w:numId w:val="7"/>
        </w:numPr>
        <w:spacing w:line="360" w:lineRule="auto"/>
        <w:jc w:val="both"/>
        <w:rPr>
          <w:rFonts w:ascii="Times New Roman" w:hAnsi="Times New Roman" w:cs="Times New Roman"/>
        </w:rPr>
      </w:pPr>
      <w:r w:rsidRPr="00255E89">
        <w:rPr>
          <w:rFonts w:ascii="Times New Roman" w:hAnsi="Times New Roman" w:cs="Times New Roman"/>
        </w:rPr>
        <w:t xml:space="preserve">Backup, recovery, and business-continuity procedures cover both operational data and in-database model artefacts. </w:t>
      </w:r>
    </w:p>
    <w:p w14:paraId="51E89B05" w14:textId="77777777" w:rsidR="00255E89" w:rsidRPr="00255E89" w:rsidRDefault="00255E89" w:rsidP="00255E89">
      <w:pPr>
        <w:numPr>
          <w:ilvl w:val="0"/>
          <w:numId w:val="7"/>
        </w:numPr>
        <w:spacing w:line="360" w:lineRule="auto"/>
        <w:jc w:val="both"/>
        <w:rPr>
          <w:rFonts w:ascii="Times New Roman" w:hAnsi="Times New Roman" w:cs="Times New Roman"/>
        </w:rPr>
      </w:pPr>
      <w:r w:rsidRPr="00255E89">
        <w:rPr>
          <w:rFonts w:ascii="Times New Roman" w:hAnsi="Times New Roman" w:cs="Times New Roman"/>
        </w:rPr>
        <w:t xml:space="preserve">Design remains modular within PostgreSQL (separate schemas for raw, curated, features, models, predictions, monitoring) with comprehensive SQL-based operational runbooks. </w:t>
      </w:r>
    </w:p>
    <w:p w14:paraId="638FDE17" w14:textId="77777777" w:rsidR="00255E89" w:rsidRPr="00255E89" w:rsidRDefault="00255E89" w:rsidP="00255E89">
      <w:pPr>
        <w:numPr>
          <w:ilvl w:val="0"/>
          <w:numId w:val="7"/>
        </w:numPr>
        <w:spacing w:line="360" w:lineRule="auto"/>
        <w:jc w:val="both"/>
        <w:rPr>
          <w:rFonts w:ascii="Times New Roman" w:hAnsi="Times New Roman" w:cs="Times New Roman"/>
        </w:rPr>
      </w:pPr>
      <w:r w:rsidRPr="00255E89">
        <w:rPr>
          <w:rFonts w:ascii="Times New Roman" w:hAnsi="Times New Roman" w:cs="Times New Roman"/>
        </w:rPr>
        <w:lastRenderedPageBreak/>
        <w:t>Usability of Power BI interfaces validated with representative users; all underlying logic and data remain inside PostgreSQL.</w:t>
      </w:r>
    </w:p>
    <w:p w14:paraId="2147F8F1"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3608857F">
          <v:rect id="_x0000_i1032" style="width:0;height:1.5pt" o:hralign="center" o:hrstd="t" o:hrnoshade="t" o:hr="t" fillcolor="black" stroked="f"/>
        </w:pict>
      </w:r>
    </w:p>
    <w:p w14:paraId="6125EE32" w14:textId="77777777" w:rsidR="00255E89"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8. Expected Deliverables and Explicit Acceptance Criteria</w:t>
      </w:r>
    </w:p>
    <w:p w14:paraId="072FDA4C"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t xml:space="preserve">Approved Strategic and Architectural Blueprint covering data, analytics, security, integration, operating model, and compliance views, formally accepted by the Steering Committee. </w:t>
      </w:r>
    </w:p>
    <w:p w14:paraId="51D638D3"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t xml:space="preserve">Production-grade analytical data environment in PostgreSQL with all priority subject areas populated, meeting pre-agreed data-quality thresholds and providing complete lineage coverage. </w:t>
      </w:r>
    </w:p>
    <w:p w14:paraId="224EDEBB"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t xml:space="preserve">Operational, fully monitored data pipelines for every priority source system into PostgreSQL, complete with runbooks and alerting. </w:t>
      </w:r>
    </w:p>
    <w:p w14:paraId="46C36AE0"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t xml:space="preserve">Validated predictive models for the initial use cases, each accompanied by a complete model-card record stored in PostgreSQL, production scoring pipeline, and monitoring configuration. Acceptance requires simultaneous satisfaction of pre-defined statistical performance thresholds and measurable business-impact criteria on unseen production data. </w:t>
      </w:r>
    </w:p>
    <w:p w14:paraId="51E7DD07"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t xml:space="preserve">Production Power BI decision-support environments for all defined personas, secured according to the access matrix, equipped with alerting, and accompanied by user documentation; formal user-acceptance testing sign-off required from each persona group. </w:t>
      </w:r>
    </w:p>
    <w:p w14:paraId="47174496"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t xml:space="preserve">Model-operations framework comprising a model registry, SQL-based monitoring, drift-response procedures, and controlled retraining protocols, all inside PostgreSQL. </w:t>
      </w:r>
    </w:p>
    <w:p w14:paraId="62AF0FAC"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t xml:space="preserve">Complete governance and knowledge-transfer package including data dictionary, full lineage documentation, model documentation, operational runbooks, training materials, and recorded knowledge-transfer sessions. </w:t>
      </w:r>
    </w:p>
    <w:p w14:paraId="70F929E0"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t xml:space="preserve">Benefits baseline report, pilot-value assessment, and updated benefits-realization plan with named owners. </w:t>
      </w:r>
    </w:p>
    <w:p w14:paraId="21C861E6" w14:textId="77777777" w:rsidR="00255E89" w:rsidRPr="00255E89" w:rsidRDefault="00255E89" w:rsidP="00255E89">
      <w:pPr>
        <w:numPr>
          <w:ilvl w:val="0"/>
          <w:numId w:val="8"/>
        </w:numPr>
        <w:spacing w:line="360" w:lineRule="auto"/>
        <w:jc w:val="both"/>
        <w:rPr>
          <w:rFonts w:ascii="Times New Roman" w:hAnsi="Times New Roman" w:cs="Times New Roman"/>
        </w:rPr>
      </w:pPr>
      <w:r w:rsidRPr="00255E89">
        <w:rPr>
          <w:rFonts w:ascii="Times New Roman" w:hAnsi="Times New Roman" w:cs="Times New Roman"/>
        </w:rPr>
        <w:lastRenderedPageBreak/>
        <w:t>Configuration-controlled repository containing all SQL artefacts, metadata definitions, documentation, decision records, and audit artifacts.</w:t>
      </w:r>
    </w:p>
    <w:p w14:paraId="1F608135" w14:textId="77777777"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Every deliverable carries written entry criteria, quality gates, required evidence, and named business and technical acceptors.</w:t>
      </w:r>
    </w:p>
    <w:p w14:paraId="5449A120"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7FF63CCA">
          <v:rect id="_x0000_i1033" style="width:0;height:1.5pt" o:hralign="center" o:hrstd="t" o:hrnoshade="t" o:hr="t" fillcolor="black" stroked="f"/>
        </w:pict>
      </w:r>
    </w:p>
    <w:p w14:paraId="3E6AAC64" w14:textId="77777777" w:rsidR="00B2154C"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9. Benefits-Realization Framework, Value Levers, and Financial Perspective</w:t>
      </w:r>
    </w:p>
    <w:p w14:paraId="27B71E6B" w14:textId="23B6FF3E"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A formal benefits-realization plan will assign executive ownership for each major value lever, establish quantitative baselines before any pilot deployment, define measurement frequency and methodology, and explicitly link realized value to stage-gate continuation decisions. The primary value levers are:</w:t>
      </w:r>
    </w:p>
    <w:p w14:paraId="3716C7E3" w14:textId="77777777" w:rsidR="00255E89" w:rsidRPr="00255E89" w:rsidRDefault="00255E89" w:rsidP="00255E89">
      <w:pPr>
        <w:numPr>
          <w:ilvl w:val="0"/>
          <w:numId w:val="9"/>
        </w:numPr>
        <w:spacing w:line="360" w:lineRule="auto"/>
        <w:jc w:val="both"/>
        <w:rPr>
          <w:rFonts w:ascii="Times New Roman" w:hAnsi="Times New Roman" w:cs="Times New Roman"/>
        </w:rPr>
      </w:pPr>
      <w:r w:rsidRPr="00255E89">
        <w:rPr>
          <w:rFonts w:ascii="Times New Roman" w:hAnsi="Times New Roman" w:cs="Times New Roman"/>
        </w:rPr>
        <w:t xml:space="preserve">Reduction in the frequency and duration of high-impact unplanned fleet, trailer, and equipment downtime events, together with associated repair, recovery, and schedule-disruption costs. </w:t>
      </w:r>
    </w:p>
    <w:p w14:paraId="7FFF2135" w14:textId="77777777" w:rsidR="00255E89" w:rsidRPr="00255E89" w:rsidRDefault="00255E89" w:rsidP="00255E89">
      <w:pPr>
        <w:numPr>
          <w:ilvl w:val="0"/>
          <w:numId w:val="9"/>
        </w:numPr>
        <w:spacing w:line="360" w:lineRule="auto"/>
        <w:jc w:val="both"/>
        <w:rPr>
          <w:rFonts w:ascii="Times New Roman" w:hAnsi="Times New Roman" w:cs="Times New Roman"/>
        </w:rPr>
      </w:pPr>
      <w:r w:rsidRPr="00255E89">
        <w:rPr>
          <w:rFonts w:ascii="Times New Roman" w:hAnsi="Times New Roman" w:cs="Times New Roman"/>
        </w:rPr>
        <w:t xml:space="preserve">Simultaneous improvement in inventory service levels and reduction in aggregate inventory investment, expediting expense, and obsolescence across the multi-echelon network. </w:t>
      </w:r>
    </w:p>
    <w:p w14:paraId="79A9F4F9" w14:textId="77777777" w:rsidR="00255E89" w:rsidRPr="00255E89" w:rsidRDefault="00255E89" w:rsidP="00255E89">
      <w:pPr>
        <w:numPr>
          <w:ilvl w:val="0"/>
          <w:numId w:val="9"/>
        </w:numPr>
        <w:spacing w:line="360" w:lineRule="auto"/>
        <w:jc w:val="both"/>
        <w:rPr>
          <w:rFonts w:ascii="Times New Roman" w:hAnsi="Times New Roman" w:cs="Times New Roman"/>
        </w:rPr>
      </w:pPr>
      <w:r w:rsidRPr="00255E89">
        <w:rPr>
          <w:rFonts w:ascii="Times New Roman" w:hAnsi="Times New Roman" w:cs="Times New Roman"/>
        </w:rPr>
        <w:t xml:space="preserve">Improvement in on-time delivery performance and reduction in exception-handling and failed-delivery costs. </w:t>
      </w:r>
    </w:p>
    <w:p w14:paraId="0827E514" w14:textId="77777777" w:rsidR="00255E89" w:rsidRPr="00255E89" w:rsidRDefault="00255E89" w:rsidP="00255E89">
      <w:pPr>
        <w:numPr>
          <w:ilvl w:val="0"/>
          <w:numId w:val="9"/>
        </w:numPr>
        <w:spacing w:line="360" w:lineRule="auto"/>
        <w:jc w:val="both"/>
        <w:rPr>
          <w:rFonts w:ascii="Times New Roman" w:hAnsi="Times New Roman" w:cs="Times New Roman"/>
        </w:rPr>
      </w:pPr>
      <w:r w:rsidRPr="00255E89">
        <w:rPr>
          <w:rFonts w:ascii="Times New Roman" w:hAnsi="Times New Roman" w:cs="Times New Roman"/>
        </w:rPr>
        <w:t xml:space="preserve">Reduction in package damage, shortage, and quality-related claims costs through earlier risk detection. </w:t>
      </w:r>
    </w:p>
    <w:p w14:paraId="7D8BE40A" w14:textId="77777777" w:rsidR="00255E89" w:rsidRPr="00255E89" w:rsidRDefault="00255E89" w:rsidP="00255E89">
      <w:pPr>
        <w:numPr>
          <w:ilvl w:val="0"/>
          <w:numId w:val="9"/>
        </w:numPr>
        <w:spacing w:line="360" w:lineRule="auto"/>
        <w:jc w:val="both"/>
        <w:rPr>
          <w:rFonts w:ascii="Times New Roman" w:hAnsi="Times New Roman" w:cs="Times New Roman"/>
        </w:rPr>
      </w:pPr>
      <w:r w:rsidRPr="00255E89">
        <w:rPr>
          <w:rFonts w:ascii="Times New Roman" w:hAnsi="Times New Roman" w:cs="Times New Roman"/>
        </w:rPr>
        <w:t xml:space="preserve">Earlier carrier and network risk mitigation leading to fewer and less severe disruptions. </w:t>
      </w:r>
    </w:p>
    <w:p w14:paraId="7AB8412D" w14:textId="77777777" w:rsidR="00255E89" w:rsidRPr="00255E89" w:rsidRDefault="00255E89" w:rsidP="00255E89">
      <w:pPr>
        <w:numPr>
          <w:ilvl w:val="0"/>
          <w:numId w:val="9"/>
        </w:numPr>
        <w:spacing w:line="360" w:lineRule="auto"/>
        <w:jc w:val="both"/>
        <w:rPr>
          <w:rFonts w:ascii="Times New Roman" w:hAnsi="Times New Roman" w:cs="Times New Roman"/>
        </w:rPr>
      </w:pPr>
      <w:r w:rsidRPr="00255E89">
        <w:rPr>
          <w:rFonts w:ascii="Times New Roman" w:hAnsi="Times New Roman" w:cs="Times New Roman"/>
        </w:rPr>
        <w:t xml:space="preserve">Productivity gains arising from substantially reduced time spent by planners, analysts, and reliability engineers on data acquisition and manual reconciliation. </w:t>
      </w:r>
    </w:p>
    <w:p w14:paraId="09A94AC5" w14:textId="77777777" w:rsidR="00255E89" w:rsidRPr="00255E89" w:rsidRDefault="00255E89" w:rsidP="00255E89">
      <w:pPr>
        <w:numPr>
          <w:ilvl w:val="0"/>
          <w:numId w:val="9"/>
        </w:numPr>
        <w:spacing w:line="360" w:lineRule="auto"/>
        <w:jc w:val="both"/>
        <w:rPr>
          <w:rFonts w:ascii="Times New Roman" w:hAnsi="Times New Roman" w:cs="Times New Roman"/>
        </w:rPr>
      </w:pPr>
      <w:r w:rsidRPr="00255E89">
        <w:rPr>
          <w:rFonts w:ascii="Times New Roman" w:hAnsi="Times New Roman" w:cs="Times New Roman"/>
        </w:rPr>
        <w:t>Secondary and longer-term benefits in customer satisfaction and retention, competitiveness of service-level agreements, audit efficiency, and organizational decision speed.</w:t>
      </w:r>
    </w:p>
    <w:p w14:paraId="3EA61EF0" w14:textId="77777777"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Financial projections will be maintained on a deliberately conservative basis and will be updated at each stage gate with actual pilot measurements. Sensitivity analyses will examine the effects of slower adoption, lower-than-expected model lift, and adverse external market </w:t>
      </w:r>
      <w:r w:rsidRPr="00255E89">
        <w:rPr>
          <w:rFonts w:ascii="Times New Roman" w:hAnsi="Times New Roman" w:cs="Times New Roman"/>
        </w:rPr>
        <w:lastRenderedPageBreak/>
        <w:t>conditions. A clear distinction will be maintained between leading indicators (data quality, model performance inside PostgreSQL, user adoption) and lagging financial and operational outcomes.</w:t>
      </w:r>
    </w:p>
    <w:p w14:paraId="05FDBFF2"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2487018D">
          <v:rect id="_x0000_i1034" style="width:0;height:1.5pt" o:hralign="center" o:hrstd="t" o:hrnoshade="t" o:hr="t" fillcolor="black" stroked="f"/>
        </w:pict>
      </w:r>
    </w:p>
    <w:p w14:paraId="2938D542" w14:textId="77777777" w:rsidR="00B2154C"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10. Multi-Phase Implementation Roadmap and Stage-Gate Discipline</w:t>
      </w:r>
    </w:p>
    <w:p w14:paraId="0BA89FCA" w14:textId="5F06BBC8" w:rsidR="00B2154C" w:rsidRPr="00B2154C" w:rsidRDefault="00255E89" w:rsidP="00B2154C">
      <w:pPr>
        <w:spacing w:line="360" w:lineRule="auto"/>
        <w:rPr>
          <w:rFonts w:ascii="Times New Roman" w:hAnsi="Times New Roman" w:cs="Times New Roman"/>
          <w:b/>
          <w:bCs/>
        </w:rPr>
      </w:pPr>
      <w:r w:rsidRPr="00B2154C">
        <w:rPr>
          <w:rFonts w:ascii="Times New Roman" w:hAnsi="Times New Roman" w:cs="Times New Roman"/>
          <w:b/>
          <w:bCs/>
        </w:rPr>
        <w:t>Phase 0 – Mobilization and Detailed Design (target 3–4 months)</w:t>
      </w:r>
    </w:p>
    <w:p w14:paraId="71AD0EB7" w14:textId="77777777" w:rsidR="00B2154C" w:rsidRDefault="00255E89" w:rsidP="00255E89">
      <w:pPr>
        <w:spacing w:line="360" w:lineRule="auto"/>
        <w:jc w:val="both"/>
        <w:rPr>
          <w:rFonts w:ascii="Times New Roman" w:hAnsi="Times New Roman" w:cs="Times New Roman"/>
        </w:rPr>
      </w:pPr>
      <w:r w:rsidRPr="00255E89">
        <w:rPr>
          <w:rFonts w:ascii="Times New Roman" w:hAnsi="Times New Roman" w:cs="Times New Roman"/>
        </w:rPr>
        <w:t>Detailed requirements elaboration with all stakeholder groups, comprehensive source-system data profiling and accessibility assessment, finalization of architecture and security design within the pure PostgreSQL constraint, assembly and onboarding of the core program team, lock-down of success metrics and benefits baselines, and completion of the initial detailed risk-mitigation plan. Exit criteria include Steering Committee approval of the detailed design package and confirmation of resource availability for Phase 1.</w:t>
      </w:r>
    </w:p>
    <w:p w14:paraId="6D485A03" w14:textId="0BB20CA5" w:rsidR="00B2154C" w:rsidRPr="00B2154C" w:rsidRDefault="00255E89" w:rsidP="00B2154C">
      <w:pPr>
        <w:spacing w:line="360" w:lineRule="auto"/>
        <w:rPr>
          <w:rFonts w:ascii="Times New Roman" w:hAnsi="Times New Roman" w:cs="Times New Roman"/>
          <w:b/>
          <w:bCs/>
        </w:rPr>
      </w:pPr>
      <w:r w:rsidRPr="00B2154C">
        <w:rPr>
          <w:rFonts w:ascii="Times New Roman" w:hAnsi="Times New Roman" w:cs="Times New Roman"/>
          <w:b/>
          <w:bCs/>
        </w:rPr>
        <w:t>Phase 1 – Foundation and First Measured Value (target 7–9 months)</w:t>
      </w:r>
    </w:p>
    <w:p w14:paraId="1BB8DD7A" w14:textId="77777777" w:rsidR="00B2154C" w:rsidRDefault="00255E89" w:rsidP="00255E89">
      <w:pPr>
        <w:spacing w:line="360" w:lineRule="auto"/>
        <w:jc w:val="both"/>
        <w:rPr>
          <w:rFonts w:ascii="Times New Roman" w:hAnsi="Times New Roman" w:cs="Times New Roman"/>
        </w:rPr>
      </w:pPr>
      <w:r w:rsidRPr="00255E89">
        <w:rPr>
          <w:rFonts w:ascii="Times New Roman" w:hAnsi="Times New Roman" w:cs="Times New Roman"/>
        </w:rPr>
        <w:t>Build-out of the analytical data environment in PostgreSQL, implementation of core data pipelines and the data-quality framework, delivery of an initial Power BI decision-support shell, and execution of limited-scope pilots of at least two priority use cases with rigorous before-and-after measurement. Exit criteria include achievement of pre-agreed data-quality scores, successful pilot statistical and business-impact thresholds, and updated benefits and risk assessments.</w:t>
      </w:r>
    </w:p>
    <w:p w14:paraId="3289C5EF" w14:textId="6A7B41F4" w:rsidR="00B2154C" w:rsidRPr="00B2154C" w:rsidRDefault="00255E89" w:rsidP="00B2154C">
      <w:pPr>
        <w:spacing w:line="360" w:lineRule="auto"/>
        <w:rPr>
          <w:rFonts w:ascii="Times New Roman" w:hAnsi="Times New Roman" w:cs="Times New Roman"/>
          <w:b/>
          <w:bCs/>
        </w:rPr>
      </w:pPr>
      <w:r w:rsidRPr="00B2154C">
        <w:rPr>
          <w:rFonts w:ascii="Times New Roman" w:hAnsi="Times New Roman" w:cs="Times New Roman"/>
          <w:b/>
          <w:bCs/>
        </w:rPr>
        <w:t>Phase 2 – Industrialization and Controlled Expansion (target 10–14 months)</w:t>
      </w:r>
    </w:p>
    <w:p w14:paraId="7093A62A" w14:textId="77777777" w:rsidR="00B2154C" w:rsidRDefault="00255E89" w:rsidP="00255E89">
      <w:pPr>
        <w:spacing w:line="360" w:lineRule="auto"/>
        <w:jc w:val="both"/>
        <w:rPr>
          <w:rFonts w:ascii="Times New Roman" w:hAnsi="Times New Roman" w:cs="Times New Roman"/>
        </w:rPr>
      </w:pPr>
      <w:r w:rsidRPr="00255E89">
        <w:rPr>
          <w:rFonts w:ascii="Times New Roman" w:hAnsi="Times New Roman" w:cs="Times New Roman"/>
        </w:rPr>
        <w:t>Full production deployment of the initial use cases, expansion of Power BI decision environments to all target personas, embedding of insights into operational processes, continuous benefits tracking, and preparation of the next wave of use cases. Exit criteria include sustained model performance in production, demonstrated user adoption, measured realization of a material portion of projected benefits, and readiness for transition toward a product operating model.</w:t>
      </w:r>
    </w:p>
    <w:p w14:paraId="0AF8157C" w14:textId="6A5CFD9A" w:rsidR="00B2154C" w:rsidRPr="00B2154C" w:rsidRDefault="00255E89" w:rsidP="00B2154C">
      <w:pPr>
        <w:spacing w:line="360" w:lineRule="auto"/>
        <w:rPr>
          <w:rFonts w:ascii="Times New Roman" w:hAnsi="Times New Roman" w:cs="Times New Roman"/>
          <w:b/>
          <w:bCs/>
        </w:rPr>
      </w:pPr>
      <w:r w:rsidRPr="00B2154C">
        <w:rPr>
          <w:rFonts w:ascii="Times New Roman" w:hAnsi="Times New Roman" w:cs="Times New Roman"/>
          <w:b/>
          <w:bCs/>
        </w:rPr>
        <w:t>Phase 3 – Scale, Optimize, and Institutionalize (ongoing)</w:t>
      </w:r>
    </w:p>
    <w:p w14:paraId="3BE0AFC8" w14:textId="77777777" w:rsidR="00B2154C" w:rsidRDefault="00255E89" w:rsidP="00255E89">
      <w:pPr>
        <w:spacing w:line="360" w:lineRule="auto"/>
        <w:jc w:val="both"/>
        <w:rPr>
          <w:rFonts w:ascii="Times New Roman" w:hAnsi="Times New Roman" w:cs="Times New Roman"/>
        </w:rPr>
      </w:pPr>
      <w:r w:rsidRPr="00255E89">
        <w:rPr>
          <w:rFonts w:ascii="Times New Roman" w:hAnsi="Times New Roman" w:cs="Times New Roman"/>
        </w:rPr>
        <w:t>Broadening of the use-case portfolio, increased automation of monitoring and retraining under strict governance, controlled expansion of self-service capabilities within Power BI, and formal handover to sustained product ownership with multi-year funding.</w:t>
      </w:r>
    </w:p>
    <w:p w14:paraId="72B969D2" w14:textId="0C79E8B2"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lastRenderedPageBreak/>
        <w:t>Progression between phases is strictly controlled by stage-gate reviews that examine technical health, measured value, residual risk, resource adequacy, and continued strategic alignment.</w:t>
      </w:r>
    </w:p>
    <w:p w14:paraId="4E1DA55C"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6A5354EA">
          <v:rect id="_x0000_i1035" style="width:0;height:1.5pt" o:hralign="center" o:hrstd="t" o:hrnoshade="t" o:hr="t" fillcolor="black" stroked="f"/>
        </w:pict>
      </w:r>
    </w:p>
    <w:p w14:paraId="4C4555FD" w14:textId="77777777" w:rsidR="00B2154C"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11. Expanded Risk Register – Summary of Major Categories</w:t>
      </w:r>
    </w:p>
    <w:p w14:paraId="625D8EDD" w14:textId="35C4718F"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Major risk categories and illustrative mitigation approaches include:</w:t>
      </w:r>
    </w:p>
    <w:p w14:paraId="3A3EA953" w14:textId="77777777" w:rsidR="00255E89" w:rsidRPr="00255E89" w:rsidRDefault="00255E89" w:rsidP="00255E89">
      <w:pPr>
        <w:numPr>
          <w:ilvl w:val="0"/>
          <w:numId w:val="10"/>
        </w:numPr>
        <w:spacing w:line="360" w:lineRule="auto"/>
        <w:jc w:val="both"/>
        <w:rPr>
          <w:rFonts w:ascii="Times New Roman" w:hAnsi="Times New Roman" w:cs="Times New Roman"/>
        </w:rPr>
      </w:pPr>
      <w:r w:rsidRPr="00255E89">
        <w:rPr>
          <w:rFonts w:ascii="Times New Roman" w:hAnsi="Times New Roman" w:cs="Times New Roman"/>
        </w:rPr>
        <w:t xml:space="preserve">Data accessibility, quality, or historical-depth shortfalls → early comprehensive data profiling, executive escalation paths for source-system cooperation, and phased scope adjustment. </w:t>
      </w:r>
    </w:p>
    <w:p w14:paraId="10F2A45B" w14:textId="77777777" w:rsidR="00255E89" w:rsidRPr="00255E89" w:rsidRDefault="00255E89" w:rsidP="00255E89">
      <w:pPr>
        <w:numPr>
          <w:ilvl w:val="0"/>
          <w:numId w:val="10"/>
        </w:numPr>
        <w:spacing w:line="360" w:lineRule="auto"/>
        <w:jc w:val="both"/>
        <w:rPr>
          <w:rFonts w:ascii="Times New Roman" w:hAnsi="Times New Roman" w:cs="Times New Roman"/>
        </w:rPr>
      </w:pPr>
      <w:r w:rsidRPr="00255E89">
        <w:rPr>
          <w:rFonts w:ascii="Times New Roman" w:hAnsi="Times New Roman" w:cs="Times New Roman"/>
        </w:rPr>
        <w:t xml:space="preserve">Model performance that meets offline validation but degrades in production → rigorous temporal and group-aware validation expressible in SQL, continuous drift monitoring via SQL statistics, and human-in-the-loop overrides. </w:t>
      </w:r>
    </w:p>
    <w:p w14:paraId="4797EA4F" w14:textId="77777777" w:rsidR="00255E89" w:rsidRPr="00255E89" w:rsidRDefault="00255E89" w:rsidP="00255E89">
      <w:pPr>
        <w:numPr>
          <w:ilvl w:val="0"/>
          <w:numId w:val="10"/>
        </w:numPr>
        <w:spacing w:line="360" w:lineRule="auto"/>
        <w:jc w:val="both"/>
        <w:rPr>
          <w:rFonts w:ascii="Times New Roman" w:hAnsi="Times New Roman" w:cs="Times New Roman"/>
        </w:rPr>
      </w:pPr>
      <w:r w:rsidRPr="00255E89">
        <w:rPr>
          <w:rFonts w:ascii="Times New Roman" w:hAnsi="Times New Roman" w:cs="Times New Roman"/>
        </w:rPr>
        <w:t xml:space="preserve">Limitations of supported in-database algorithms relative to more advanced external methods → realistic scoping of use cases to techniques available in the chosen PostgreSQL extensions and clear communication of approximation boundaries. </w:t>
      </w:r>
    </w:p>
    <w:p w14:paraId="2A04BBD5" w14:textId="77777777" w:rsidR="00255E89" w:rsidRPr="00255E89" w:rsidRDefault="00255E89" w:rsidP="00255E89">
      <w:pPr>
        <w:numPr>
          <w:ilvl w:val="0"/>
          <w:numId w:val="10"/>
        </w:numPr>
        <w:spacing w:line="360" w:lineRule="auto"/>
        <w:jc w:val="both"/>
        <w:rPr>
          <w:rFonts w:ascii="Times New Roman" w:hAnsi="Times New Roman" w:cs="Times New Roman"/>
        </w:rPr>
      </w:pPr>
      <w:r w:rsidRPr="00255E89">
        <w:rPr>
          <w:rFonts w:ascii="Times New Roman" w:hAnsi="Times New Roman" w:cs="Times New Roman"/>
        </w:rPr>
        <w:t xml:space="preserve">Integration complexity or performance impact on operational source systems → non-invasive interface patterns, thorough non-functional testing, and staged roll-out. </w:t>
      </w:r>
    </w:p>
    <w:p w14:paraId="12A699C5" w14:textId="77777777" w:rsidR="00255E89" w:rsidRPr="00255E89" w:rsidRDefault="00255E89" w:rsidP="00255E89">
      <w:pPr>
        <w:numPr>
          <w:ilvl w:val="0"/>
          <w:numId w:val="10"/>
        </w:numPr>
        <w:spacing w:line="360" w:lineRule="auto"/>
        <w:jc w:val="both"/>
        <w:rPr>
          <w:rFonts w:ascii="Times New Roman" w:hAnsi="Times New Roman" w:cs="Times New Roman"/>
        </w:rPr>
      </w:pPr>
      <w:r w:rsidRPr="00255E89">
        <w:rPr>
          <w:rFonts w:ascii="Times New Roman" w:hAnsi="Times New Roman" w:cs="Times New Roman"/>
        </w:rPr>
        <w:t xml:space="preserve">Insufficient user adoption or process embedding → intensive change-management program, visible executive sponsorship, and rapid incorporation of user feedback. </w:t>
      </w:r>
    </w:p>
    <w:p w14:paraId="1C65E7AC" w14:textId="77777777" w:rsidR="00255E89" w:rsidRPr="00255E89" w:rsidRDefault="00255E89" w:rsidP="00255E89">
      <w:pPr>
        <w:numPr>
          <w:ilvl w:val="0"/>
          <w:numId w:val="10"/>
        </w:numPr>
        <w:spacing w:line="360" w:lineRule="auto"/>
        <w:jc w:val="both"/>
        <w:rPr>
          <w:rFonts w:ascii="Times New Roman" w:hAnsi="Times New Roman" w:cs="Times New Roman"/>
        </w:rPr>
      </w:pPr>
      <w:r w:rsidRPr="00255E89">
        <w:rPr>
          <w:rFonts w:ascii="Times New Roman" w:hAnsi="Times New Roman" w:cs="Times New Roman"/>
        </w:rPr>
        <w:t xml:space="preserve">Resource contention with competing enterprise priorities → clear prioritization by the Steering Committee and protected core-team capacity. </w:t>
      </w:r>
    </w:p>
    <w:p w14:paraId="0C756171" w14:textId="77777777" w:rsidR="00255E89" w:rsidRPr="00255E89" w:rsidRDefault="00255E89" w:rsidP="00255E89">
      <w:pPr>
        <w:numPr>
          <w:ilvl w:val="0"/>
          <w:numId w:val="10"/>
        </w:numPr>
        <w:spacing w:line="360" w:lineRule="auto"/>
        <w:jc w:val="both"/>
        <w:rPr>
          <w:rFonts w:ascii="Times New Roman" w:hAnsi="Times New Roman" w:cs="Times New Roman"/>
        </w:rPr>
      </w:pPr>
      <w:r w:rsidRPr="00255E89">
        <w:rPr>
          <w:rFonts w:ascii="Times New Roman" w:hAnsi="Times New Roman" w:cs="Times New Roman"/>
        </w:rPr>
        <w:t xml:space="preserve">Cybersecurity, data-protection, or contractual-documentation gaps → early involvement of information-security and compliance functions and formal model-risk governance recorded in PostgreSQL. </w:t>
      </w:r>
    </w:p>
    <w:p w14:paraId="0E27E91F" w14:textId="77777777" w:rsidR="00255E89" w:rsidRPr="00255E89" w:rsidRDefault="00255E89" w:rsidP="00255E89">
      <w:pPr>
        <w:numPr>
          <w:ilvl w:val="0"/>
          <w:numId w:val="10"/>
        </w:numPr>
        <w:spacing w:line="360" w:lineRule="auto"/>
        <w:jc w:val="both"/>
        <w:rPr>
          <w:rFonts w:ascii="Times New Roman" w:hAnsi="Times New Roman" w:cs="Times New Roman"/>
        </w:rPr>
      </w:pPr>
      <w:r w:rsidRPr="00255E89">
        <w:rPr>
          <w:rFonts w:ascii="Times New Roman" w:hAnsi="Times New Roman" w:cs="Times New Roman"/>
        </w:rPr>
        <w:t>Benefits realization below projections → conservative initial targets, frequent measurement, and scope or approach adjustment at stage gates.</w:t>
      </w:r>
    </w:p>
    <w:p w14:paraId="2C26FF2A" w14:textId="77777777" w:rsid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Each individual risk maintains an owner, inherent and residual ratings, specific mitigation actions, early-warning indicators, and predefined contingency options. The full living risk register is reviewed at every Steering Committee meeting.</w:t>
      </w:r>
    </w:p>
    <w:p w14:paraId="00F9DFBB" w14:textId="77777777" w:rsidR="00B2154C" w:rsidRPr="00255E89" w:rsidRDefault="00B2154C" w:rsidP="00255E89">
      <w:pPr>
        <w:spacing w:line="360" w:lineRule="auto"/>
        <w:jc w:val="both"/>
        <w:rPr>
          <w:rFonts w:ascii="Times New Roman" w:hAnsi="Times New Roman" w:cs="Times New Roman"/>
        </w:rPr>
      </w:pPr>
    </w:p>
    <w:p w14:paraId="6F17AADF"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lastRenderedPageBreak/>
        <w:pict w14:anchorId="19ED74EB">
          <v:rect id="_x0000_i1036" style="width:0;height:1.5pt" o:hralign="center" o:hrstd="t" o:hrnoshade="t" o:hr="t" fillcolor="black" stroked="f"/>
        </w:pict>
      </w:r>
    </w:p>
    <w:p w14:paraId="22594385" w14:textId="77777777" w:rsidR="00B2154C" w:rsidRPr="00B2154C" w:rsidRDefault="00255E89" w:rsidP="00255E89">
      <w:pPr>
        <w:spacing w:line="360" w:lineRule="auto"/>
        <w:jc w:val="both"/>
        <w:rPr>
          <w:rFonts w:ascii="Times New Roman" w:hAnsi="Times New Roman" w:cs="Times New Roman"/>
          <w:b/>
          <w:bCs/>
        </w:rPr>
      </w:pPr>
      <w:r w:rsidRPr="00B2154C">
        <w:rPr>
          <w:rFonts w:ascii="Times New Roman" w:hAnsi="Times New Roman" w:cs="Times New Roman"/>
          <w:b/>
          <w:bCs/>
        </w:rPr>
        <w:t>12. Governance, Organizational Structure, and Long-Term Operating Model</w:t>
      </w:r>
    </w:p>
    <w:p w14:paraId="7A032B30" w14:textId="00BC6C36"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 xml:space="preserve">An Executive Sponsor drawn from the Executive Leadership Team holds ultimate accountability for strategic alignment and value realization. A cross-functional Steering Committee, meeting at least monthly, provides direction, resolves escalations, and formally approves stage-gate transitions. A dedicated Program Director leads a core team organized into workstreams for data foundation, in-database predictive </w:t>
      </w:r>
      <w:r w:rsidR="00B2154C" w:rsidRPr="00255E89">
        <w:rPr>
          <w:rFonts w:ascii="Times New Roman" w:hAnsi="Times New Roman" w:cs="Times New Roman"/>
        </w:rPr>
        <w:t>modelling</w:t>
      </w:r>
      <w:r w:rsidRPr="00255E89">
        <w:rPr>
          <w:rFonts w:ascii="Times New Roman" w:hAnsi="Times New Roman" w:cs="Times New Roman"/>
        </w:rPr>
        <w:t xml:space="preserve">, Power BI decision environments, change management and adoption, and benefits tracking. Named Business Process Owners in Network Operations, Fleet, Warehouse &amp; Inventory, Transportation, Carrier Management, and Customer Experience are accountable for embedding insights and delivering benefits inside their domains. A Model Risk and Data Governance Forum </w:t>
      </w:r>
      <w:r w:rsidR="00B9709C" w:rsidRPr="00255E89">
        <w:rPr>
          <w:rFonts w:ascii="Times New Roman" w:hAnsi="Times New Roman" w:cs="Times New Roman"/>
        </w:rPr>
        <w:t>oversee</w:t>
      </w:r>
      <w:r w:rsidRPr="00255E89">
        <w:rPr>
          <w:rFonts w:ascii="Times New Roman" w:hAnsi="Times New Roman" w:cs="Times New Roman"/>
        </w:rPr>
        <w:t xml:space="preserve"> analytical quality, validation standards, ethics, and regulatory/contractual compliance. Detailed RACI matrices are maintained for every major deliverable and decision </w:t>
      </w:r>
      <w:r w:rsidR="00B2154C" w:rsidRPr="00255E89">
        <w:rPr>
          <w:rFonts w:ascii="Times New Roman" w:hAnsi="Times New Roman" w:cs="Times New Roman"/>
        </w:rPr>
        <w:t>class. The</w:t>
      </w:r>
      <w:r w:rsidRPr="00255E89">
        <w:rPr>
          <w:rFonts w:ascii="Times New Roman" w:hAnsi="Times New Roman" w:cs="Times New Roman"/>
        </w:rPr>
        <w:t xml:space="preserve"> explicit long-term intent is a managed transition from temporary program mode to a sustained product-oriented operating model with clear ownership, multi-year funding, and continuous improvement of the PostgreSQL-based predictive platform.</w:t>
      </w:r>
    </w:p>
    <w:p w14:paraId="669CCC24"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45AB2207">
          <v:rect id="_x0000_i1037" style="width:0;height:1.5pt" o:hralign="center" o:hrstd="t" o:hrnoshade="t" o:hr="t" fillcolor="black" stroked="f"/>
        </w:pict>
      </w:r>
    </w:p>
    <w:p w14:paraId="4905D111" w14:textId="77777777" w:rsidR="00B9709C" w:rsidRPr="00B9709C" w:rsidRDefault="00255E89" w:rsidP="00255E89">
      <w:pPr>
        <w:spacing w:line="360" w:lineRule="auto"/>
        <w:jc w:val="both"/>
        <w:rPr>
          <w:rFonts w:ascii="Times New Roman" w:hAnsi="Times New Roman" w:cs="Times New Roman"/>
          <w:b/>
          <w:bCs/>
        </w:rPr>
      </w:pPr>
      <w:r w:rsidRPr="00B9709C">
        <w:rPr>
          <w:rFonts w:ascii="Times New Roman" w:hAnsi="Times New Roman" w:cs="Times New Roman"/>
          <w:b/>
          <w:bCs/>
        </w:rPr>
        <w:t>13. Change-Management, Communication, and Adoption Strategy</w:t>
      </w:r>
    </w:p>
    <w:p w14:paraId="28507D16" w14:textId="578FF70F"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A structured change-management approach addressing awareness, desire, knowledge, ability, and reinforcement will be executed in parallel with technical delivery. Core activities include comprehensive stakeholder mapping and influence planning, a regular cadence of leadership communications, role-specific training and coaching programs focused on interpreting in-database predictions and Power BI interfaces, identification and active support of change champions inside each function, rapid-feedback mechanisms, and visible recognition of early successes. Adoption metrics (active users, alert-response rates, qualitative feedback, and process-embedding indicators) will be tracked with the same rigor as technical and financial metrics and will form part of every stage-gate review.</w:t>
      </w:r>
    </w:p>
    <w:p w14:paraId="32DB8012"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51454B65">
          <v:rect id="_x0000_i1038" style="width:0;height:1.5pt" o:hralign="center" o:hrstd="t" o:hrnoshade="t" o:hr="t" fillcolor="black" stroked="f"/>
        </w:pict>
      </w:r>
    </w:p>
    <w:p w14:paraId="4A3CDFE4" w14:textId="77777777" w:rsidR="00B9709C" w:rsidRDefault="00B9709C" w:rsidP="00255E89">
      <w:pPr>
        <w:spacing w:line="360" w:lineRule="auto"/>
        <w:jc w:val="both"/>
        <w:rPr>
          <w:rFonts w:ascii="Times New Roman" w:hAnsi="Times New Roman" w:cs="Times New Roman"/>
        </w:rPr>
      </w:pPr>
    </w:p>
    <w:p w14:paraId="6840E9B7" w14:textId="77777777" w:rsidR="00B9709C" w:rsidRDefault="00B9709C" w:rsidP="00255E89">
      <w:pPr>
        <w:spacing w:line="360" w:lineRule="auto"/>
        <w:jc w:val="both"/>
        <w:rPr>
          <w:rFonts w:ascii="Times New Roman" w:hAnsi="Times New Roman" w:cs="Times New Roman"/>
        </w:rPr>
      </w:pPr>
    </w:p>
    <w:p w14:paraId="105B0724" w14:textId="0F2DB9E3" w:rsidR="00B9709C" w:rsidRPr="00B9709C" w:rsidRDefault="00255E89" w:rsidP="00255E89">
      <w:pPr>
        <w:spacing w:line="360" w:lineRule="auto"/>
        <w:jc w:val="both"/>
        <w:rPr>
          <w:rFonts w:ascii="Times New Roman" w:hAnsi="Times New Roman" w:cs="Times New Roman"/>
          <w:b/>
          <w:bCs/>
        </w:rPr>
      </w:pPr>
      <w:r w:rsidRPr="00B9709C">
        <w:rPr>
          <w:rFonts w:ascii="Times New Roman" w:hAnsi="Times New Roman" w:cs="Times New Roman"/>
          <w:b/>
          <w:bCs/>
        </w:rPr>
        <w:lastRenderedPageBreak/>
        <w:t>14. Success-Measurement System and Review Cadence</w:t>
      </w:r>
    </w:p>
    <w:p w14:paraId="29CD0C88" w14:textId="1C6601AD"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A balanced scorecard will continuously monitor four perspectives:</w:t>
      </w:r>
    </w:p>
    <w:p w14:paraId="3A6676A7" w14:textId="77777777" w:rsidR="00255E89" w:rsidRPr="00255E89" w:rsidRDefault="00255E89" w:rsidP="00255E89">
      <w:pPr>
        <w:numPr>
          <w:ilvl w:val="0"/>
          <w:numId w:val="11"/>
        </w:numPr>
        <w:spacing w:line="360" w:lineRule="auto"/>
        <w:jc w:val="both"/>
        <w:rPr>
          <w:rFonts w:ascii="Times New Roman" w:hAnsi="Times New Roman" w:cs="Times New Roman"/>
        </w:rPr>
      </w:pPr>
      <w:r w:rsidRPr="00B9709C">
        <w:rPr>
          <w:rFonts w:ascii="Times New Roman" w:hAnsi="Times New Roman" w:cs="Times New Roman"/>
          <w:b/>
          <w:bCs/>
        </w:rPr>
        <w:t>Technical health</w:t>
      </w:r>
      <w:r w:rsidRPr="00255E89">
        <w:rPr>
          <w:rFonts w:ascii="Times New Roman" w:hAnsi="Times New Roman" w:cs="Times New Roman"/>
        </w:rPr>
        <w:t xml:space="preserve">: data-quality scores, pipeline reliability, model statistical performance and stability inside PostgreSQL, and monitoring coverage. </w:t>
      </w:r>
    </w:p>
    <w:p w14:paraId="07E2B5D2" w14:textId="16B7B9CD" w:rsidR="00255E89" w:rsidRPr="00255E89" w:rsidRDefault="00255E89" w:rsidP="00255E89">
      <w:pPr>
        <w:numPr>
          <w:ilvl w:val="0"/>
          <w:numId w:val="11"/>
        </w:numPr>
        <w:spacing w:line="360" w:lineRule="auto"/>
        <w:jc w:val="both"/>
        <w:rPr>
          <w:rFonts w:ascii="Times New Roman" w:hAnsi="Times New Roman" w:cs="Times New Roman"/>
        </w:rPr>
      </w:pPr>
      <w:r w:rsidRPr="00B9709C">
        <w:rPr>
          <w:rFonts w:ascii="Times New Roman" w:hAnsi="Times New Roman" w:cs="Times New Roman"/>
          <w:b/>
          <w:bCs/>
        </w:rPr>
        <w:t xml:space="preserve">Adoption and </w:t>
      </w:r>
      <w:r w:rsidR="00B9709C" w:rsidRPr="00B9709C">
        <w:rPr>
          <w:rFonts w:ascii="Times New Roman" w:hAnsi="Times New Roman" w:cs="Times New Roman"/>
          <w:b/>
          <w:bCs/>
        </w:rPr>
        <w:t>embedding</w:t>
      </w:r>
      <w:r w:rsidRPr="00255E89">
        <w:rPr>
          <w:rFonts w:ascii="Times New Roman" w:hAnsi="Times New Roman" w:cs="Times New Roman"/>
        </w:rPr>
        <w:t xml:space="preserve"> active-user counts, feature usage within Power BI, alert-response timeliness, and qualitative user feedback. </w:t>
      </w:r>
    </w:p>
    <w:p w14:paraId="1F65E1E7" w14:textId="77777777" w:rsidR="00255E89" w:rsidRPr="00255E89" w:rsidRDefault="00255E89" w:rsidP="00255E89">
      <w:pPr>
        <w:numPr>
          <w:ilvl w:val="0"/>
          <w:numId w:val="11"/>
        </w:numPr>
        <w:spacing w:line="360" w:lineRule="auto"/>
        <w:jc w:val="both"/>
        <w:rPr>
          <w:rFonts w:ascii="Times New Roman" w:hAnsi="Times New Roman" w:cs="Times New Roman"/>
        </w:rPr>
      </w:pPr>
      <w:r w:rsidRPr="00B9709C">
        <w:rPr>
          <w:rFonts w:ascii="Times New Roman" w:hAnsi="Times New Roman" w:cs="Times New Roman"/>
          <w:b/>
          <w:bCs/>
        </w:rPr>
        <w:t>Business outcomes</w:t>
      </w:r>
      <w:r w:rsidRPr="00255E89">
        <w:rPr>
          <w:rFonts w:ascii="Times New Roman" w:hAnsi="Times New Roman" w:cs="Times New Roman"/>
        </w:rPr>
        <w:t xml:space="preserve">: fleet and equipment availability, inventory turns and service levels, on-time delivery performance, damage/claims rates, and analytical-productivity measures, all tracked against pre-initiative baselines. </w:t>
      </w:r>
    </w:p>
    <w:p w14:paraId="22981FA1" w14:textId="77777777" w:rsidR="00255E89" w:rsidRPr="00255E89" w:rsidRDefault="00255E89" w:rsidP="00255E89">
      <w:pPr>
        <w:numPr>
          <w:ilvl w:val="0"/>
          <w:numId w:val="11"/>
        </w:numPr>
        <w:spacing w:line="360" w:lineRule="auto"/>
        <w:jc w:val="both"/>
        <w:rPr>
          <w:rFonts w:ascii="Times New Roman" w:hAnsi="Times New Roman" w:cs="Times New Roman"/>
        </w:rPr>
      </w:pPr>
      <w:r w:rsidRPr="00B9709C">
        <w:rPr>
          <w:rFonts w:ascii="Times New Roman" w:hAnsi="Times New Roman" w:cs="Times New Roman"/>
          <w:b/>
          <w:bCs/>
        </w:rPr>
        <w:t>Program delivery</w:t>
      </w:r>
      <w:r w:rsidRPr="00255E89">
        <w:rPr>
          <w:rFonts w:ascii="Times New Roman" w:hAnsi="Times New Roman" w:cs="Times New Roman"/>
        </w:rPr>
        <w:t>: milestone adherence, budget variance, and residual risk posture.</w:t>
      </w:r>
    </w:p>
    <w:p w14:paraId="41022C9E" w14:textId="77777777" w:rsidR="00255E89" w:rsidRPr="00255E89" w:rsidRDefault="00255E89" w:rsidP="00255E89">
      <w:pPr>
        <w:spacing w:line="360" w:lineRule="auto"/>
        <w:jc w:val="both"/>
        <w:rPr>
          <w:rFonts w:ascii="Times New Roman" w:hAnsi="Times New Roman" w:cs="Times New Roman"/>
        </w:rPr>
      </w:pPr>
      <w:r w:rsidRPr="00B9709C">
        <w:rPr>
          <w:rFonts w:ascii="Times New Roman" w:hAnsi="Times New Roman" w:cs="Times New Roman"/>
          <w:b/>
          <w:bCs/>
        </w:rPr>
        <w:t>Program leadership reviews the scorecard monthly;</w:t>
      </w:r>
      <w:r w:rsidRPr="00255E89">
        <w:rPr>
          <w:rFonts w:ascii="Times New Roman" w:hAnsi="Times New Roman" w:cs="Times New Roman"/>
        </w:rPr>
        <w:t xml:space="preserve"> the Steering Committee reviews it quarterly. Formal post-implementation reviews occur at the conclusion of Phases 1 and 2 and feed directly into the subsequent phase authorization decision.</w:t>
      </w:r>
    </w:p>
    <w:p w14:paraId="0B768E08" w14:textId="77777777" w:rsidR="00255E89" w:rsidRPr="00255E89" w:rsidRDefault="009D2B42" w:rsidP="00255E89">
      <w:pPr>
        <w:spacing w:line="360" w:lineRule="auto"/>
        <w:jc w:val="both"/>
        <w:rPr>
          <w:rFonts w:ascii="Times New Roman" w:hAnsi="Times New Roman" w:cs="Times New Roman"/>
        </w:rPr>
      </w:pPr>
      <w:r>
        <w:rPr>
          <w:rFonts w:ascii="Times New Roman" w:hAnsi="Times New Roman" w:cs="Times New Roman"/>
        </w:rPr>
        <w:pict w14:anchorId="6A6A4E43">
          <v:rect id="_x0000_i1039" style="width:0;height:1.5pt" o:hralign="center" o:hrstd="t" o:hrnoshade="t" o:hr="t" fillcolor="black" stroked="f"/>
        </w:pict>
      </w:r>
    </w:p>
    <w:p w14:paraId="6E468995" w14:textId="77777777" w:rsidR="00B9709C" w:rsidRPr="00B9709C" w:rsidRDefault="00255E89" w:rsidP="00255E89">
      <w:pPr>
        <w:spacing w:line="360" w:lineRule="auto"/>
        <w:jc w:val="both"/>
        <w:rPr>
          <w:rFonts w:ascii="Times New Roman" w:hAnsi="Times New Roman" w:cs="Times New Roman"/>
          <w:b/>
          <w:bCs/>
        </w:rPr>
      </w:pPr>
      <w:r w:rsidRPr="00B9709C">
        <w:rPr>
          <w:rFonts w:ascii="Times New Roman" w:hAnsi="Times New Roman" w:cs="Times New Roman"/>
          <w:b/>
          <w:bCs/>
        </w:rPr>
        <w:t>15. Conclusion and Formal Recommendation to the Board and Executive Leadership Team</w:t>
      </w:r>
    </w:p>
    <w:p w14:paraId="1366B538" w14:textId="77777777" w:rsidR="00B9709C" w:rsidRDefault="00255E89" w:rsidP="00255E89">
      <w:pPr>
        <w:spacing w:line="360" w:lineRule="auto"/>
        <w:jc w:val="both"/>
        <w:rPr>
          <w:rFonts w:ascii="Times New Roman" w:hAnsi="Times New Roman" w:cs="Times New Roman"/>
        </w:rPr>
      </w:pPr>
      <w:r w:rsidRPr="00255E89">
        <w:rPr>
          <w:rFonts w:ascii="Times New Roman" w:hAnsi="Times New Roman" w:cs="Times New Roman"/>
        </w:rPr>
        <w:t>The Intelligent Predictive Operations Initiative constitutes a strategically necessary and economically attractive investment for Nexora Logistics Corporation. Continuation of predominantly reactive maintenance practices, fragmented analytics, and experience-based decision-making exposes the company to rising competitive pressure, avoidable operational cost, customer friction, and slower adaptation to market and technological change. By systematically constructing a governed predictive capability entirely inside PostgreSQL and delivering insights through Power BI, Nexora can achieve measurable improvements in asset availability, inventory productivity, on-time performance, quality, and decision speed while simultaneously creating a durable platform for future advantage.</w:t>
      </w:r>
    </w:p>
    <w:p w14:paraId="5E337A35" w14:textId="23190F25"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It is therefore recommended that the Board of Directors and the Executive Leadership Team:</w:t>
      </w:r>
    </w:p>
    <w:p w14:paraId="77E43105" w14:textId="77777777" w:rsidR="00255E89" w:rsidRPr="00255E89" w:rsidRDefault="00255E89" w:rsidP="00255E89">
      <w:pPr>
        <w:numPr>
          <w:ilvl w:val="0"/>
          <w:numId w:val="12"/>
        </w:numPr>
        <w:spacing w:line="360" w:lineRule="auto"/>
        <w:jc w:val="both"/>
        <w:rPr>
          <w:rFonts w:ascii="Times New Roman" w:hAnsi="Times New Roman" w:cs="Times New Roman"/>
        </w:rPr>
      </w:pPr>
      <w:r w:rsidRPr="00255E89">
        <w:rPr>
          <w:rFonts w:ascii="Times New Roman" w:hAnsi="Times New Roman" w:cs="Times New Roman"/>
        </w:rPr>
        <w:t xml:space="preserve">Approve the Intelligent Predictive Operations Initiative as an enterprise strategic program. </w:t>
      </w:r>
    </w:p>
    <w:p w14:paraId="083990FE" w14:textId="77777777" w:rsidR="00255E89" w:rsidRPr="00255E89" w:rsidRDefault="00255E89" w:rsidP="00255E89">
      <w:pPr>
        <w:numPr>
          <w:ilvl w:val="0"/>
          <w:numId w:val="12"/>
        </w:numPr>
        <w:spacing w:line="360" w:lineRule="auto"/>
        <w:jc w:val="both"/>
        <w:rPr>
          <w:rFonts w:ascii="Times New Roman" w:hAnsi="Times New Roman" w:cs="Times New Roman"/>
        </w:rPr>
      </w:pPr>
      <w:r w:rsidRPr="00255E89">
        <w:rPr>
          <w:rFonts w:ascii="Times New Roman" w:hAnsi="Times New Roman" w:cs="Times New Roman"/>
        </w:rPr>
        <w:lastRenderedPageBreak/>
        <w:t xml:space="preserve">Authorize immediate commencement of Phase 0, including the associated funding envelope and resource commitments. </w:t>
      </w:r>
    </w:p>
    <w:p w14:paraId="237C23A3" w14:textId="77777777" w:rsidR="00255E89" w:rsidRPr="00255E89" w:rsidRDefault="00255E89" w:rsidP="00255E89">
      <w:pPr>
        <w:numPr>
          <w:ilvl w:val="0"/>
          <w:numId w:val="12"/>
        </w:numPr>
        <w:spacing w:line="360" w:lineRule="auto"/>
        <w:jc w:val="both"/>
        <w:rPr>
          <w:rFonts w:ascii="Times New Roman" w:hAnsi="Times New Roman" w:cs="Times New Roman"/>
        </w:rPr>
      </w:pPr>
      <w:r w:rsidRPr="00255E89">
        <w:rPr>
          <w:rFonts w:ascii="Times New Roman" w:hAnsi="Times New Roman" w:cs="Times New Roman"/>
        </w:rPr>
        <w:t xml:space="preserve">Appoint the Executive Sponsor and direct the formation of the Steering Committee within two weeks of approval. </w:t>
      </w:r>
    </w:p>
    <w:p w14:paraId="6C6FE301" w14:textId="77777777" w:rsidR="00255E89" w:rsidRPr="00255E89" w:rsidRDefault="00255E89" w:rsidP="00255E89">
      <w:pPr>
        <w:numPr>
          <w:ilvl w:val="0"/>
          <w:numId w:val="12"/>
        </w:numPr>
        <w:spacing w:line="360" w:lineRule="auto"/>
        <w:jc w:val="both"/>
        <w:rPr>
          <w:rFonts w:ascii="Times New Roman" w:hAnsi="Times New Roman" w:cs="Times New Roman"/>
        </w:rPr>
      </w:pPr>
      <w:r w:rsidRPr="00255E89">
        <w:rPr>
          <w:rFonts w:ascii="Times New Roman" w:hAnsi="Times New Roman" w:cs="Times New Roman"/>
        </w:rPr>
        <w:t>Require that every subsequent phase be authorized only after formal stage-gate review of technical progress, measured value, updated risk assessment, and re-validated benefits projections.</w:t>
      </w:r>
    </w:p>
    <w:p w14:paraId="1B647F72" w14:textId="77777777" w:rsidR="00255E89" w:rsidRPr="00255E89" w:rsidRDefault="00255E89" w:rsidP="00255E89">
      <w:pPr>
        <w:spacing w:line="360" w:lineRule="auto"/>
        <w:jc w:val="both"/>
        <w:rPr>
          <w:rFonts w:ascii="Times New Roman" w:hAnsi="Times New Roman" w:cs="Times New Roman"/>
        </w:rPr>
      </w:pPr>
      <w:r w:rsidRPr="00255E89">
        <w:rPr>
          <w:rFonts w:ascii="Times New Roman" w:hAnsi="Times New Roman" w:cs="Times New Roman"/>
        </w:rPr>
        <w:t>Upon approval, the Digital Transformation Office will issue a detailed Phase 0 mobilization plan to the newly formed Steering Committee within four weeks and will commence execution without delay.</w:t>
      </w:r>
    </w:p>
    <w:p w14:paraId="4ACB1D3D" w14:textId="77777777" w:rsidR="0011423B" w:rsidRPr="00255E89" w:rsidRDefault="0011423B" w:rsidP="00255E89">
      <w:pPr>
        <w:spacing w:line="360" w:lineRule="auto"/>
        <w:jc w:val="both"/>
        <w:rPr>
          <w:rFonts w:ascii="Times New Roman" w:hAnsi="Times New Roman" w:cs="Times New Roman"/>
        </w:rPr>
      </w:pPr>
    </w:p>
    <w:sectPr w:rsidR="0011423B" w:rsidRPr="00255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58D"/>
    <w:multiLevelType w:val="multilevel"/>
    <w:tmpl w:val="50C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D7FCB"/>
    <w:multiLevelType w:val="multilevel"/>
    <w:tmpl w:val="B9D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E48FB"/>
    <w:multiLevelType w:val="multilevel"/>
    <w:tmpl w:val="248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547A55"/>
    <w:multiLevelType w:val="multilevel"/>
    <w:tmpl w:val="D2B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B1449C"/>
    <w:multiLevelType w:val="multilevel"/>
    <w:tmpl w:val="9180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52CDB"/>
    <w:multiLevelType w:val="multilevel"/>
    <w:tmpl w:val="24F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10633A"/>
    <w:multiLevelType w:val="multilevel"/>
    <w:tmpl w:val="0DB6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13FC5"/>
    <w:multiLevelType w:val="multilevel"/>
    <w:tmpl w:val="3DA0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266F98"/>
    <w:multiLevelType w:val="multilevel"/>
    <w:tmpl w:val="E5F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843345"/>
    <w:multiLevelType w:val="multilevel"/>
    <w:tmpl w:val="10F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A41D00"/>
    <w:multiLevelType w:val="multilevel"/>
    <w:tmpl w:val="78B8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592043"/>
    <w:multiLevelType w:val="multilevel"/>
    <w:tmpl w:val="A36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0997748">
    <w:abstractNumId w:val="11"/>
  </w:num>
  <w:num w:numId="2" w16cid:durableId="334192740">
    <w:abstractNumId w:val="5"/>
  </w:num>
  <w:num w:numId="3" w16cid:durableId="1256746305">
    <w:abstractNumId w:val="7"/>
  </w:num>
  <w:num w:numId="4" w16cid:durableId="642854952">
    <w:abstractNumId w:val="2"/>
  </w:num>
  <w:num w:numId="5" w16cid:durableId="575364288">
    <w:abstractNumId w:val="3"/>
  </w:num>
  <w:num w:numId="6" w16cid:durableId="1984501288">
    <w:abstractNumId w:val="10"/>
  </w:num>
  <w:num w:numId="7" w16cid:durableId="1217936995">
    <w:abstractNumId w:val="8"/>
  </w:num>
  <w:num w:numId="8" w16cid:durableId="2029022742">
    <w:abstractNumId w:val="6"/>
  </w:num>
  <w:num w:numId="9" w16cid:durableId="1479031313">
    <w:abstractNumId w:val="0"/>
  </w:num>
  <w:num w:numId="10" w16cid:durableId="1421636782">
    <w:abstractNumId w:val="9"/>
  </w:num>
  <w:num w:numId="11" w16cid:durableId="683943125">
    <w:abstractNumId w:val="1"/>
  </w:num>
  <w:num w:numId="12" w16cid:durableId="272909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90"/>
    <w:rsid w:val="0011423B"/>
    <w:rsid w:val="00132EC8"/>
    <w:rsid w:val="00255E89"/>
    <w:rsid w:val="00313E4B"/>
    <w:rsid w:val="00364A90"/>
    <w:rsid w:val="0084538B"/>
    <w:rsid w:val="00912078"/>
    <w:rsid w:val="00AD4D22"/>
    <w:rsid w:val="00B2154C"/>
    <w:rsid w:val="00B9709C"/>
    <w:rsid w:val="00BD01C1"/>
    <w:rsid w:val="00D17B90"/>
    <w:rsid w:val="00DB25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A6398"/>
  <w15:chartTrackingRefBased/>
  <w15:docId w15:val="{5BFE9A9A-D9D7-45A7-AD5D-2BEA075E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B90"/>
    <w:rPr>
      <w:rFonts w:eastAsiaTheme="majorEastAsia" w:cstheme="majorBidi"/>
      <w:color w:val="272727" w:themeColor="text1" w:themeTint="D8"/>
    </w:rPr>
  </w:style>
  <w:style w:type="paragraph" w:styleId="Title">
    <w:name w:val="Title"/>
    <w:basedOn w:val="Normal"/>
    <w:next w:val="Normal"/>
    <w:link w:val="TitleChar"/>
    <w:uiPriority w:val="10"/>
    <w:qFormat/>
    <w:rsid w:val="00D17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B90"/>
    <w:pPr>
      <w:spacing w:before="160"/>
      <w:jc w:val="center"/>
    </w:pPr>
    <w:rPr>
      <w:i/>
      <w:iCs/>
      <w:color w:val="404040" w:themeColor="text1" w:themeTint="BF"/>
    </w:rPr>
  </w:style>
  <w:style w:type="character" w:customStyle="1" w:styleId="QuoteChar">
    <w:name w:val="Quote Char"/>
    <w:basedOn w:val="DefaultParagraphFont"/>
    <w:link w:val="Quote"/>
    <w:uiPriority w:val="29"/>
    <w:rsid w:val="00D17B90"/>
    <w:rPr>
      <w:i/>
      <w:iCs/>
      <w:color w:val="404040" w:themeColor="text1" w:themeTint="BF"/>
    </w:rPr>
  </w:style>
  <w:style w:type="paragraph" w:styleId="ListParagraph">
    <w:name w:val="List Paragraph"/>
    <w:basedOn w:val="Normal"/>
    <w:uiPriority w:val="34"/>
    <w:qFormat/>
    <w:rsid w:val="00D17B90"/>
    <w:pPr>
      <w:ind w:left="720"/>
      <w:contextualSpacing/>
    </w:pPr>
  </w:style>
  <w:style w:type="character" w:styleId="IntenseEmphasis">
    <w:name w:val="Intense Emphasis"/>
    <w:basedOn w:val="DefaultParagraphFont"/>
    <w:uiPriority w:val="21"/>
    <w:qFormat/>
    <w:rsid w:val="00D17B90"/>
    <w:rPr>
      <w:i/>
      <w:iCs/>
      <w:color w:val="0F4761" w:themeColor="accent1" w:themeShade="BF"/>
    </w:rPr>
  </w:style>
  <w:style w:type="paragraph" w:styleId="IntenseQuote">
    <w:name w:val="Intense Quote"/>
    <w:basedOn w:val="Normal"/>
    <w:next w:val="Normal"/>
    <w:link w:val="IntenseQuoteChar"/>
    <w:uiPriority w:val="30"/>
    <w:qFormat/>
    <w:rsid w:val="00D17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B90"/>
    <w:rPr>
      <w:i/>
      <w:iCs/>
      <w:color w:val="0F4761" w:themeColor="accent1" w:themeShade="BF"/>
    </w:rPr>
  </w:style>
  <w:style w:type="character" w:styleId="IntenseReference">
    <w:name w:val="Intense Reference"/>
    <w:basedOn w:val="DefaultParagraphFont"/>
    <w:uiPriority w:val="32"/>
    <w:qFormat/>
    <w:rsid w:val="00D17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20</Pages>
  <Words>6251</Words>
  <Characters>35631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chinedu Echem</dc:creator>
  <cp:keywords/>
  <dc:description/>
  <cp:lastModifiedBy>Anthony chinedu Echem</cp:lastModifiedBy>
  <cp:revision>5</cp:revision>
  <dcterms:created xsi:type="dcterms:W3CDTF">2026-09-01T21:34:00Z</dcterms:created>
  <dcterms:modified xsi:type="dcterms:W3CDTF">2026-09-03T00:28:00Z</dcterms:modified>
</cp:coreProperties>
</file>