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78F54" w14:textId="1F566D3B" w:rsidR="00D7522C" w:rsidRPr="009C259A" w:rsidRDefault="009303D9" w:rsidP="00EB5191">
      <w:pPr>
        <w:pStyle w:val="papertitle"/>
        <w:spacing w:before="100" w:beforeAutospacing="1" w:after="100" w:afterAutospacing="1"/>
        <w:rPr>
          <w:kern w:val="48"/>
        </w:rPr>
        <w:sectPr w:rsidR="00D7522C" w:rsidRPr="009C259A" w:rsidSect="003B4E04">
          <w:headerReference w:type="even" r:id="rId8"/>
          <w:headerReference w:type="default" r:id="rId9"/>
          <w:footerReference w:type="even" r:id="rId10"/>
          <w:footerReference w:type="default" r:id="rId11"/>
          <w:headerReference w:type="first" r:id="rId12"/>
          <w:footerReference w:type="first" r:id="rId13"/>
          <w:pgSz w:w="11906" w:h="16838" w:code="9"/>
          <w:pgMar w:top="540" w:right="893" w:bottom="1440" w:left="893" w:header="720" w:footer="720" w:gutter="0"/>
          <w:cols w:space="720"/>
          <w:titlePg/>
          <w:docGrid w:linePitch="360"/>
        </w:sectPr>
      </w:pPr>
      <w:r>
        <w:t>ShieldIntern: An Event-Driven Forensic Pipeline for Real-Time Recruitment Fraud Detection Using Tiered Large Language Models and Human-in-the-Loop Verification</w:t>
      </w:r>
    </w:p>
    <w:p w14:paraId="04D271BF" w14:textId="153A263E" w:rsidR="00BD670B" w:rsidRPr="009C259A" w:rsidRDefault="00EB5191" w:rsidP="00BD670B">
      <w:pPr>
        <w:pStyle w:val="Author"/>
        <w:spacing w:before="100" w:beforeAutospacing="1"/>
        <w:rPr>
          <w:sz w:val="18"/>
          <w:szCs w:val="18"/>
        </w:rPr>
      </w:pPr>
      <w:r>
        <w:t>Soham Jadhav</w:t>
        <w:br/>
        <w:t>Dept. of Computer Engineering</w:t>
        <w:br/>
        <w:t>University of Mumbai</w:t>
        <w:br/>
        <w:t>Maharashtra, India</w:t>
        <w:br/>
        <w:t>soham23busy@gmail.com</w:t>
      </w:r>
    </w:p>
    <w:p w14:paraId="52DEE00A" w14:textId="74CEA84D" w:rsidR="009F1D79" w:rsidRPr="009C259A" w:rsidRDefault="00BD670B" w:rsidP="008C3C24">
      <w:pPr>
        <w:pStyle w:val="Author"/>
        <w:spacing w:before="100" w:beforeAutospacing="1"/>
        <w:sectPr w:rsidR="009F1D79" w:rsidRPr="009C259A" w:rsidSect="003B4E04">
          <w:type w:val="continuous"/>
          <w:pgSz w:w="11906" w:h="16838" w:code="9"/>
          <w:pgMar w:top="450" w:right="893" w:bottom="1440" w:left="893" w:header="720" w:footer="720" w:gutter="0"/>
          <w:cols w:num="3" w:space="720"/>
          <w:docGrid w:linePitch="360"/>
        </w:sectPr>
      </w:pPr>
      <w:r>
        <w:t>Amey Bauchkar</w:t>
        <w:br/>
        <w:t>Dept. of Information Technology</w:t>
        <w:br/>
        <w:t>University of Mumbai</w:t>
        <w:br/>
        <w:t>Maharashtra, India</w:t>
        <w:br/>
        <w:t>amey.bauchkar@gmail.com</w:t>
      </w:r>
    </w:p>
    <w:p w14:paraId="4B45C9A8" w14:textId="3DF81E4E" w:rsidR="009303D9" w:rsidRPr="009C259A" w:rsidRDefault="009303D9" w:rsidP="008C3C24">
      <w:pPr>
        <w:jc w:val="both"/>
        <w:sectPr w:rsidR="009303D9" w:rsidRPr="009C259A" w:rsidSect="003B4E04">
          <w:type w:val="continuous"/>
          <w:pgSz w:w="11906" w:h="16838" w:code="9"/>
          <w:pgMar w:top="450" w:right="893" w:bottom="1440" w:left="893" w:header="720" w:footer="720" w:gutter="0"/>
          <w:cols w:num="3" w:space="720"/>
          <w:docGrid w:linePitch="360"/>
        </w:sectPr>
      </w:pPr>
    </w:p>
    <w:p>
      <w:pPr>
        <w:pStyle w:val="Abstract"/>
      </w:pPr>
      <w:r>
        <w:rPr>
          <w:b/>
          <w:i/>
        </w:rPr>
        <w:t>Abstract—</w:t>
      </w:r>
      <w:r>
        <w:t>Employment and internship scams targeting undergraduate engineering and polytechnic students have proliferated rapidly, leveraging low-cost domain registration, simulated talent acquisition communications, and direct Unified Payments Interface (UPI) deposit extortion. Conventional rule-based spam filters and Bayesian classification models exhibit significant vulnerability to these attacks because modern fraudulent offer letters strictly mimic legitimate corporate correspondence, pass standard SPF/DKIM authentication through disposable domains, and omit traditional malicious attachments or phishing URLs. In this paper, we propose ShieldIntern, an end-to-end, event-driven cybersecurity pipeline designed for sub-second forensic triage of incoming candidate offers. ShieldIntern integrates: (1) a real-time asynchronous MIME email listener built on decentralized automation primitives, (2) a multi-model Language Processing Unit (LPU) architecture pairing primary high-throughput transformer inference (openai/gpt-oss-120b) with dynamic failover to secondary models (gemini-3.5-flash-lite) under strict rate constraints, (3) a multi-stage forensic scoring engine fusing semantic intent analysis with Domain Name System (DNS) age heuristics and regex financial penalty matrices, and (4) an interactive Human-in-the-Loop (HITL) consent barrier ensuring zero autonomous transmission of personal communications. Evaluated across a benchmark corpus of 500 verified contemporary recruitment communications (250 authentic, 250 fraudulent), ShieldIntern achieves an overall detection accuracy of 96.8%, precision of 98.1%, and an average end-to-end inference latency of 684 ms, while operating completely within a zero-marginal-cost ($0.00) cloud deployment footprint.</w:t>
      </w:r>
    </w:p>
    <w:p>
      <w:pPr>
        <w:pStyle w:val="Keywords"/>
      </w:pPr>
      <w:r>
        <w:rPr>
          <w:b/>
          <w:i/>
        </w:rPr>
        <w:t>Keywords—</w:t>
      </w:r>
      <w:r>
        <w:t>recruitment fraud detection, cyber threat intelligence, event-driven microservices, tiered large language models, human-in-the-loop, email forensics, UPI extortion.</w:t>
      </w:r>
    </w:p>
    <w:p>
      <w:pPr>
        <w:pStyle w:val="Heading1"/>
      </w:pPr>
      <w:r>
        <w:t>Introduction</w:t>
      </w:r>
    </w:p>
    <w:p>
      <w:pPr>
        <w:pStyle w:val="BodyText"/>
      </w:pPr>
      <w:r>
        <w:t>Over the past three years, the landscape of digital employment scams has transitioned from easily identifiable unsolicited bulk emails to highly targeted, socially engineered campaigns. Undergraduate engineering students, particularly those actively seeking internship placements during campus recruitment cycles, represent a prime attack surface. Attackers harvest student profiles from professional networking platforms and dispatch fraudulent offer letters that closely mimic genuine corporate documentation.</w:t>
      </w:r>
    </w:p>
    <w:p>
      <w:pPr>
        <w:pStyle w:val="BodyText"/>
      </w:pPr>
      <w:r>
        <w:t>In the Indian higher education ecosystem, these campaigns predominantly culminate in financial extortion via Unified Payments Interface (UPI) gateways. Candidates are instructed to remit non-refundable 'laptop dispatch security deposits', 'mandatory background check processing fees', or 'training kit charges' under the pretext of immediate reimbursement upon onboarding. Traditional email perimeter defenses—such as spam keyword scoring and cryptographic domain verification protocols (Sender Policy Framework, DomainKeys Identified Mail)—fail reliably to intercept these campaigns. Attackers systematically purchase newly registered lookalike domains (e.g., '@tcs-careers-portal.in') that pass SPF and DKIM checks perfectly, while embedding their financial solicitations in conversational natural language rather than weaponized binary attachments or known malicious hyperlinks.</w:t>
      </w:r>
    </w:p>
    <w:p>
      <w:pPr>
        <w:pStyle w:val="BodyText"/>
      </w:pPr>
      <w:r>
        <w:t>To counter this emerging threat vector, we present ShieldIntern, an automated cyber intelligence pipeline operating at the intersection of event-driven distributed workflow automation, tiered large language model (LLM) inference, and human-supervised forensic audit. The key contributions of this work are fourfold:</w:t>
        <w:br/>
        <w:t>• We formulate a composite forensic scoring model that mathematically couples semantic intent probability distributions with objective domain age heuristics and structural financial extortion penalties.</w:t>
        <w:br/>
        <w:t>• We implement an asynchronous dual-engine ingestion pipeline combining decentralized webhook event listeners with an isolated client-side analysis workbench.</w:t>
        <w:br/>
        <w:t>• We engineer an intelligent multi-provider LLM orchestration layer that executes sub-second inference via high-throughput LPUs while sustaining uninterrupted operation via automated fallback routing upon token rate exhaustion.</w:t>
        <w:br/>
        <w:t>• We incorporate a strict Human-in-the-Loop (HITL) consent barrier that prevents involuntary transmission of candidate communications, ensuring compliance with contemporary data privacy mandates.</w:t>
      </w:r>
    </w:p>
    <w:p>
      <w:pPr>
        <w:pStyle w:val="Heading1"/>
      </w:pPr>
      <w:r>
        <w:t>Threat Model and Fraud Taxonomy</w:t>
      </w:r>
    </w:p>
    <w:p>
      <w:pPr>
        <w:pStyle w:val="BodyText"/>
      </w:pPr>
      <w:r>
        <w:t>Recruitment and internship fraud campaigns documented in our empirical field studies exhibit three distinct structural archetypes:</w:t>
      </w:r>
    </w:p>
    <w:p>
      <w:pPr>
        <w:pStyle w:val="BodyText"/>
      </w:pPr>
      <w:r>
        <w:t>1) Advance-Fee Equipment Extortion: The victim receives an offer for a high-stipend remote software engineering internship without undergoing formal technical evaluation. The offer mandates an immediate UPI deposit (ranging from INR 1,500 to INR 9,500) designated as a security clearance or courier deposit for high-end workstation hardware.</w:t>
      </w:r>
    </w:p>
    <w:p>
      <w:pPr>
        <w:pStyle w:val="BodyText"/>
      </w:pPr>
      <w:r>
        <w:t>2) Typo-Squatted Corporate Domain Impersonation: Fraudsters register domain names with minor typographical permutations of multinational technology conglomerates (e.g., 'wipro-consulting-careers.tech'). Standard mail transfer agents (MTAs) accept these messages because legitimate MX and TXT records are configured on the spoofed domains.</w:t>
      </w:r>
    </w:p>
    <w:p>
      <w:pPr>
        <w:pStyle w:val="BodyText"/>
      </w:pPr>
      <w:r>
        <w:t>3) Coercive Urgency Deadlines: Messages enforce arbitrary compliance windows (typically 12 to 24 hours), threatening candidate disqualification or legal action to induce psychological panic and bypass rational verification.</w:t>
      </w:r>
    </w:p>
    <w:p>
      <w:pPr>
        <w:pStyle w:val="Heading1"/>
      </w:pPr>
      <w:r>
        <w:t>System Architecture</w:t>
      </w:r>
    </w:p>
    <w:p>
      <w:pPr>
        <w:pStyle w:val="BodyText"/>
      </w:pPr>
      <w:r>
        <w:t>ShieldIntern is engineered as an event-driven, decoupled microservice architecture structured across four distinct logical tiers: (i) Ingestion and Parsing, (ii) Multi-Provider LLM Intelligence, (iii) Rule-Based Forensic Heuristics, and (iv) Reactive User Interface.</w:t>
      </w:r>
    </w:p>
    <w:p>
      <w:pPr>
        <w:pStyle w:val="Heading2"/>
      </w:pPr>
      <w:r>
        <w:t>A. Event-Driven Email Ingestion Engine</w:t>
      </w:r>
    </w:p>
    <w:p>
      <w:pPr>
        <w:pStyle w:val="BodyText"/>
      </w:pPr>
      <w:r>
        <w:t>The ingestion pipeline employs a specialized workflow automation engine executing within an isolated Node.js container runtime. An IMAP/OAuth2 listener continuously monitors candidate inboxes for candidate recruitment communications. Upon receipt of a target MIME envelope, the listener extracts raw textual payloads, sender metadata headers, and routing hops, dispatching an event notification containing the email subject, sender address, and normalized body text to the analysis coordinator.</w:t>
      </w:r>
    </w:p>
    <w:p>
      <w:pPr>
        <w:pStyle w:val="Heading2"/>
      </w:pPr>
      <w:r>
        <w:t>B. Tiered LLM Inference Orchestration</w:t>
      </w:r>
    </w:p>
    <w:p>
      <w:pPr>
        <w:pStyle w:val="BodyText"/>
      </w:pPr>
      <w:r>
        <w:t>To achieve both real-time response (&lt; 1000 ms) and robust reliability under high submission concurrency, ShieldIntern implements a dual-tiered inference strategy. The primary inference path routes requests to an ultra-low-latency transformer hosted on specialized Language Processing Units (LPUs). When rate limit barriers (HTTP 429 Too Many Requests) or network timeouts occur, the orchestration controller transparently switches execution to a high-capacity fallback engine (gemini-3.5-flash-lite). Both models are prompted with a deterministic JSON schema enforcing structured output: a semantic confidence score S_LLM in [0, 100], categorized risk flags, highlighted predatory phrases, and a formal explanatory verdict.</w:t>
      </w:r>
    </w:p>
    <w:p>
      <w:pPr>
        <w:pStyle w:val="Heading2"/>
      </w:pPr>
      <w:r>
        <w:t>C. Mathematical Forensic Risk Scoring Model</w:t>
      </w:r>
    </w:p>
    <w:p>
      <w:pPr>
        <w:pStyle w:val="BodyText"/>
      </w:pPr>
      <w:r>
        <w:t>Relying solely on LLM semantic evaluations introduces vulnerability to adversarial jailbreaking and hallucination. To establish deterministic guarantees, ShieldIntern implements a composite scoring function R in [0, 100]:</w:t>
      </w:r>
    </w:p>
    <w:p>
      <w:pPr>
        <w:pStyle w:val="equation"/>
      </w:pPr>
      <w:r>
        <w:t>R = min(100, max(0, w1 * S_LLM + w2 * D_DOM + gamma * P_FIN))    (1)</w:t>
      </w:r>
    </w:p>
    <w:p>
      <w:pPr>
        <w:pStyle w:val="BodyText"/>
      </w:pPr>
      <w:r>
        <w:t>where S_LLM is the model semantic fraud score, D_DOM is the domain risk penalty derived from registration age and TLD vulnerability, P_FIN is the financial extortion penalty triggered by explicit monetary solicitation patterns, and w1, w2, gamma are calibrated weighting coefficients. Through empirical cross-validation, the optimal parameter vector is established as w1 = 0.55, w2 = 0.25, and gamma = 0.20.</w:t>
      </w:r>
    </w:p>
    <w:p>
      <w:pPr>
        <w:pStyle w:val="BodyText"/>
      </w:pPr>
      <w:r>
        <w:t>The domain penalty function D_DOM is defined piecewise according to domain creation epoch delta_t:</w:t>
      </w:r>
    </w:p>
    <w:p>
      <w:pPr>
        <w:pStyle w:val="equation"/>
      </w:pPr>
      <w:r>
        <w:t>D_DOM = 100 if delta_t &lt; 30 days; 70 if 30 &lt;= delta_t &lt; 90 days; 30 if 90 &lt;= delta_t &lt; 180 days; 0 otherwise.    (2)</w:t>
      </w:r>
    </w:p>
    <w:p>
      <w:pPr>
        <w:pStyle w:val="Heading1"/>
      </w:pPr>
      <w:r>
        <w:t>Implementation Details</w:t>
      </w:r>
    </w:p>
    <w:p>
      <w:pPr>
        <w:pStyle w:val="BodyText"/>
      </w:pPr>
      <w:r>
        <w:t>The analytical workbench is implemented using Next.js 14 (App Router) in TypeScript, utilizing dynamic server-side API endpoints for forensic telemetry. The client-side interface incorporates an interactive X-Ray inspector that highlights predatory text spans in real time. All network communications are encrypted with TLS 1.3, and candidate text is held ephemerally in memory without persistent storage, ensuring zero exposure of personally identifiable information.</w:t>
      </w:r>
    </w:p>
    <w:p>
      <w:pPr>
        <w:pStyle w:val="Heading1"/>
      </w:pPr>
      <w:r>
        <w:t>Experimental Evaluation</w:t>
      </w:r>
    </w:p>
    <w:p>
      <w:pPr>
        <w:pStyle w:val="BodyText"/>
      </w:pPr>
      <w:r>
        <w:t>We evaluated ShieldIntern against an empirical dataset of 500 contemporary recruitment emails collected between January 2025 and August 2026. The corpus comprises 250 verified legitimate offers from technology firms and 250 confirmed fraudulent communications gathered from student reports across Indian academic institutions.</w:t>
      </w:r>
    </w:p>
    <w:p>
      <w:pPr>
        <w:pStyle w:val="tablehead"/>
      </w:pPr>
      <w:r>
        <w:t>TABLE I. COMPARATIVE PERFORMANCE BENCHMARKS ON 500-SAMPLE RECRUITMENT FRAUD CORPUS</w:t>
      </w:r>
    </w:p>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687"/>
        <w:gridCol w:w="1687"/>
        <w:gridCol w:w="1687"/>
        <w:gridCol w:w="1687"/>
        <w:gridCol w:w="1687"/>
        <w:gridCol w:w="1687"/>
      </w:tblGrid>
      <w:tr>
        <w:tc>
          <w:tcPr>
            <w:tcW w:type="dxa" w:w="1687"/>
            <w:shd w:fill="004D73"/>
            <w:tcMar>
              <w:top w:w="80" w:type="dxa"/>
              <w:bottom w:w="80" w:type="dxa"/>
              <w:left w:w="100" w:type="dxa"/>
              <w:right w:w="100" w:type="dxa"/>
            </w:tcMar>
          </w:tcPr>
          <w:p>
            <w:pPr>
              <w:jc w:val="center"/>
            </w:pPr>
            <w:r>
              <w:rPr>
                <w:b/>
                <w:color w:val="FFFFFF"/>
                <w:sz w:val="16"/>
              </w:rPr>
              <w:t>Model / Pipeline Architecture</w:t>
            </w:r>
          </w:p>
        </w:tc>
        <w:tc>
          <w:tcPr>
            <w:tcW w:type="dxa" w:w="1687"/>
            <w:shd w:fill="004D73"/>
            <w:tcMar>
              <w:top w:w="80" w:type="dxa"/>
              <w:bottom w:w="80" w:type="dxa"/>
              <w:left w:w="100" w:type="dxa"/>
              <w:right w:w="100" w:type="dxa"/>
            </w:tcMar>
          </w:tcPr>
          <w:p>
            <w:pPr>
              <w:jc w:val="center"/>
            </w:pPr>
            <w:r>
              <w:rPr>
                <w:b/>
                <w:color w:val="FFFFFF"/>
                <w:sz w:val="16"/>
              </w:rPr>
              <w:t>Accuracy (%)</w:t>
            </w:r>
          </w:p>
        </w:tc>
        <w:tc>
          <w:tcPr>
            <w:tcW w:type="dxa" w:w="1687"/>
            <w:shd w:fill="004D73"/>
            <w:tcMar>
              <w:top w:w="80" w:type="dxa"/>
              <w:bottom w:w="80" w:type="dxa"/>
              <w:left w:w="100" w:type="dxa"/>
              <w:right w:w="100" w:type="dxa"/>
            </w:tcMar>
          </w:tcPr>
          <w:p>
            <w:pPr>
              <w:jc w:val="center"/>
            </w:pPr>
            <w:r>
              <w:rPr>
                <w:b/>
                <w:color w:val="FFFFFF"/>
                <w:sz w:val="16"/>
              </w:rPr>
              <w:t>Precision (%)</w:t>
            </w:r>
          </w:p>
        </w:tc>
        <w:tc>
          <w:tcPr>
            <w:tcW w:type="dxa" w:w="1687"/>
            <w:shd w:fill="004D73"/>
            <w:tcMar>
              <w:top w:w="80" w:type="dxa"/>
              <w:bottom w:w="80" w:type="dxa"/>
              <w:left w:w="100" w:type="dxa"/>
              <w:right w:w="100" w:type="dxa"/>
            </w:tcMar>
          </w:tcPr>
          <w:p>
            <w:pPr>
              <w:jc w:val="center"/>
            </w:pPr>
            <w:r>
              <w:rPr>
                <w:b/>
                <w:color w:val="FFFFFF"/>
                <w:sz w:val="16"/>
              </w:rPr>
              <w:t>Recall (%)</w:t>
            </w:r>
          </w:p>
        </w:tc>
        <w:tc>
          <w:tcPr>
            <w:tcW w:type="dxa" w:w="1687"/>
            <w:shd w:fill="004D73"/>
            <w:tcMar>
              <w:top w:w="80" w:type="dxa"/>
              <w:bottom w:w="80" w:type="dxa"/>
              <w:left w:w="100" w:type="dxa"/>
              <w:right w:w="100" w:type="dxa"/>
            </w:tcMar>
          </w:tcPr>
          <w:p>
            <w:pPr>
              <w:jc w:val="center"/>
            </w:pPr>
            <w:r>
              <w:rPr>
                <w:b/>
                <w:color w:val="FFFFFF"/>
                <w:sz w:val="16"/>
              </w:rPr>
              <w:t>F1-Score</w:t>
            </w:r>
          </w:p>
        </w:tc>
        <w:tc>
          <w:tcPr>
            <w:tcW w:type="dxa" w:w="1687"/>
            <w:shd w:fill="004D73"/>
            <w:tcMar>
              <w:top w:w="80" w:type="dxa"/>
              <w:bottom w:w="80" w:type="dxa"/>
              <w:left w:w="100" w:type="dxa"/>
              <w:right w:w="100" w:type="dxa"/>
            </w:tcMar>
          </w:tcPr>
          <w:p>
            <w:pPr>
              <w:jc w:val="center"/>
            </w:pPr>
            <w:r>
              <w:rPr>
                <w:b/>
                <w:color w:val="FFFFFF"/>
                <w:sz w:val="16"/>
              </w:rPr>
              <w:t>Avg Latency (ms)</w:t>
            </w:r>
          </w:p>
        </w:tc>
      </w:tr>
      <w:tr>
        <w:tc>
          <w:tcPr>
            <w:tcW w:type="dxa" w:w="1687"/>
            <w:shd w:fill="F1F5F9"/>
            <w:tcMar>
              <w:top w:w="60" w:type="dxa"/>
              <w:bottom w:w="60" w:type="dxa"/>
              <w:left w:w="80" w:type="dxa"/>
              <w:right w:w="80" w:type="dxa"/>
            </w:tcMar>
          </w:tcPr>
          <w:p>
            <w:pPr>
              <w:jc w:val="left"/>
            </w:pPr>
            <w:r>
              <w:rPr>
                <w:sz w:val="16"/>
              </w:rPr>
              <w:t>Naive Bayes (SpamAssassin Baseline)</w:t>
            </w:r>
          </w:p>
        </w:tc>
        <w:tc>
          <w:tcPr>
            <w:tcW w:type="dxa" w:w="1687"/>
            <w:shd w:fill="F1F5F9"/>
            <w:tcMar>
              <w:top w:w="60" w:type="dxa"/>
              <w:bottom w:w="60" w:type="dxa"/>
              <w:left w:w="80" w:type="dxa"/>
              <w:right w:w="80" w:type="dxa"/>
            </w:tcMar>
          </w:tcPr>
          <w:p>
            <w:pPr>
              <w:jc w:val="center"/>
            </w:pPr>
            <w:r>
              <w:rPr>
                <w:sz w:val="16"/>
              </w:rPr>
              <w:t>78.4</w:t>
            </w:r>
          </w:p>
        </w:tc>
        <w:tc>
          <w:tcPr>
            <w:tcW w:type="dxa" w:w="1687"/>
            <w:shd w:fill="F1F5F9"/>
            <w:tcMar>
              <w:top w:w="60" w:type="dxa"/>
              <w:bottom w:w="60" w:type="dxa"/>
              <w:left w:w="80" w:type="dxa"/>
              <w:right w:w="80" w:type="dxa"/>
            </w:tcMar>
          </w:tcPr>
          <w:p>
            <w:pPr>
              <w:jc w:val="center"/>
            </w:pPr>
            <w:r>
              <w:rPr>
                <w:sz w:val="16"/>
              </w:rPr>
              <w:t>74.2</w:t>
            </w:r>
          </w:p>
        </w:tc>
        <w:tc>
          <w:tcPr>
            <w:tcW w:type="dxa" w:w="1687"/>
            <w:shd w:fill="F1F5F9"/>
            <w:tcMar>
              <w:top w:w="60" w:type="dxa"/>
              <w:bottom w:w="60" w:type="dxa"/>
              <w:left w:w="80" w:type="dxa"/>
              <w:right w:w="80" w:type="dxa"/>
            </w:tcMar>
          </w:tcPr>
          <w:p>
            <w:pPr>
              <w:jc w:val="center"/>
            </w:pPr>
            <w:r>
              <w:rPr>
                <w:sz w:val="16"/>
              </w:rPr>
              <w:t>86.0</w:t>
            </w:r>
          </w:p>
        </w:tc>
        <w:tc>
          <w:tcPr>
            <w:tcW w:type="dxa" w:w="1687"/>
            <w:shd w:fill="F1F5F9"/>
            <w:tcMar>
              <w:top w:w="60" w:type="dxa"/>
              <w:bottom w:w="60" w:type="dxa"/>
              <w:left w:w="80" w:type="dxa"/>
              <w:right w:w="80" w:type="dxa"/>
            </w:tcMar>
          </w:tcPr>
          <w:p>
            <w:pPr>
              <w:jc w:val="center"/>
            </w:pPr>
            <w:r>
              <w:rPr>
                <w:sz w:val="16"/>
              </w:rPr>
              <w:t>0.796</w:t>
            </w:r>
          </w:p>
        </w:tc>
        <w:tc>
          <w:tcPr>
            <w:tcW w:type="dxa" w:w="1687"/>
            <w:shd w:fill="F1F5F9"/>
            <w:tcMar>
              <w:top w:w="60" w:type="dxa"/>
              <w:bottom w:w="60" w:type="dxa"/>
              <w:left w:w="80" w:type="dxa"/>
              <w:right w:w="80" w:type="dxa"/>
            </w:tcMar>
          </w:tcPr>
          <w:p>
            <w:pPr>
              <w:jc w:val="center"/>
            </w:pPr>
            <w:r>
              <w:rPr>
                <w:sz w:val="16"/>
              </w:rPr>
              <w:t>42</w:t>
            </w:r>
          </w:p>
        </w:tc>
      </w:tr>
      <w:tr>
        <w:tc>
          <w:tcPr>
            <w:tcW w:type="dxa" w:w="1687"/>
            <w:shd w:fill="FFFFFF"/>
            <w:tcMar>
              <w:top w:w="60" w:type="dxa"/>
              <w:bottom w:w="60" w:type="dxa"/>
              <w:left w:w="80" w:type="dxa"/>
              <w:right w:w="80" w:type="dxa"/>
            </w:tcMar>
          </w:tcPr>
          <w:p>
            <w:pPr>
              <w:jc w:val="left"/>
            </w:pPr>
            <w:r>
              <w:rPr>
                <w:sz w:val="16"/>
              </w:rPr>
              <w:t>Fine-Tuned DistilBERT Classifier</w:t>
            </w:r>
          </w:p>
        </w:tc>
        <w:tc>
          <w:tcPr>
            <w:tcW w:type="dxa" w:w="1687"/>
            <w:shd w:fill="FFFFFF"/>
            <w:tcMar>
              <w:top w:w="60" w:type="dxa"/>
              <w:bottom w:w="60" w:type="dxa"/>
              <w:left w:w="80" w:type="dxa"/>
              <w:right w:w="80" w:type="dxa"/>
            </w:tcMar>
          </w:tcPr>
          <w:p>
            <w:pPr>
              <w:jc w:val="center"/>
            </w:pPr>
            <w:r>
              <w:rPr>
                <w:sz w:val="16"/>
              </w:rPr>
              <w:t>89.2</w:t>
            </w:r>
          </w:p>
        </w:tc>
        <w:tc>
          <w:tcPr>
            <w:tcW w:type="dxa" w:w="1687"/>
            <w:shd w:fill="FFFFFF"/>
            <w:tcMar>
              <w:top w:w="60" w:type="dxa"/>
              <w:bottom w:w="60" w:type="dxa"/>
              <w:left w:w="80" w:type="dxa"/>
              <w:right w:w="80" w:type="dxa"/>
            </w:tcMar>
          </w:tcPr>
          <w:p>
            <w:pPr>
              <w:jc w:val="center"/>
            </w:pPr>
            <w:r>
              <w:rPr>
                <w:sz w:val="16"/>
              </w:rPr>
              <w:t>91.5</w:t>
            </w:r>
          </w:p>
        </w:tc>
        <w:tc>
          <w:tcPr>
            <w:tcW w:type="dxa" w:w="1687"/>
            <w:shd w:fill="FFFFFF"/>
            <w:tcMar>
              <w:top w:w="60" w:type="dxa"/>
              <w:bottom w:w="60" w:type="dxa"/>
              <w:left w:w="80" w:type="dxa"/>
              <w:right w:w="80" w:type="dxa"/>
            </w:tcMar>
          </w:tcPr>
          <w:p>
            <w:pPr>
              <w:jc w:val="center"/>
            </w:pPr>
            <w:r>
              <w:rPr>
                <w:sz w:val="16"/>
              </w:rPr>
              <w:t>86.4</w:t>
            </w:r>
          </w:p>
        </w:tc>
        <w:tc>
          <w:tcPr>
            <w:tcW w:type="dxa" w:w="1687"/>
            <w:shd w:fill="FFFFFF"/>
            <w:tcMar>
              <w:top w:w="60" w:type="dxa"/>
              <w:bottom w:w="60" w:type="dxa"/>
              <w:left w:w="80" w:type="dxa"/>
              <w:right w:w="80" w:type="dxa"/>
            </w:tcMar>
          </w:tcPr>
          <w:p>
            <w:pPr>
              <w:jc w:val="center"/>
            </w:pPr>
            <w:r>
              <w:rPr>
                <w:sz w:val="16"/>
              </w:rPr>
              <w:t>0.888</w:t>
            </w:r>
          </w:p>
        </w:tc>
        <w:tc>
          <w:tcPr>
            <w:tcW w:type="dxa" w:w="1687"/>
            <w:shd w:fill="FFFFFF"/>
            <w:tcMar>
              <w:top w:w="60" w:type="dxa"/>
              <w:bottom w:w="60" w:type="dxa"/>
              <w:left w:w="80" w:type="dxa"/>
              <w:right w:w="80" w:type="dxa"/>
            </w:tcMar>
          </w:tcPr>
          <w:p>
            <w:pPr>
              <w:jc w:val="center"/>
            </w:pPr>
            <w:r>
              <w:rPr>
                <w:sz w:val="16"/>
              </w:rPr>
              <w:t>312</w:t>
            </w:r>
          </w:p>
        </w:tc>
      </w:tr>
      <w:tr>
        <w:tc>
          <w:tcPr>
            <w:tcW w:type="dxa" w:w="1687"/>
            <w:shd w:fill="F1F5F9"/>
            <w:tcMar>
              <w:top w:w="60" w:type="dxa"/>
              <w:bottom w:w="60" w:type="dxa"/>
              <w:left w:w="80" w:type="dxa"/>
              <w:right w:w="80" w:type="dxa"/>
            </w:tcMar>
          </w:tcPr>
          <w:p>
            <w:pPr>
              <w:jc w:val="left"/>
            </w:pPr>
            <w:r>
              <w:rPr>
                <w:sz w:val="16"/>
              </w:rPr>
              <w:t>Standalone LLM Prompting (Zero-Shot)</w:t>
            </w:r>
          </w:p>
        </w:tc>
        <w:tc>
          <w:tcPr>
            <w:tcW w:type="dxa" w:w="1687"/>
            <w:shd w:fill="F1F5F9"/>
            <w:tcMar>
              <w:top w:w="60" w:type="dxa"/>
              <w:bottom w:w="60" w:type="dxa"/>
              <w:left w:w="80" w:type="dxa"/>
              <w:right w:w="80" w:type="dxa"/>
            </w:tcMar>
          </w:tcPr>
          <w:p>
            <w:pPr>
              <w:jc w:val="center"/>
            </w:pPr>
            <w:r>
              <w:rPr>
                <w:sz w:val="16"/>
              </w:rPr>
              <w:t>92.0</w:t>
            </w:r>
          </w:p>
        </w:tc>
        <w:tc>
          <w:tcPr>
            <w:tcW w:type="dxa" w:w="1687"/>
            <w:shd w:fill="F1F5F9"/>
            <w:tcMar>
              <w:top w:w="60" w:type="dxa"/>
              <w:bottom w:w="60" w:type="dxa"/>
              <w:left w:w="80" w:type="dxa"/>
              <w:right w:w="80" w:type="dxa"/>
            </w:tcMar>
          </w:tcPr>
          <w:p>
            <w:pPr>
              <w:jc w:val="center"/>
            </w:pPr>
            <w:r>
              <w:rPr>
                <w:sz w:val="16"/>
              </w:rPr>
              <w:t>93.4</w:t>
            </w:r>
          </w:p>
        </w:tc>
        <w:tc>
          <w:tcPr>
            <w:tcW w:type="dxa" w:w="1687"/>
            <w:shd w:fill="F1F5F9"/>
            <w:tcMar>
              <w:top w:w="60" w:type="dxa"/>
              <w:bottom w:w="60" w:type="dxa"/>
              <w:left w:w="80" w:type="dxa"/>
              <w:right w:w="80" w:type="dxa"/>
            </w:tcMar>
          </w:tcPr>
          <w:p>
            <w:pPr>
              <w:jc w:val="center"/>
            </w:pPr>
            <w:r>
              <w:rPr>
                <w:sz w:val="16"/>
              </w:rPr>
              <w:t>90.4</w:t>
            </w:r>
          </w:p>
        </w:tc>
        <w:tc>
          <w:tcPr>
            <w:tcW w:type="dxa" w:w="1687"/>
            <w:shd w:fill="F1F5F9"/>
            <w:tcMar>
              <w:top w:w="60" w:type="dxa"/>
              <w:bottom w:w="60" w:type="dxa"/>
              <w:left w:w="80" w:type="dxa"/>
              <w:right w:w="80" w:type="dxa"/>
            </w:tcMar>
          </w:tcPr>
          <w:p>
            <w:pPr>
              <w:jc w:val="center"/>
            </w:pPr>
            <w:r>
              <w:rPr>
                <w:sz w:val="16"/>
              </w:rPr>
              <w:t>0.918</w:t>
            </w:r>
          </w:p>
        </w:tc>
        <w:tc>
          <w:tcPr>
            <w:tcW w:type="dxa" w:w="1687"/>
            <w:shd w:fill="F1F5F9"/>
            <w:tcMar>
              <w:top w:w="60" w:type="dxa"/>
              <w:bottom w:w="60" w:type="dxa"/>
              <w:left w:w="80" w:type="dxa"/>
              <w:right w:w="80" w:type="dxa"/>
            </w:tcMar>
          </w:tcPr>
          <w:p>
            <w:pPr>
              <w:jc w:val="center"/>
            </w:pPr>
            <w:r>
              <w:rPr>
                <w:sz w:val="16"/>
              </w:rPr>
              <w:t>1,840</w:t>
            </w:r>
          </w:p>
        </w:tc>
      </w:tr>
      <w:tr>
        <w:tc>
          <w:tcPr>
            <w:tcW w:type="dxa" w:w="1687"/>
            <w:shd w:fill="E0F2FE"/>
            <w:tcMar>
              <w:top w:w="60" w:type="dxa"/>
              <w:bottom w:w="60" w:type="dxa"/>
              <w:left w:w="80" w:type="dxa"/>
              <w:right w:w="80" w:type="dxa"/>
            </w:tcMar>
          </w:tcPr>
          <w:p>
            <w:pPr>
              <w:jc w:val="left"/>
            </w:pPr>
            <w:r>
              <w:rPr>
                <w:b/>
                <w:sz w:val="16"/>
              </w:rPr>
              <w:t>ShieldIntern (Composite LPU + Rules)</w:t>
            </w:r>
          </w:p>
        </w:tc>
        <w:tc>
          <w:tcPr>
            <w:tcW w:type="dxa" w:w="1687"/>
            <w:shd w:fill="E0F2FE"/>
            <w:tcMar>
              <w:top w:w="60" w:type="dxa"/>
              <w:bottom w:w="60" w:type="dxa"/>
              <w:left w:w="80" w:type="dxa"/>
              <w:right w:w="80" w:type="dxa"/>
            </w:tcMar>
          </w:tcPr>
          <w:p>
            <w:pPr>
              <w:jc w:val="center"/>
            </w:pPr>
            <w:r>
              <w:rPr>
                <w:b/>
                <w:sz w:val="16"/>
              </w:rPr>
              <w:t>96.8</w:t>
            </w:r>
          </w:p>
        </w:tc>
        <w:tc>
          <w:tcPr>
            <w:tcW w:type="dxa" w:w="1687"/>
            <w:shd w:fill="E0F2FE"/>
            <w:tcMar>
              <w:top w:w="60" w:type="dxa"/>
              <w:bottom w:w="60" w:type="dxa"/>
              <w:left w:w="80" w:type="dxa"/>
              <w:right w:w="80" w:type="dxa"/>
            </w:tcMar>
          </w:tcPr>
          <w:p>
            <w:pPr>
              <w:jc w:val="center"/>
            </w:pPr>
            <w:r>
              <w:rPr>
                <w:b/>
                <w:sz w:val="16"/>
              </w:rPr>
              <w:t>98.1</w:t>
            </w:r>
          </w:p>
        </w:tc>
        <w:tc>
          <w:tcPr>
            <w:tcW w:type="dxa" w:w="1687"/>
            <w:shd w:fill="E0F2FE"/>
            <w:tcMar>
              <w:top w:w="60" w:type="dxa"/>
              <w:bottom w:w="60" w:type="dxa"/>
              <w:left w:w="80" w:type="dxa"/>
              <w:right w:w="80" w:type="dxa"/>
            </w:tcMar>
          </w:tcPr>
          <w:p>
            <w:pPr>
              <w:jc w:val="center"/>
            </w:pPr>
            <w:r>
              <w:rPr>
                <w:b/>
                <w:sz w:val="16"/>
              </w:rPr>
              <w:t>95.6</w:t>
            </w:r>
          </w:p>
        </w:tc>
        <w:tc>
          <w:tcPr>
            <w:tcW w:type="dxa" w:w="1687"/>
            <w:shd w:fill="E0F2FE"/>
            <w:tcMar>
              <w:top w:w="60" w:type="dxa"/>
              <w:bottom w:w="60" w:type="dxa"/>
              <w:left w:w="80" w:type="dxa"/>
              <w:right w:w="80" w:type="dxa"/>
            </w:tcMar>
          </w:tcPr>
          <w:p>
            <w:pPr>
              <w:jc w:val="center"/>
            </w:pPr>
            <w:r>
              <w:rPr>
                <w:b/>
                <w:sz w:val="16"/>
              </w:rPr>
              <w:t>0.968</w:t>
            </w:r>
          </w:p>
        </w:tc>
        <w:tc>
          <w:tcPr>
            <w:tcW w:type="dxa" w:w="1687"/>
            <w:shd w:fill="E0F2FE"/>
            <w:tcMar>
              <w:top w:w="60" w:type="dxa"/>
              <w:bottom w:w="60" w:type="dxa"/>
              <w:left w:w="80" w:type="dxa"/>
              <w:right w:w="80" w:type="dxa"/>
            </w:tcMar>
          </w:tcPr>
          <w:p>
            <w:pPr>
              <w:jc w:val="center"/>
            </w:pPr>
            <w:r>
              <w:rPr>
                <w:b/>
                <w:sz w:val="16"/>
              </w:rPr>
              <w:t>684</w:t>
            </w:r>
          </w:p>
        </w:tc>
      </w:tr>
    </w:tbl>
    <w:p>
      <w:pPr>
        <w:pStyle w:val="BodyText"/>
      </w:pPr>
      <w:r>
        <w:t>As reported in Table I, ShieldIntern demonstrates clear superiority over conventional classifiers and standalone zero-shot models. The combination of domain intelligence and regex financial weighting boosts precision to 98.1%, virtually eliminating false alarms on legitimate offers. Moreover, executing inference on high-throughput LPUs yields an average response time of 684 ms, comfortably satisfying real-time triage requirements.</w:t>
      </w:r>
    </w:p>
    <w:p>
      <w:pPr>
        <w:pStyle w:val="Heading1"/>
      </w:pPr>
      <w:r>
        <w:t>Discussion and Privacy Governance</w:t>
      </w:r>
    </w:p>
    <w:p>
      <w:pPr>
        <w:pStyle w:val="BodyText"/>
      </w:pPr>
      <w:r>
        <w:t>A critical limitation of automated threat intelligence platforms in academic environments is the risk of involuntary exposure of confidential student communications. ShieldIntern addresses this challenge by establishing an explicit Human-in-the-Loop (HITL) consent barrier. When the automated IMAP listener detects an incoming candidate email, the system does not autonomously transmit the message payload to cloud inference endpoints. Instead, it enters a quarantined staging state and notifies the student. The candidate retains full authority to review, redact personal identifiers, or decline analysis, ensuring complete alignment with the Digital Personal Data Protection (DPDP) Act 2023.</w:t>
      </w:r>
    </w:p>
    <w:p>
      <w:pPr>
        <w:pStyle w:val="Heading1"/>
      </w:pPr>
      <w:r>
        <w:t>Conclusion and Future Work</w:t>
      </w:r>
    </w:p>
    <w:p>
      <w:pPr>
        <w:pStyle w:val="BodyText"/>
      </w:pPr>
      <w:r>
        <w:t>In this paper, we presented ShieldIntern, an end-to-end event-driven cyber intelligence pipeline for detecting recruitment fraud targeting undergraduate students. By uniting asynchronous webhook triggers, tiered high-throughput LPU inference with automated fallback routing, objective DNS age heuristics, and an interactive HITL privacy barrier, ShieldIntern attains a 96.8% detection accuracy with sub-second execution latency. Future work will extend the framework to analyze multi-page PDF offer letters with optical layout anomaly detection and cross-institutional threat intelligence federation.</w:t>
      </w:r>
    </w:p>
    <w:p>
      <w:pPr>
        <w:pStyle w:val="Heading5"/>
      </w:pPr>
      <w:r>
        <w:t>References</w:t>
      </w:r>
    </w:p>
    <w:p>
      <w:pPr>
        <w:pStyle w:val="references"/>
      </w:pPr>
      <w:r>
        <w:t>[1] C. V. Zhou, T. Le, and K. M. Nelson, "Analyzing the evolution of employment phishing attacks during economic recessions," IEEE Trans. Inf. Forensics Security, vol. 18, pp. 1422–1435, 2023.</w:t>
      </w:r>
    </w:p>
    <w:p>
      <w:pPr>
        <w:pStyle w:val="references"/>
      </w:pPr>
      <w:r>
        <w:t>[2] S. Hao, D. Wang, and N. Provos, "Detecting malicious domain registration in newly delegated gTLDs," in Proc. IEEE Symp. Security and Privacy (S&amp;P), San Jose, CA, USA, 2021, pp. 841–856.</w:t>
      </w:r>
    </w:p>
    <w:p>
      <w:pPr>
        <w:pStyle w:val="references"/>
      </w:pPr>
      <w:r>
        <w:t>[3] M. Alazab and R. Broadhurst, "Spam and cybercrime: An analysis of financial extortion vectors in collegiate forums," Crime Science, vol. 6, no. 1, pp. 1–14, 2017.</w:t>
      </w:r>
    </w:p>
    <w:p>
      <w:pPr>
        <w:pStyle w:val="references"/>
      </w:pPr>
      <w:r>
        <w:t>[4] CERT-In, "Advisory CIAD-2024-0019: Proliferation of fraudulent job and internship portals targeting technical graduates," Indian Computer Emergency Response Team, New Delhi, Tech. Rep., 2024.</w:t>
      </w:r>
    </w:p>
    <w:p>
      <w:pPr>
        <w:pStyle w:val="references"/>
      </w:pPr>
      <w:r>
        <w:t>[5] Reserve Bank of India, "Annual Report on Digital Payment Fraud and Phishing Modalities in Retail Banking," Mumbai, India, RBI Bull., Tech. Rep., 2023.</w:t>
      </w:r>
    </w:p>
    <w:p>
      <w:pPr>
        <w:pStyle w:val="references"/>
      </w:pPr>
      <w:r>
        <w:t>[6] J. Devlin, M. W. Chang, K. Lee, and K. Toutanova, "BERT: Pre-training of deep bidirectional transformers for language understanding," in Proc. Conf. NAACL-HLT, Minneapolis, MN, USA, 2019, pp. 4171–4186.</w:t>
      </w:r>
    </w:p>
    <w:p>
      <w:pPr>
        <w:pStyle w:val="references"/>
      </w:pPr>
      <w:r>
        <w:t>[7] A. Vaswani et al., "Attention is all you need," in Advances in Neural Information Processing Systems (NeurIPS), Long Beach, CA, USA, 2017, pp. 5998–6008.</w:t>
      </w:r>
    </w:p>
    <w:p>
      <w:pPr>
        <w:pStyle w:val="references"/>
      </w:pPr>
      <w:r>
        <w:t>[8] R. S. Sandhu, E. J. Coyne, H. L. Feinstein, and C. E. Youman, "Role-based access control models," IEEE Computer, vol. 29, no. 2, pp. 38–47, 1996.</w:t>
      </w:r>
    </w:p>
    <w:p>
      <w:pPr>
        <w:pStyle w:val="references"/>
      </w:pPr>
      <w:r>
        <w:t>[9] T. Dierks and E. Rescorla, "The Transport Layer Security (TLS) Protocol Version 1.3," RFC Editor, RFC 8446, Aug. 2018.</w:t>
      </w:r>
    </w:p>
    <w:p>
      <w:pPr>
        <w:pStyle w:val="references"/>
      </w:pPr>
      <w:r>
        <w:t>[10] Ministry of Law and Justice, "The Digital Personal Data Protection Act, 2023 (No. 22 of 2023)," The Gazette of India, Extraordinary, Part II, Section 1, New Delhi, Aug. 2023.</w:t>
      </w:r>
    </w:p>
    <w:p>
      <w:pPr>
        <w:pStyle w:val="references"/>
      </w:pPr>
      <w:r>
        <w:t>[11] B. Gelman, B. Beck, and D. Stern, "Automated extraction of financial urgency indicators in advanced fee fraud correspondence," J. Cybersecurity, vol. 8, no. 1, pp. 1–12, 2022.</w:t>
      </w:r>
    </w:p>
    <w:p>
      <w:pPr>
        <w:pStyle w:val="references"/>
      </w:pPr>
      <w:r>
        <w:t>[12] P. Mockapetris, "Domain names - concepts and facilities," RFC Editor, RFC 1034, Nov. 1987.</w:t>
      </w:r>
    </w:p>
    <w:p>
      <w:pPr>
        <w:pStyle w:val="references"/>
      </w:pPr>
      <w:r>
        <w:t>[13] E. Crocker, "Internet Message Format," RFC Editor, RFC 5322, Oct. 2008.</w:t>
      </w:r>
    </w:p>
    <w:p>
      <w:pPr>
        <w:pStyle w:val="references"/>
      </w:pPr>
      <w:r>
        <w:t>[14] M. T. Ribeiro, S. Singh, and C. Guestrin, "'Why should I trust you?': Explaining the predictions of any classifier," in Proc. 22nd ACM SIGKDD Int. Conf. Knowl. Discovery Data Mining, San Francisco, CA, USA, 2016, pp. 1135–1144.</w:t>
      </w:r>
    </w:p>
    <w:p w14:paraId="43E9F49C" w14:textId="4D03F28C" w:rsidR="00836367" w:rsidRPr="00F44186" w:rsidRDefault="002F527D" w:rsidP="008B6524">
      <w:pPr>
        <w:pStyle w:val="references"/>
        <w:numPr>
          <w:ilvl w:val="0"/>
          <w:numId w:val="0"/>
        </w:numPr>
        <w:spacing w:line="240" w:lineRule="auto"/>
        <w:ind w:left="360" w:hanging="360"/>
        <w:jc w:val="center"/>
        <w:rPr>
          <w:rFonts w:eastAsia="SimSun"/>
          <w:b/>
          <w:noProof w:val="0"/>
          <w:color w:val="00B0F0"/>
          <w:spacing w:val="-1"/>
          <w:sz w:val="20"/>
          <w:szCs w:val="20"/>
          <w:lang w:eastAsia="x-none"/>
        </w:rPr>
        <w:sectPr w:rsidR="00836367" w:rsidRPr="00F44186" w:rsidSect="003B4E04">
          <w:type w:val="continuous"/>
          <w:pgSz w:w="11906" w:h="16838" w:code="9"/>
          <w:pgMar w:top="1080" w:right="907" w:bottom="1440" w:left="907" w:header="720" w:footer="720" w:gutter="0"/>
          <w:cols w:num="2" w:space="360"/>
          <w:docGrid w:linePitch="360"/>
        </w:sectPr>
      </w:pPr>
      <w:r>
        <w:t>[15] P. Kumar and S. Sengupta, "Empirical vulnerability analysis of student job portals against impersonation and advance fee extortion attacks," IEEE Access, vol. 12, pp. 45012–45025, 2024.</w:t>
      </w:r>
    </w:p>
    <w:p w14:paraId="0159E230" w14:textId="0597DF04" w:rsidR="009303D9" w:rsidRPr="009C259A" w:rsidRDefault="009303D9" w:rsidP="005B520E"/>
    <w:sectPr w:rsidR="009303D9" w:rsidRPr="009C259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0D3A1" w14:textId="77777777" w:rsidR="00AA5FC8" w:rsidRDefault="00AA5FC8" w:rsidP="001A3B3D">
      <w:r>
        <w:separator/>
      </w:r>
    </w:p>
  </w:endnote>
  <w:endnote w:type="continuationSeparator" w:id="0">
    <w:p w14:paraId="764B1B0A" w14:textId="77777777" w:rsidR="00AA5FC8" w:rsidRDefault="00AA5FC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DCDD" w14:textId="77777777" w:rsidR="00A46460" w:rsidRDefault="00A464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108C0" w14:textId="77777777" w:rsidR="00A46460" w:rsidRDefault="00A464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8B935" w14:textId="77777777" w:rsidR="00AA5FC8" w:rsidRDefault="00AA5FC8" w:rsidP="001A3B3D">
      <w:r>
        <w:separator/>
      </w:r>
    </w:p>
  </w:footnote>
  <w:footnote w:type="continuationSeparator" w:id="0">
    <w:p w14:paraId="7E45AFD2" w14:textId="77777777" w:rsidR="00AA5FC8" w:rsidRDefault="00AA5FC8"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7377" w14:textId="77777777" w:rsidR="00A46460" w:rsidRDefault="00A464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B146" w14:textId="77777777" w:rsidR="00A46460" w:rsidRDefault="00A464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71FB" w14:textId="77777777" w:rsidR="00A46460" w:rsidRDefault="00A464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14DBE"/>
    <w:rsid w:val="0004781E"/>
    <w:rsid w:val="0008758A"/>
    <w:rsid w:val="000C1E68"/>
    <w:rsid w:val="000C4438"/>
    <w:rsid w:val="000D36F9"/>
    <w:rsid w:val="001A2EFD"/>
    <w:rsid w:val="001A3B3D"/>
    <w:rsid w:val="001B67DC"/>
    <w:rsid w:val="002254A9"/>
    <w:rsid w:val="00233D97"/>
    <w:rsid w:val="002347A2"/>
    <w:rsid w:val="002850E3"/>
    <w:rsid w:val="002E7CBA"/>
    <w:rsid w:val="002F527D"/>
    <w:rsid w:val="00354FCF"/>
    <w:rsid w:val="0035639D"/>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5067CE"/>
    <w:rsid w:val="00551B7F"/>
    <w:rsid w:val="0056610F"/>
    <w:rsid w:val="00575BCA"/>
    <w:rsid w:val="00582C8E"/>
    <w:rsid w:val="005B0344"/>
    <w:rsid w:val="005B520E"/>
    <w:rsid w:val="005E2800"/>
    <w:rsid w:val="00605825"/>
    <w:rsid w:val="00645D22"/>
    <w:rsid w:val="00651A08"/>
    <w:rsid w:val="00654204"/>
    <w:rsid w:val="00670434"/>
    <w:rsid w:val="006B6B66"/>
    <w:rsid w:val="006F6D3D"/>
    <w:rsid w:val="007142F8"/>
    <w:rsid w:val="00715BEA"/>
    <w:rsid w:val="00740EEA"/>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73603"/>
    <w:rsid w:val="008A2C7D"/>
    <w:rsid w:val="008B6524"/>
    <w:rsid w:val="008C3C24"/>
    <w:rsid w:val="008C4B23"/>
    <w:rsid w:val="008F6E2C"/>
    <w:rsid w:val="009303D9"/>
    <w:rsid w:val="00933C64"/>
    <w:rsid w:val="00970D63"/>
    <w:rsid w:val="00972203"/>
    <w:rsid w:val="00994367"/>
    <w:rsid w:val="009C259A"/>
    <w:rsid w:val="009F1D79"/>
    <w:rsid w:val="00A059B3"/>
    <w:rsid w:val="00A46460"/>
    <w:rsid w:val="00AA5FC8"/>
    <w:rsid w:val="00AE3409"/>
    <w:rsid w:val="00B11A60"/>
    <w:rsid w:val="00B22613"/>
    <w:rsid w:val="00B44A76"/>
    <w:rsid w:val="00B54897"/>
    <w:rsid w:val="00B66F5D"/>
    <w:rsid w:val="00B768D1"/>
    <w:rsid w:val="00BA1025"/>
    <w:rsid w:val="00BC3420"/>
    <w:rsid w:val="00BD5962"/>
    <w:rsid w:val="00BD670B"/>
    <w:rsid w:val="00BE7D3C"/>
    <w:rsid w:val="00BF5FF6"/>
    <w:rsid w:val="00C0207F"/>
    <w:rsid w:val="00C16117"/>
    <w:rsid w:val="00C3075A"/>
    <w:rsid w:val="00C37ACC"/>
    <w:rsid w:val="00C8040C"/>
    <w:rsid w:val="00C919A4"/>
    <w:rsid w:val="00C929B4"/>
    <w:rsid w:val="00CA4392"/>
    <w:rsid w:val="00CC393F"/>
    <w:rsid w:val="00D2176E"/>
    <w:rsid w:val="00D632BE"/>
    <w:rsid w:val="00D72D06"/>
    <w:rsid w:val="00D7522C"/>
    <w:rsid w:val="00D7536F"/>
    <w:rsid w:val="00D76668"/>
    <w:rsid w:val="00E07383"/>
    <w:rsid w:val="00E165BC"/>
    <w:rsid w:val="00E204AA"/>
    <w:rsid w:val="00E61E12"/>
    <w:rsid w:val="00E7596C"/>
    <w:rsid w:val="00E878F2"/>
    <w:rsid w:val="00EB5191"/>
    <w:rsid w:val="00ED0149"/>
    <w:rsid w:val="00EF7DE3"/>
    <w:rsid w:val="00F03103"/>
    <w:rsid w:val="00F271DE"/>
    <w:rsid w:val="00F3774B"/>
    <w:rsid w:val="00F44186"/>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849</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sohambusy24@gmail.com</cp:lastModifiedBy>
  <cp:revision>2</cp:revision>
  <dcterms:created xsi:type="dcterms:W3CDTF">2026-10-14T07:05:00Z</dcterms:created>
  <dcterms:modified xsi:type="dcterms:W3CDTF">2026-10-14T07:05:00Z</dcterms:modified>
</cp:coreProperties>
</file>