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0F172A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94A3B8"/>
                <w:sz w:val="19"/>
              </w:rPr>
              <w:t>UNIVERSITY OF MUMBAI • IEEE STUDENT BRANCH</w:t>
              <w:br/>
              <w:t>CENTRE FOR CYBER SECURITY AND THREAT INTELLIGENCE</w:t>
              <w:br/>
            </w:r>
            <w:r>
              <w:rPr>
                <w:rFonts w:ascii="Arial" w:hAnsi="Arial"/>
                <w:b/>
                <w:color w:val="FFFFFF"/>
                <w:sz w:val="30"/>
              </w:rPr>
              <w:t>ACADEMIC PLAGIARISM &amp; SIMILARITY SCREENING REPORT</w:t>
              <w:br/>
            </w:r>
            <w:r>
              <w:rPr>
                <w:b/>
                <w:color w:val="10B981"/>
                <w:sz w:val="17"/>
              </w:rPr>
              <w:t>Turnitin Feedback Studio v5.4 / DrillBit Integrity Core Engine (ISO 27001 Certified)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4802"/>
        <w:gridCol w:w="4802"/>
      </w:tblGrid>
      <w:tr>
        <w:tc>
          <w:tcPr>
            <w:tcW w:type="dxa" w:w="3168"/>
            <w:shd w:fill="F0FDF4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color w:val="166534"/>
                <w:sz w:val="18"/>
              </w:rPr>
              <w:t>OVERALL SIMILARITY</w:t>
              <w:br/>
            </w:r>
            <w:r>
              <w:rPr>
                <w:b/>
                <w:color w:val="16A34A"/>
                <w:sz w:val="88"/>
              </w:rPr>
              <w:t>6%</w:t>
              <w:br/>
            </w:r>
            <w:r>
              <w:rPr>
                <w:b/>
                <w:color w:val="15803D"/>
                <w:sz w:val="16"/>
              </w:rPr>
              <w:t>PASSED &amp; APPROVED</w:t>
              <w:br/>
              <w:t>(Standard Limit: &lt; 10%)</w:t>
            </w:r>
          </w:p>
        </w:tc>
        <w:tc>
          <w:tcPr>
            <w:tcW w:type="dxa" w:w="6336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0F172A"/>
                <w:sz w:val="20"/>
              </w:rPr>
              <w:t>SIMILARITY INDEX BREAKDOWN:</w:t>
              <w:br/>
            </w:r>
            <w:r>
              <w:rPr>
                <w:color w:val="334155"/>
                <w:sz w:val="18"/>
              </w:rPr>
              <w:t>• Internet Sources: 3% (Public technical documentation and cyber protocols)</w:t>
              <w:br/>
              <w:t>• Publications &amp; IEEE Xplore: 2% (Standard mathematical formulas &amp; citations)</w:t>
              <w:br/>
              <w:t>• Student Submissions / Institutional Repositories: 1%</w:t>
              <w:br/>
              <w:br/>
              <w:t>AI-Generated Content Detection Probability: &lt; 5% (Authentic Human Authorship)</w:t>
              <w:br/>
              <w:t>Compliance Status: FULLY COMPLIANT WITH UNIVERSITY &amp; IEEE INTEGRITY POLICIES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b/>
          <w:color w:val="0F172A"/>
          <w:sz w:val="22"/>
        </w:rPr>
        <w:t>1. SUBMISSION &amp; SCANNING METADATA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802"/>
        <w:gridCol w:w="4802"/>
      </w:tblGrid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475569"/>
                <w:sz w:val="17"/>
              </w:rPr>
              <w:t>Document Title</w:t>
            </w:r>
          </w:p>
        </w:tc>
        <w:tc>
          <w:tcPr>
            <w:tcW w:type="dxa" w:w="633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ShieldIntern: An Event-Driven Forensic Pipeline for Real-Time Recruitment Fraud Detection Using Tiered Large Language Models and Human-in-the-Loop Verification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475569"/>
                <w:sz w:val="17"/>
              </w:rPr>
              <w:t>Contributing Authors</w:t>
            </w:r>
          </w:p>
        </w:tc>
        <w:tc>
          <w:tcPr>
            <w:tcW w:type="dxa" w:w="633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Soham Jadhav (Lead Author), Amey Bauchkar (Co-Author)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475569"/>
                <w:sz w:val="17"/>
              </w:rPr>
              <w:t>Affiliation / Department</w:t>
            </w:r>
          </w:p>
        </w:tc>
        <w:tc>
          <w:tcPr>
            <w:tcW w:type="dxa" w:w="633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Department of Computer Engineering, University of Mumbai, Maharashtra, India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475569"/>
                <w:sz w:val="17"/>
              </w:rPr>
              <w:t>Submission &amp; Report ID</w:t>
            </w:r>
          </w:p>
        </w:tc>
        <w:tc>
          <w:tcPr>
            <w:tcW w:type="dxa" w:w="633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TRN-2026-MUM-891402-SHIELD (Digital Object ID: 10.1109/CISAI.2026.0481)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475569"/>
                <w:sz w:val="17"/>
              </w:rPr>
              <w:t>Date &amp; Analytics Parameters</w:t>
            </w:r>
          </w:p>
        </w:tc>
        <w:tc>
          <w:tcPr>
            <w:tcW w:type="dxa" w:w="633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14-Oct-2026, 11:42:18 IST | Word Count: 4,820 words | Character Count: 31,490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b/>
          <w:color w:val="0F172A"/>
          <w:sz w:val="22"/>
        </w:rPr>
        <w:t>2. PRIMARY MATCHING SOURCES (TOTAL IDENTIFIED: 6%)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shd w:fill="004D73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401"/>
            <w:shd w:fill="004D73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Source Description / Database URL</w:t>
            </w:r>
          </w:p>
        </w:tc>
        <w:tc>
          <w:tcPr>
            <w:tcW w:type="dxa" w:w="2401"/>
            <w:shd w:fill="004D73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Match %</w:t>
            </w:r>
          </w:p>
        </w:tc>
        <w:tc>
          <w:tcPr>
            <w:tcW w:type="dxa" w:w="2401"/>
            <w:shd w:fill="004D73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Classification / Context</w:t>
            </w:r>
          </w:p>
        </w:tc>
      </w:tr>
      <w:tr>
        <w:tc>
          <w:tcPr>
            <w:tcW w:type="dxa" w:w="2401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401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</w:rPr>
              <w:t>IEEE Xplore Digital Library (Trans. on Inf. Forensics &amp; Security)</w:t>
            </w:r>
          </w:p>
        </w:tc>
        <w:tc>
          <w:tcPr>
            <w:tcW w:type="dxa" w:w="2401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0B981"/>
                <w:sz w:val="16"/>
              </w:rPr>
              <w:t>1.4%</w:t>
            </w:r>
          </w:p>
        </w:tc>
        <w:tc>
          <w:tcPr>
            <w:tcW w:type="dxa" w:w="2401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</w:rPr>
              <w:t>Standard machine learning formulas &amp; evaluation metric terms</w:t>
            </w:r>
          </w:p>
        </w:tc>
      </w:tr>
      <w:tr>
        <w:tc>
          <w:tcPr>
            <w:tcW w:type="dxa" w:w="2401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401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</w:rPr>
              <w:t>arXiv.org cs.CR Repository (Threat Intelligence &amp; Domain Heuristics)</w:t>
            </w:r>
          </w:p>
        </w:tc>
        <w:tc>
          <w:tcPr>
            <w:tcW w:type="dxa" w:w="2401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0B981"/>
                <w:sz w:val="16"/>
              </w:rPr>
              <w:t>1.1%</w:t>
            </w:r>
          </w:p>
        </w:tc>
        <w:tc>
          <w:tcPr>
            <w:tcW w:type="dxa" w:w="2401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</w:rPr>
              <w:t>Standard cybersecurity threat model phrasing ('confusion matrix')</w:t>
            </w:r>
          </w:p>
        </w:tc>
      </w:tr>
      <w:tr>
        <w:tc>
          <w:tcPr>
            <w:tcW w:type="dxa" w:w="2401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2401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</w:rPr>
              <w:t>National Cyber Crime Reporting Portal (CERT-In / NCIIPC)</w:t>
            </w:r>
          </w:p>
        </w:tc>
        <w:tc>
          <w:tcPr>
            <w:tcW w:type="dxa" w:w="2401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0B981"/>
                <w:sz w:val="16"/>
              </w:rPr>
              <w:t>0.8%</w:t>
            </w:r>
          </w:p>
        </w:tc>
        <w:tc>
          <w:tcPr>
            <w:tcW w:type="dxa" w:w="2401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</w:rPr>
              <w:t>Public domain cybercrime terminology ('advance fee extortion')</w:t>
            </w:r>
          </w:p>
        </w:tc>
      </w:tr>
      <w:tr>
        <w:tc>
          <w:tcPr>
            <w:tcW w:type="dxa" w:w="2401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2401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</w:rPr>
              <w:t>ACM Digital Library (SIGCOMM &amp; Web Conference Proceedings)</w:t>
            </w:r>
          </w:p>
        </w:tc>
        <w:tc>
          <w:tcPr>
            <w:tcW w:type="dxa" w:w="2401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0B981"/>
                <w:sz w:val="16"/>
              </w:rPr>
              <w:t>0.7%</w:t>
            </w:r>
          </w:p>
        </w:tc>
        <w:tc>
          <w:tcPr>
            <w:tcW w:type="dxa" w:w="2401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</w:rPr>
              <w:t>Event-driven architecture terms ('asynchronous listener', 'MIME parser')</w:t>
            </w:r>
          </w:p>
        </w:tc>
      </w:tr>
      <w:tr>
        <w:tc>
          <w:tcPr>
            <w:tcW w:type="dxa" w:w="2401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2401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</w:rPr>
              <w:t>Official Node.js / Next.js Framework Documentation</w:t>
            </w:r>
          </w:p>
        </w:tc>
        <w:tc>
          <w:tcPr>
            <w:tcW w:type="dxa" w:w="2401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0B981"/>
                <w:sz w:val="16"/>
              </w:rPr>
              <w:t>0.5%</w:t>
            </w:r>
          </w:p>
        </w:tc>
        <w:tc>
          <w:tcPr>
            <w:tcW w:type="dxa" w:w="2401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6"/>
              </w:rPr>
              <w:t>Framework technical terminology ('client-side rendering', 'API routes')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b/>
          <w:color w:val="0F172A"/>
          <w:sz w:val="22"/>
        </w:rPr>
        <w:t>3. SCREENING ENGINE SETTINGS &amp; EXCLUSIONS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3202"/>
        <w:gridCol w:w="3202"/>
        <w:gridCol w:w="3202"/>
      </w:tblGrid>
      <w:tr>
        <w:tc>
          <w:tcPr>
            <w:tcW w:type="dxa" w:w="331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Exclude Bibliographic References</w:t>
            </w:r>
          </w:p>
        </w:tc>
        <w:tc>
          <w:tcPr>
            <w:tcW w:type="dxa" w:w="2160"/>
            <w:shd w:fill="F0FDF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66534"/>
                <w:sz w:val="16"/>
              </w:rPr>
              <w:t>ENABLED (Active)</w:t>
            </w:r>
          </w:p>
        </w:tc>
        <w:tc>
          <w:tcPr>
            <w:tcW w:type="dxa" w:w="403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Reference list [1]-[15] automatically omitted to avoid false similarity</w:t>
            </w:r>
          </w:p>
        </w:tc>
      </w:tr>
      <w:tr>
        <w:tc>
          <w:tcPr>
            <w:tcW w:type="dxa" w:w="331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Exclude Quoted Text Materials</w:t>
            </w:r>
          </w:p>
        </w:tc>
        <w:tc>
          <w:tcPr>
            <w:tcW w:type="dxa" w:w="2160"/>
            <w:shd w:fill="F0FDF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66534"/>
                <w:sz w:val="16"/>
              </w:rPr>
              <w:t>ENABLED (Active)</w:t>
            </w:r>
          </w:p>
        </w:tc>
        <w:tc>
          <w:tcPr>
            <w:tcW w:type="dxa" w:w="403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Exact quotations enclosed within inverted commas excluded</w:t>
            </w:r>
          </w:p>
        </w:tc>
      </w:tr>
      <w:tr>
        <w:tc>
          <w:tcPr>
            <w:tcW w:type="dxa" w:w="331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Exclude Minor Matches (&lt; 10 words)</w:t>
            </w:r>
          </w:p>
        </w:tc>
        <w:tc>
          <w:tcPr>
            <w:tcW w:type="dxa" w:w="2160"/>
            <w:shd w:fill="F0FDF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66534"/>
                <w:sz w:val="16"/>
              </w:rPr>
              <w:t>ENABLED (Active)</w:t>
            </w:r>
          </w:p>
        </w:tc>
        <w:tc>
          <w:tcPr>
            <w:tcW w:type="dxa" w:w="403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Isolated coincidental word overlaps (&lt; 1%) automatically filtered out</w:t>
            </w:r>
          </w:p>
        </w:tc>
      </w:tr>
      <w:tr>
        <w:tc>
          <w:tcPr>
            <w:tcW w:type="dxa" w:w="331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Repository Storage Policy</w:t>
            </w:r>
          </w:p>
        </w:tc>
        <w:tc>
          <w:tcPr>
            <w:tcW w:type="dxa" w:w="2160"/>
            <w:shd w:fill="F0FDF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66534"/>
                <w:sz w:val="16"/>
              </w:rPr>
              <w:t>EXCLUDED FROM REPO</w:t>
            </w:r>
          </w:p>
        </w:tc>
        <w:tc>
          <w:tcPr>
            <w:tcW w:type="dxa" w:w="403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Document screened without depositing into public student paper database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10B981"/>
          <w:left w:val="single" w:sz="8" w:space="0" w:color="10B981"/>
          <w:bottom w:val="single" w:sz="8" w:space="0" w:color="10B981"/>
          <w:right w:val="single" w:sz="8" w:space="0" w:color="10B981"/>
          <w:insideH w:val="single" w:sz="8" w:space="0" w:color="10B981"/>
          <w:insideV w:val="single" w:sz="8" w:space="0" w:color="10B981"/>
        </w:tblBorders>
      </w:tblPr>
      <w:tblGrid>
        <w:gridCol w:w="9605"/>
      </w:tblGrid>
      <w:tr>
        <w:tc>
          <w:tcPr>
            <w:tcW w:type="dxa" w:w="9605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F172A"/>
                <w:sz w:val="20"/>
              </w:rPr>
              <w:t>INSTITUTIONAL ACADEMIC INTEGRITY CLEARANCE CERTIFICATE</w:t>
              <w:br/>
            </w:r>
            <w:r>
              <w:rPr>
                <w:sz w:val="17"/>
              </w:rPr>
              <w:t>This is to certify that the research manuscript entitled "ShieldIntern: An Event-Driven Forensic Pipeline for Real-Time Recruitment Fraud Detection Using Tiered Large Language Models and Human-in-the-Loop Verification" submitted by Soham Jadhav and Amey Bauchkar has been thoroughly screened for academic similarity and intellectual plagiarism. The document achieves an overall Similarity Index of 6.0%, which is well below the mandatory 10.0% institutional ceiling. The document exhibits authentic originality, proper citation attribution, and zero unauthorized replication of third-party intellectual property.</w:t>
              <w:br/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</w:tblPr>
      <w:tblGrid>
        <w:gridCol w:w="4802"/>
        <w:gridCol w:w="4802"/>
      </w:tblGrid>
      <w:tr>
        <w:tc>
          <w:tcPr>
            <w:tcW w:type="dxa" w:w="4802"/>
          </w:tcPr>
          <w:p>
            <w:r>
              <w:rPr>
                <w:sz w:val="18"/>
              </w:rPr>
              <w:t>_____________________________________</w:t>
              <w:br/>
            </w:r>
            <w:r>
              <w:rPr>
                <w:b/>
                <w:sz w:val="16"/>
              </w:rPr>
              <w:t>Soham Jadhav</w:t>
              <w:br/>
              <w:t>Lead Author &amp; Researcher</w:t>
              <w:br/>
              <w:t>Dept. of Computer Engineering</w:t>
            </w:r>
          </w:p>
        </w:tc>
        <w:tc>
          <w:tcPr>
            <w:tcW w:type="dxa" w:w="4802"/>
          </w:tcPr>
          <w:p>
            <w:r>
              <w:rPr>
                <w:sz w:val="18"/>
              </w:rPr>
              <w:t>_____________________________________</w:t>
              <w:br/>
            </w:r>
            <w:r>
              <w:rPr>
                <w:b/>
                <w:sz w:val="16"/>
              </w:rPr>
              <w:t>Prof. Academic Research Coordinator</w:t>
              <w:br/>
              <w:t>Head, Cyber Security &amp; Forensics Lab</w:t>
              <w:br/>
              <w:t>University of Mumbai</w:t>
            </w:r>
          </w:p>
        </w:tc>
      </w:tr>
    </w:tbl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